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33" w:rsidRPr="00A42333" w:rsidRDefault="009432BE" w:rsidP="00A42333">
      <w:pPr>
        <w:tabs>
          <w:tab w:val="left" w:pos="601"/>
        </w:tabs>
        <w:suppressAutoHyphens/>
        <w:spacing w:line="360" w:lineRule="auto"/>
        <w:jc w:val="center"/>
        <w:rPr>
          <w:b/>
          <w:bCs/>
          <w:color w:val="000000"/>
          <w:sz w:val="28"/>
          <w:szCs w:val="28"/>
          <w:lang w:val="uk-UA"/>
        </w:rPr>
      </w:pPr>
      <w:r w:rsidRPr="00A42333">
        <w:rPr>
          <w:b/>
          <w:bCs/>
          <w:color w:val="000000"/>
          <w:sz w:val="28"/>
          <w:szCs w:val="28"/>
        </w:rPr>
        <w:t>Содержание</w:t>
      </w:r>
    </w:p>
    <w:p w:rsidR="009432BE" w:rsidRPr="00A42333" w:rsidRDefault="009432BE" w:rsidP="00A42333">
      <w:pPr>
        <w:spacing w:line="360" w:lineRule="auto"/>
        <w:ind w:firstLine="709"/>
        <w:jc w:val="both"/>
        <w:rPr>
          <w:color w:val="000000"/>
          <w:sz w:val="28"/>
          <w:szCs w:val="28"/>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Введение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1. Основные положения законодательства об акцизах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1.1. Объекты обложения акцизами и налогоплательщики акцизов </w:t>
      </w:r>
    </w:p>
    <w:p w:rsidR="00A42333" w:rsidRDefault="009432BE" w:rsidP="00A42333">
      <w:pPr>
        <w:spacing w:line="360" w:lineRule="auto"/>
        <w:ind w:firstLine="709"/>
        <w:jc w:val="both"/>
        <w:rPr>
          <w:color w:val="000000"/>
          <w:sz w:val="28"/>
          <w:szCs w:val="28"/>
          <w:lang w:val="uk-UA"/>
        </w:rPr>
      </w:pPr>
      <w:r w:rsidRPr="00A42333">
        <w:rPr>
          <w:color w:val="000000"/>
          <w:sz w:val="28"/>
          <w:szCs w:val="28"/>
        </w:rPr>
        <w:t>1.2. Налоговый период и ставки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1.3. Операции, признаваемые объектами налогообложения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1.4. Порядок исчисления и уплаты акцизов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2. Экономическая сущность акцизного налогообложения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Заключение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Литература </w:t>
      </w:r>
    </w:p>
    <w:p w:rsidR="00E36EA1" w:rsidRPr="00A42333" w:rsidRDefault="00E36EA1" w:rsidP="00A42333">
      <w:pPr>
        <w:spacing w:line="360" w:lineRule="auto"/>
        <w:ind w:firstLine="709"/>
        <w:jc w:val="both"/>
        <w:rPr>
          <w:color w:val="000000"/>
          <w:sz w:val="28"/>
          <w:szCs w:val="28"/>
        </w:rPr>
      </w:pPr>
    </w:p>
    <w:p w:rsidR="009432BE" w:rsidRPr="00A42333" w:rsidRDefault="00A42333" w:rsidP="00A42333">
      <w:pPr>
        <w:tabs>
          <w:tab w:val="left" w:pos="601"/>
        </w:tabs>
        <w:suppressAutoHyphens/>
        <w:spacing w:line="360" w:lineRule="auto"/>
        <w:jc w:val="center"/>
        <w:rPr>
          <w:b/>
          <w:bCs/>
          <w:color w:val="000000"/>
          <w:kern w:val="36"/>
          <w:sz w:val="28"/>
          <w:szCs w:val="28"/>
        </w:rPr>
      </w:pPr>
      <w:r>
        <w:rPr>
          <w:color w:val="000000"/>
          <w:kern w:val="36"/>
          <w:sz w:val="28"/>
          <w:szCs w:val="28"/>
        </w:rPr>
        <w:br w:type="page"/>
      </w:r>
      <w:r w:rsidR="009432BE" w:rsidRPr="00A42333">
        <w:rPr>
          <w:b/>
          <w:bCs/>
          <w:color w:val="000000"/>
          <w:kern w:val="36"/>
          <w:sz w:val="28"/>
          <w:szCs w:val="28"/>
        </w:rPr>
        <w:t>Введение.</w:t>
      </w:r>
    </w:p>
    <w:p w:rsidR="00A42333" w:rsidRDefault="00A42333" w:rsidP="00A42333">
      <w:pPr>
        <w:spacing w:line="360" w:lineRule="auto"/>
        <w:ind w:firstLine="709"/>
        <w:jc w:val="both"/>
        <w:rPr>
          <w:color w:val="000000"/>
          <w:kern w:val="36"/>
          <w:sz w:val="28"/>
          <w:szCs w:val="28"/>
          <w:lang w:val="uk-UA"/>
        </w:rPr>
      </w:pP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Государственная власть всегда стремилась создать такую систему налогообложения, которая позволяла бы процесс уплаты налогов сделать как можно менее заметным для плательщиков, а взимание налогов производить "автоматически-принудительно". Хотя более простой и исторически более ранней формой налогообложения были прямые налоги, взимаемые непосредственно с доходов или имущества налогоплательщиков, более широкое применение получили менее заметные косвенные налоги. Пошлины - разновидность косвенных налогов - стали первыми видами денежных платежей в казну государства.</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Объяснение столь широкого распространения косвенных налогов давали многие русские и западные экономисты. Английский экономист Уильям Пети отмечал следующие преимущества косвенных налогов перед другими налогами:</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налог взимается с того, кто оплачивает какие-либо товары или услуги, при этом налог никому не навязывается и его легко уплатить;</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исключается двойное налогообложение за один и тот же товар, поскольку его нельзя употребить дважды;</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сбор налогов дает информацию о благосостоянии государства и его граждан в конкретный момент времени.</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Кроме того, широкое распространение косвенного налогообложения было обусловлено его фискальными выгодами. Налог уплачивается незаметно для потребителя, так как включается в цену приобретаемого товара. Подчас покупатель, совершая покупку, даже не подозревает о том, что он становится плательщиком налога.</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К косвенным налогам относятся индивидуальные акцизы, сущность и природа которых сходна с налогом на добавленную стоимость. Отличительной особенностью индивидуальных акцизов является то, что ими облагается вся стоимость реализованных подакцизных товаров (либо весь объем реализованной или полученной продукции в натуральном выражении). Причем перечень подакцизных товаров устанавливается государством.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В России акцизы всегда играли важную фискальную роль. Прежде всего, это относится к акцизам на алкогольную продукцию: хмельные напитки - квас, пиво и питной мед с давних времен считались на Руси неплохим источником пополнения казны. Помимо акцизов на алкогольную продукцию</w:t>
      </w:r>
      <w:r w:rsidR="00A42333">
        <w:rPr>
          <w:color w:val="000000"/>
          <w:kern w:val="36"/>
          <w:sz w:val="28"/>
          <w:szCs w:val="28"/>
          <w:lang w:val="uk-UA"/>
        </w:rPr>
        <w:t>.</w:t>
      </w:r>
      <w:r w:rsidRPr="00A42333">
        <w:rPr>
          <w:color w:val="000000"/>
          <w:kern w:val="36"/>
          <w:sz w:val="28"/>
          <w:szCs w:val="28"/>
        </w:rPr>
        <w:t xml:space="preserve"> В России издавна широко использовались акцизы на предметы массового потребления. Печально известна попытка царя Алексея Михайловича установить высокий акциз на соль, которая закончилась его отменой в результате народных "соляных" бунтов. В период первой мировой войны после запрета торговли спиртными напитками для восполнения недополученных доходов от производства и реализации алкоголя были резко повышены акцизы на табак, спички, керосин. В период НЭПа существовало огромное количество всевозможных акцизов на чай, кофе, сахар, соль, табак, спички, нефтепродукты, текстильные изделия.</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Таким образом, на протяжении веков акцизы играли важную роль в налоговой системе России, прежде всего как крупный фискальный источник. Целью данной работы является анализ сложившейся ситуации в области акцизного налогообложения в Российской Федерации.</w:t>
      </w:r>
    </w:p>
    <w:p w:rsidR="009432BE" w:rsidRPr="00A42333" w:rsidRDefault="00A42333" w:rsidP="00A42333">
      <w:pPr>
        <w:tabs>
          <w:tab w:val="left" w:pos="601"/>
        </w:tabs>
        <w:suppressAutoHyphens/>
        <w:spacing w:line="360" w:lineRule="auto"/>
        <w:jc w:val="center"/>
        <w:rPr>
          <w:b/>
          <w:bCs/>
          <w:color w:val="000000"/>
          <w:kern w:val="36"/>
          <w:sz w:val="28"/>
          <w:szCs w:val="28"/>
        </w:rPr>
      </w:pPr>
      <w:r>
        <w:rPr>
          <w:color w:val="000000"/>
          <w:kern w:val="36"/>
          <w:sz w:val="28"/>
          <w:szCs w:val="28"/>
        </w:rPr>
        <w:br w:type="page"/>
      </w:r>
      <w:r w:rsidR="009432BE" w:rsidRPr="00A42333">
        <w:rPr>
          <w:b/>
          <w:bCs/>
          <w:color w:val="000000"/>
          <w:kern w:val="36"/>
          <w:sz w:val="28"/>
          <w:szCs w:val="28"/>
        </w:rPr>
        <w:t>1. Основные положения законодательства об акцизах.</w:t>
      </w:r>
    </w:p>
    <w:p w:rsid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b/>
          <w:bCs/>
          <w:color w:val="000000"/>
          <w:sz w:val="28"/>
          <w:szCs w:val="28"/>
        </w:rPr>
      </w:pPr>
      <w:r w:rsidRPr="00A42333">
        <w:rPr>
          <w:b/>
          <w:bCs/>
          <w:color w:val="000000"/>
          <w:sz w:val="28"/>
          <w:szCs w:val="28"/>
        </w:rPr>
        <w:t>1.1. Объекты обложения акцизами и налогоплательщики акцизов.</w:t>
      </w:r>
    </w:p>
    <w:p w:rsid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Непосредственным и неизбежным эффектом установления акциза на тот или иной товар является повышение его цены. Поэтому круг товаров народного потребления, включенных в перечень подакцизных товаров, определен государством и строго ограничен. Из него исключены потребительские товары первой необходимости, которые обладают социальной значимостью для населения страны.</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С 1 января 2001 года, в связи с введением в действие части второй Налогового кодекса Российской Федерации (НК РФ) и признанием Закона об акцизах утратившим силу, перечень подакцизных товаров регламентируется пунктом 1 статьи 181 главы 22 "Акцизы" НК РФ.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Согласно НК РФ подакцизными товарами признаются: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1) спирт этиловый из всех видов сырья, за исключением спирта коньячного;</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2) спиртосодержащая продукция (растворы, эмульсии, суспензии и другие виды продукции в жидком виде) с объемной долей этилового спирта более 9 процентов.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Не рассматриваются как подакцизные товары следующая спиртосодержащая продукция: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лекарственные, лечебно-профилактические, диагностические средства и препараты, если они внесены в Государственный реестр лекарственных средств и изделий медицинского назначения, лекарственные, лечебно-профилактические средства (включая гомеопатические препараты), изготавливаемые аптечными учреждениями по индивидуальным рецептам и требованиям лечебных организаций. Аналогично не облагаются препараты ветеринар-ного назначения, внесенные в Государственный реестр ве-теринарных препаратов, разлитые в сосуды вместимостью не более 100 мл;</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парфюмерно-косметическая продукция, прошедшая государственную регистрацию, если вместимость сосуда, в который она разлита, не превышает 270 мл;</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спиртосодержащие товары бытовой химии в металлической аэрозольной упаковке;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подлежащие дальнейшей переработке и (или) использованию для технических целей отходы, образующиеся при производстве спирта этилового из пищевого сырья, водок, ликероводочных изделий, соответствующие нормативной документации и внесенные в Государственный реестр этилового спирта из пищевого сырья, алкогольной и алкогольсодержащей продукции в РФ;</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3) алкогольная продукция (спирт питьевой, водка, ликероводочные изделия, коньяки, вино и иная пищевая продукция с объемной долей этилового спирта более 1,5 процента, за исключением виноматериалов);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4) пиво;</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5) табачная продукция;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6) автомобили легковые и мотоциклы с мощностью двигателя свыше 112,5 кВт (150 л.с.);</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7) автомобильный бензин;</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8) дизельное топливо;</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9) моторные масла для дизельных и (или) карбюраторных (инжекторных) двигателей.</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10) прямогонный бензин. Под прямогонным бензином понимают бензиновые фракции Бензиновая фракция - смесь углеводородов, кипящих в интервале температур от 30 до 215 град. С при атмосферном давлении 760 мм ртутного столба., полученные в результате переработки нефти, газового конденсата, попутного нефтяного газа, природного газа, горючих сланцев, угля и другого сырья, а также продуктов их переработки, за исключением бензина автомобильного.</w:t>
      </w:r>
    </w:p>
    <w:p w:rsidR="009432BE" w:rsidRDefault="009432BE" w:rsidP="00A42333">
      <w:pPr>
        <w:spacing w:line="360" w:lineRule="auto"/>
        <w:ind w:firstLine="709"/>
        <w:jc w:val="both"/>
        <w:rPr>
          <w:color w:val="000000"/>
          <w:sz w:val="28"/>
          <w:szCs w:val="28"/>
          <w:lang w:val="uk-UA"/>
        </w:rPr>
      </w:pPr>
      <w:r w:rsidRPr="00A42333">
        <w:rPr>
          <w:color w:val="000000"/>
          <w:sz w:val="28"/>
          <w:szCs w:val="28"/>
        </w:rPr>
        <w:t>Налогоплательщиками акциза признаются организации, индивидуальные предприниматели, совершающие операции, подлежащие обложению акцизами, включая лица, признаваемые плательщиками акцизов в связи с перемещением подакцизных товаров через таможенную границу РФ.</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b/>
          <w:bCs/>
          <w:color w:val="000000"/>
          <w:sz w:val="28"/>
          <w:szCs w:val="28"/>
          <w:lang w:val="uk-UA"/>
        </w:rPr>
      </w:pPr>
      <w:r w:rsidRPr="00A42333">
        <w:rPr>
          <w:b/>
          <w:bCs/>
          <w:color w:val="000000"/>
          <w:sz w:val="28"/>
          <w:szCs w:val="28"/>
        </w:rPr>
        <w:t>1.2. Налоговый период и ставки.</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Для организаций и индивидуальных предпринимателей налоговый период составляет один календарный месяц.</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В соответствии с п. 1 ст. 193 НКРФ налогообложение подакцизных товаров и подакцизного минерального сырья осуществляется по следующим единым на территории Российской Федерации налоговым ставкам:</w:t>
      </w:r>
    </w:p>
    <w:p w:rsidR="006E7814" w:rsidRPr="00A42333" w:rsidRDefault="006E7814" w:rsidP="00A42333">
      <w:pPr>
        <w:spacing w:line="360" w:lineRule="auto"/>
        <w:ind w:firstLine="709"/>
        <w:jc w:val="both"/>
        <w:rPr>
          <w:color w:val="000000"/>
          <w:sz w:val="28"/>
          <w:szCs w:val="28"/>
        </w:rPr>
      </w:pPr>
    </w:p>
    <w:tbl>
      <w:tblPr>
        <w:tblW w:w="9350"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5886"/>
        <w:gridCol w:w="3464"/>
      </w:tblGrid>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Виды подакцизных</w:t>
            </w:r>
          </w:p>
          <w:p w:rsidR="00A42333" w:rsidRPr="00A42333" w:rsidRDefault="00A42333" w:rsidP="00A42333">
            <w:pPr>
              <w:suppressAutoHyphens/>
              <w:spacing w:line="360" w:lineRule="auto"/>
              <w:jc w:val="both"/>
              <w:rPr>
                <w:color w:val="000000"/>
                <w:sz w:val="20"/>
                <w:szCs w:val="20"/>
              </w:rPr>
            </w:pPr>
            <w:r w:rsidRPr="00A42333">
              <w:rPr>
                <w:color w:val="000000"/>
                <w:sz w:val="20"/>
                <w:szCs w:val="20"/>
              </w:rPr>
              <w:t>товаров</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Налоговая ставка (в % или рублях и копейках за единицу измерения.</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Этиловый спирт из всех видов сырья (в том числе этиловый спирт-сырец из всех видов сырья)</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18 руб. за 1 литр безводного этилового спирта</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Алкогольная продукция с объемной долей этилового спирта свыше 25% (за исключением вин) и спиртосодержащая продукция</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135 руб. за 1 литр безводного этилового спирта, содержащегося в подакцизных товарах</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Алкогольная продукция с объемной долей этилового спирта свыше 9 до 25% включительно (за исключением вин)</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100 руб. за 1 литр безводного этилового спирта, содержащегося в подакцизных товарах</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Алкогольная продукция с объемной долей этилового спирта до 9 % включительно (за исключением вин)</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70 руб. за 1 литр безводного этилового спирта, содержащегося в подакцизных товарах</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Вина нетрадиционные крепленные</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88 руб. за 1 литр безводного этилового спирта, содержащегося в подакцизных товарах</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Вина (за исключением натуральных, натуральных нетрадиционных и (или) некрепленых, натуральных нетрадиционных некрепленых, вин шампанских и игристых)</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52 руб. за 1 литр безводного этилового спирта, содержащегося в подакцизных товарах</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Вина натуральные нетрадиционные некрепленые</w:t>
            </w:r>
          </w:p>
        </w:tc>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4 руб. за 1 литр</w:t>
            </w:r>
          </w:p>
        </w:tc>
      </w:tr>
    </w:tbl>
    <w:p w:rsidR="00A42333" w:rsidRDefault="00A42333" w:rsidP="00A42333">
      <w:pPr>
        <w:suppressAutoHyphens/>
        <w:spacing w:line="360" w:lineRule="auto"/>
        <w:jc w:val="both"/>
        <w:rPr>
          <w:color w:val="000000"/>
          <w:sz w:val="20"/>
          <w:szCs w:val="20"/>
        </w:rPr>
        <w:sectPr w:rsidR="00A42333" w:rsidSect="00A42333">
          <w:pgSz w:w="11906" w:h="16838"/>
          <w:pgMar w:top="1134" w:right="850" w:bottom="1134" w:left="1701" w:header="709" w:footer="709" w:gutter="0"/>
          <w:cols w:space="708"/>
          <w:docGrid w:linePitch="360"/>
        </w:sectPr>
      </w:pPr>
    </w:p>
    <w:tbl>
      <w:tblPr>
        <w:tblW w:w="9285"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7005"/>
        <w:gridCol w:w="2280"/>
      </w:tblGrid>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Вина шампанские и вина игристые</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10 руб. 50 коп. за 1 литр</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Вина натуральные (за исключением нетрадиционных некрепленых)</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2 руб.20 коп. за 1 литр</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Пиво с нормативным (стандартизированным) содержанием доли этилового спирта до 0,5 % включительно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 руб. за литр</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Пиво с нормативным (стандартизированным) содержанием доли этилового спирта свыше 0,5 до 8,6 % включительно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 руб. 55 коп. за литр</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Пиво с нормативным (стандартизированным) содержанием доли этилового спирта свыше 8,6 % включительно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5 руб. 30 коп. за 1 литр</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Табачные изделия:</w:t>
            </w:r>
          </w:p>
        </w:tc>
        <w:tc>
          <w:tcPr>
            <w:tcW w:w="2235" w:type="dxa"/>
          </w:tcPr>
          <w:p w:rsidR="00A42333" w:rsidRPr="00A42333" w:rsidRDefault="00A42333" w:rsidP="00A42333">
            <w:pPr>
              <w:suppressAutoHyphens/>
              <w:spacing w:line="360" w:lineRule="auto"/>
              <w:jc w:val="both"/>
              <w:rPr>
                <w:color w:val="000000"/>
                <w:sz w:val="20"/>
                <w:szCs w:val="20"/>
              </w:rPr>
            </w:pP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Табак трубочный</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574 руб. за 1 кг</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Табак курительный, за исключением табака, используемого в качестве сырья для производства табачной продукции</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235 руб. за 1 кг</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Сигары</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14 руб. за 1 штуку</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Сигариллы</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157 руб. за 1000 штук</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Сигареты с фильтром</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60 руб. за 1000 шт. + 5%</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Сигареты без фильтра, папиросы</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23 руб. за 1000 шт. +5%</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Автомобили легковые с мощностью двигателя до 67,5 КВт (90 л.с.) включительно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 руб. за 0,75 КВт (1 л.с.)</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Автомобили легковые с мощностью двигателя свыше 67,5 КВт (90 л.с.) и до 112,5 КВТ (150 л.с.) включительно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14 руб. за 0,75 КВт (1 л.с.)</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Автомобили легковые и мотоциклы с мощностью двигателя свыше 112,5 КВТ (150 л.с.)</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142 руб. за 0,75 КВт (1 л.с.)</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Бензин автомобильный с октановым числом до "80" включительно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2460 руб. за 1 тонну</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Бензин автомобильный с иными октановыми числами</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3360 руб. за 1 тонну</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Дизельное топливо</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1000 руб. за 1 тонну</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Масло для дизельных и (или) карбюраторных (инжекторных) двигателей</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2732 руб. за 1 тонну</w:t>
            </w:r>
          </w:p>
        </w:tc>
      </w:tr>
      <w:tr w:rsidR="00A42333" w:rsidRPr="00A42333" w:rsidTr="009F38FA">
        <w:trPr>
          <w:tblCellSpacing w:w="15" w:type="dxa"/>
        </w:trPr>
        <w:tc>
          <w:tcPr>
            <w:tcW w:w="6960"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Прямогонный бензин</w:t>
            </w:r>
          </w:p>
        </w:tc>
        <w:tc>
          <w:tcPr>
            <w:tcW w:w="2235"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 руб. за 1 тонну</w:t>
            </w:r>
          </w:p>
        </w:tc>
      </w:tr>
    </w:tbl>
    <w:p w:rsid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Налоговым кодексом РФ установлен особый режим налогового склада в отношении алкогольной продукции. Под режимом налогового склада понимается комплекс мероприятий налогового контроля, осуществляемый налоговыми органами в отношении алкогольной продукции с момента окончания ее производства и поступления на акцизный склад до момента ее отгрузки (передачи) покупателям. Под действием режима налогового склада находится территория, на которой расположены производственные помещения, используемые для производства алкогольной продукции, а также находящиеся вне этой территории акцизные склады для ее хранения. Алкогольная продукция, находящаяся в режиме налогового склада, хранится под контролем сотрудников налоговых органов в специально обустроенных помещениях до момента ее отгрузки (акцизные склады).</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Должностные лица акцизного склада обязаны:</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вести учет хранящихся на складе подакцизных товаров и представлять налоговым органам отчетность об этих товарах;</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обеспечивать невозможность выбытия с акцизного склада подакцизных товаров без контроля сотрудников налоговых органов;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обеспечивать невозможность доступа на акцизный склад посторонних лиц;</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выполнять требования налоговых органов по обустройству склада, обеспечению до</w:t>
      </w:r>
      <w:r w:rsidR="00A42333">
        <w:rPr>
          <w:color w:val="000000"/>
          <w:sz w:val="28"/>
          <w:szCs w:val="28"/>
        </w:rPr>
        <w:t>ступа сотрудников налогового ор</w:t>
      </w:r>
      <w:r w:rsidRPr="00A42333">
        <w:rPr>
          <w:color w:val="000000"/>
          <w:sz w:val="28"/>
          <w:szCs w:val="28"/>
        </w:rPr>
        <w:t>гана к хранящимся товарам и предоставлению указанным сотрудникам безвозмездно оборудованных помещений и средств связи в целях обеспечения налогового контроля;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 по требованию налоговых органов оборудовать склад двойными запорными устройствами, одно из которых должно находиться в ведении налогового органа.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В связи с действием режима налогового склада в отношении производства и реализации алкогольной продукции налогообложение производится по следующим ставкам:</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при реализации покупателям, не являющимся акцизными складами, по обычным ставкам;</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при реализации на акцизные склады оптовых организаций -- в размере 50 % от действующих ставок;</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при реализации оптовыми организациями с акцизных складов конечным потребителям -- в размере 50 % от действующих ставок;</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при реализации оптовыми организациями с акцизных складов на акцизные склады других оптовых организаций акцизы не взимаются.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реализации подакцизной продукции налогоплательщик обязан предъявлять сумму налога покупателю. В расчетных документах, в том числе в реестрах чеков и аккредитивов, первичных учетных документах, счетах-фактурах, сумма акциза выделяется отдельной строкой, за исключением случаев реализации подакцизной продукции за пределы территории Российской Федерации.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Вместе с тем продавцы подакцизных товаров, которые не являются налогоплательщиками акцизов, не обязаны выделять сумму акциза в расчетных документах и счетах-фактурах. Поэтому, если в указанных документах акциз не будет выделен, у налогоплательщика акцизов, использующих в процессе производства подакцизные товары, приобретаемые у продавцов, не являющихся их непосредственными производителями, не будет оснований для налоговых вычетов.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уплате акцизов налогоплательщик вправе уменьшить сумму налога, подлежащую перечислению в бюджеты, на некоторые вычеты. Так, например, вычетам подлежат суммы акцизов, уплаченные при приобретении или ввозе подакцизных товаров, если в дальнейшем они используются в качестве сырья для дальнейшей обработки. Вычитаются также суммы уплаченных ранее акцизов при возврате покупателями подакцизных товаров или отказе от них. Алкогольная продукция подлежит обязательной маркировке марками акцизного сбора.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Постановлением Правительства РФ от 29 декабря 2001 г. № 915 «Об установлении ставок авансового платежа, уплачиваемого при покупке региональных специальных марок по подакцизным товарам, подлежащим обязательной маркировке» ставки авансового платежа определены в следующих размерах:</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на алкогольную продукцию с объемной долей этилового спирта до 25 % включительно -- 0,3 руб. за марку;</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 на алкогольную продукцию с объемной долей этилового спирта свыше 25 % -- 0,8 руб. за марку. </w:t>
      </w:r>
    </w:p>
    <w:p w:rsidR="009432BE" w:rsidRDefault="009432BE" w:rsidP="00A42333">
      <w:pPr>
        <w:spacing w:line="360" w:lineRule="auto"/>
        <w:ind w:firstLine="709"/>
        <w:jc w:val="both"/>
        <w:rPr>
          <w:color w:val="000000"/>
          <w:sz w:val="28"/>
          <w:szCs w:val="28"/>
          <w:lang w:val="uk-UA"/>
        </w:rPr>
      </w:pPr>
      <w:r w:rsidRPr="00A42333">
        <w:rPr>
          <w:color w:val="000000"/>
          <w:sz w:val="28"/>
          <w:szCs w:val="28"/>
        </w:rPr>
        <w:t xml:space="preserve">Стоимость авансового платежа, уплаченного при приобретении специальных акцизных либо региональных марок, также подлежит вычету. Вычетам подлежат суммы акциза, уплаченные на территории РФ по спирту этиловому, произведенному из пищевого сырья, использованному для производства виноматериалов, в дальнейшем использованных для производства алкогольной продукции. При этом вычету подлежит сумма налога в размере, не превышающем сумму налога, исчисленную по формуле: </w:t>
      </w:r>
    </w:p>
    <w:p w:rsidR="00A42333" w:rsidRPr="00A42333" w:rsidRDefault="00A42333" w:rsidP="00A42333">
      <w:pPr>
        <w:spacing w:line="360" w:lineRule="auto"/>
        <w:ind w:firstLine="709"/>
        <w:jc w:val="both"/>
        <w:rPr>
          <w:color w:val="000000"/>
          <w:sz w:val="28"/>
          <w:szCs w:val="28"/>
          <w:lang w:val="uk-UA"/>
        </w:rPr>
      </w:pPr>
    </w:p>
    <w:p w:rsidR="009432BE" w:rsidRDefault="009432BE" w:rsidP="00A42333">
      <w:pPr>
        <w:spacing w:line="360" w:lineRule="auto"/>
        <w:ind w:firstLine="709"/>
        <w:jc w:val="both"/>
        <w:rPr>
          <w:color w:val="000000"/>
          <w:sz w:val="28"/>
          <w:szCs w:val="28"/>
          <w:lang w:val="uk-UA"/>
        </w:rPr>
      </w:pPr>
      <w:r w:rsidRPr="00A42333">
        <w:rPr>
          <w:color w:val="000000"/>
          <w:sz w:val="28"/>
          <w:szCs w:val="28"/>
        </w:rPr>
        <w:t>С = (А х К) : 100 %) х О,</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где: С -- сумма акциза, уплаченная по спирту этиловому, использованному для производства вина;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А -- налоговая ставка на 1 литр стопроцентного (безводного) этилового спирта;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К -- крепость вина;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О -- объем реализованного вина.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Если к вычету предъявлена сумма, превышающая величину, рассчитанную по этой формуле, сумма превышения (отрицательная разница) относится на убытки предприятия.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К вычету принимаются только суммы, фактически уплаченные налогоплательщиком при условии наличия подтверждающих счетных документов и счетов-фактур, выставленных продавцами подакцизной продукции. Суммы акцизов по подакцизным товарам, использованным в качестве сырья для производства других подакцизных товаров, принимаются к вычету при односменном соблюдении двух условий: их фактической оплаты и списания стоимости использованных подакцизных товаров на затраты по производству реализованных подакцизных товаров.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Если сумма налоговых вычетов в каком-либо налоговом периоде превысит общую сумму акциза по реализованным подакцизным товарам, то в этом периоде акциз не уплачивается. Сумма превышения налоговых вычетов подлежит зачету в следующем налоговом периоде. Если и после зачета останется некоторая сумма превышения, то она может быть направлена на исполнение налоговых обязательств по другим налогам и сборам, на уплату пени, на погашение недоимки и присужденных санкций в рамках одного бюджета. По истечении трех налоговых периодов, следующих за отчетным, сумма, которая не была зачтена, подлежит возврату налогоплательщику по его заявлению.</w:t>
      </w:r>
    </w:p>
    <w:p w:rsidR="009432BE" w:rsidRDefault="009432BE" w:rsidP="00A42333">
      <w:pPr>
        <w:spacing w:line="360" w:lineRule="auto"/>
        <w:ind w:firstLine="709"/>
        <w:jc w:val="both"/>
        <w:rPr>
          <w:color w:val="000000"/>
          <w:sz w:val="28"/>
          <w:szCs w:val="28"/>
          <w:lang w:val="uk-UA"/>
        </w:rPr>
      </w:pPr>
      <w:r w:rsidRPr="00A42333">
        <w:rPr>
          <w:color w:val="000000"/>
          <w:sz w:val="28"/>
          <w:szCs w:val="28"/>
        </w:rPr>
        <w:t>По основной массе подакцизной продукции дата реализации определяется как день отгрузки указанной продукции. При реали-зации дизельного топлива, бензина с октановым числом ниже 80, моторных масел для дизельных и карбюраторных двигателей и природного газа дата реализации определяется на день оплаты. Датой реализации алкогольной продукции с акцизного склада является день завершения действия режима налогового склада.</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b/>
          <w:bCs/>
          <w:color w:val="000000"/>
          <w:sz w:val="28"/>
          <w:szCs w:val="28"/>
          <w:lang w:val="uk-UA"/>
        </w:rPr>
      </w:pPr>
      <w:r w:rsidRPr="00A42333">
        <w:rPr>
          <w:b/>
          <w:bCs/>
          <w:color w:val="000000"/>
          <w:sz w:val="28"/>
          <w:szCs w:val="28"/>
        </w:rPr>
        <w:t>1.3. Операции, признаваемые объектами налогообложения.</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В статье 182 НКРФ определены операции, признаваемые объектами обложения акцизами, которые можно разделить на операции, совершаемые производителями подакцизных товаров и операции, совершаемые иными лицами.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К облагаемым акцизами операциям, совершаемым производителями подакцизных товаров, относятся: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а) Реализация на территории РФ произведенных подакцизных товаров, в том числе реализация этих товаров в качестве предметов залога и передача их по соглашению о предоставлении отступного или новации (за исключением нефтепродуктов).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б) Передача на территории РФ лицом произведенных им из давальческого сырья (материалов) подакцизных товаров (за исключением нефтепродуктов) собственнику указанного сырья (материалов) либо другим лицам, в том числе получение указанных подакцизных товаров в собственность за счет уплаты услуг по их производству из давальческого сырья (материалов).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в) Передача в структуре организации произведенных подакцизных товаров для дальнейшего производства неподакцизных товаров, за исключением освобождаемых от налогообложения в соответствии с подпунктами 2 и 3 пункта 1 статьи 183 НКРФ операций по передаче в структуре организации спирта этилового, произведенного из любого вида сырья на производство денатурированных спирта этилового и спиртосодержащей продукции.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г) Передача на территории РФ лицами произведенных ими подакцизных товаров для собственных нужд (за исключением нефтепродуктов).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д) Передача на территории РФ лицами произведенных ими подакцизных товаров в уставной (складочный) капитал организаций, в паевые фонды кооперативов, а также в качестве взноса по договору простого товарищества (договору о совместной деятельности).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е) Передача организацией (хозяйственным обществом или товариществом) на территории РФ произведенных ею подакцизных товаров (за исключением нефтепродуктов) своему участнику (его правопреемнику или наследнику), при его выходе (выбытии) из организации (хозяйственного общества или товарищества), а также передача подакцизных товаров, произведенных в рамках договора простого товарищества (договора о совместной деятельности), участнику указанного договора (его правопреемнику или наследнику) при выделе его доли из имущества, находящегося в общей доле участников договора, или разделе такого имущества.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ж) Передача произведенных подакцизных товаров на переработку на давальческой основе (за исключением нефтепродуктов).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К облагаемым акцизами операциям, совершаемым лицами, не являющимися производителями подакцизных товаров, относятся: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а) реализация организациями с акцизных складов алкогольной продукции, приобретенной от налогоплательщиков - производителей указанной продукции, либо с акцизных складов других организаций (за исключением реализации алкогольной продукции с акцизного склада одной оптовой организации акцизному складу другой оптовой организации).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применении данной нормы ст. 182 НКРФ необходимо учитывать следующее. В период действия режима налогового склада Режим налогового склада - это комплекс мер налогового контроля, который включает в себя учет подакцизных товаров, условия их выбытия, основные требования к обустройству складов, доступу на них и т.д. алкогольная продукция не считается реализованной, и в отношении этой продукции не возникает обязательства по уплате акцизов. Таким образом, можно сказать, что режим налогового склада - это период времени, когда на готовую алкогольную продукцию, находящуюся под особым контролем налоговых органов, не начисляется акциз.</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Акцизы начисляются в момент завершения действия режима налогового склада. Таким моментом согласно ст. 197 НКРФ считается отгрузка (передача) алкогольной продукции: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1) с территории, где эта продукция была произведена или с акцизного склада организации-производителя, где она хранилась:</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организациям розничной торговли;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подразделению организации-производителя, которое занимается ее розничной продажей;</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акцизному складу организации оптовой торговли;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другой организации, использующей алкогольную продукцию (например, купаж водки) в качестве полуфабриката, или производящей ее разлив;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2) с акцизного склада организации оптовой торговли организациям розничной торговли.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б) Продажа лицами переданных им на основании приговоров или решений судов, арбитражных судов, или других уполномоченных на то государственных органов конфискованных и (или) бесхозяйственных подакцизных товаров и подакцизных товаров, от которых отказались в пользу государства и которые подлежат обращению в государственную и (или) муниципальную собственность;</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в) ввоз подакцизных товаров на таможенную территорию РФ (за исключением ввоза таких товаров, от которых отказались в пользу государства и которые подлежат обращению в государственную и (или) муниципальную собственность).</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Рассматривая данную норму, необходимо учитывать, что при ввозе подакцизных товаров на таможенную территорию РФ в зависимости от избранного таможенного режима обложение акцизами производится в следующем порядке: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1) при помещении подакцизных товаров под таможенный режим выпуска для свободного обращения акциз уплачивается в полном объеме. Согласно ст. 30 Таможенного кодекса РФ (ТКРФ) выпуск товаров для свободного обращения - это таможенный режим, при котором ввозимые на таможенную территорию РФ товары остаются постоянно на этой территории без обязательства об их вывозе с этой территории;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2) при помещении подакцизных товаров под таможенный режим реимпорта налогоплательщиком уплачиваются суммы акциза, от уплаты которых он был освобожден либо которые были ему возвращены в связи с экспортом товаров в соответствии с НКРФ, в порядке, предусмотренном таможенным законодательством РФ. Под реимпортом товаров понимается таможенный режим, при котором российские товары, вывезенные с таможенной территории РФ в соответствии с таможенным режимом экспорта, ввозятся обратно в установленные сроки без взимания таможенных пошлин, налогов, а также без применения к товарам мер экономической политики;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3) при помещении подакцизных товаров под таможенные режимы транзита, таможенного склада, реэкспорта, переработки под таможенным контролем, свободной таможенной зоны, свободного склада, уничтожения и отказа в пользу государства акциз не уплачивается.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Транзит товаров - это таможенный режим, при котором товары перемещаются под таможенным контролем между двумя таможенными органами РФ,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Таможенный склад - таможенный режим, при котором ввезенные товары хранятся под таможенным контролем без взимания таможенных пошлин и налогов и без применения к товарам мер экономической политики в период хранения, а товары, предназначенные для вывоза в соответствии с таможенным режимом экспорта, хранятся под таможенным контролем с предоставлением льгот, предусмотренных ТКРФ.</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Реэкспорт товаров - таможенный режим, при котором иностранные товары вывозятся с таможенной территории РФ без взимания или с возвратом ввозных таможенных пошлин и налогов и без применения мер экономической политики.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Переработка товаров под таможенным контролем - таможенный режим, при котором иностранные товары используются в установленном порядке на таможенной территории РФ без взимания таможенных пошлин и налогов, а также без применения к товарам мер экономической политики, для переработки под таможенным контролем с последующим выпуском для свободного обращения или помещением продуктов переработки под иной таможенный режим.</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Свободная таможенная зона и свободный склад - таможенные режимы, при которых иностранные товары размещаются и используются в соответствующих территориальных границах или помещениях (местах) без взимания таможенных пошлин, налогов, а также без применения к указанным товарам мер экономической политики, а российские товары размещаются и используются на условиях, применяемых к вывозу в соответствии с таможенным режимом, в порядке, определяемом ТКРФ.</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4) при помещении подакцизных товаров под таможенный режим переработки на таможенной территории акциз уплачивается при ввозе указанных товаров на таможенную территорию РФ с последующим возвратом уплаченных сумм акциза при вывозе продуктов их переработки с таможенной территории РФ;</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5) при помещении подакцизных товаров под таможенный режим временного ввоза применяется полное или частичное освобождение от уплаты акциза в порядке, определяемом ТКРФ. Временно ввозимые товары подлежат возврату в неизменном состоянии, кроме изменений вследствие естественного износа либо убыли при нормальных условиях транспортировки и хранения;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г) первичная реализация подакцизных товаров, происходящих и ввезенных на территорию РФ с территории государств - участников Таможенного союза без таможенного оформления (при наличии соглашений о едином таможенном пространстве).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д) с 1 января 2003 года в соответствии с Законом от 24 июля 2002 г. № 110-ФЗ объектом налогообложения акцизами признаны следующие операции, совершаемые с подакцизными нефтепродуктами: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1) использование нефтепродуктов для собственных нужд, в том числе: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налогоплательщиками, имеющими свидетельство на оптовую или на оптово-розничную реализацию;</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налогоплательщиками, производящими нефтепродукты из собственного сырья;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2) получение нефтепродуктов налогоплательщиками, имеющими Свидетельства, в том числе получение нефтепродуктов в собственность в счет оплаты услуг по производству нефтепродуктов из давальческого сырья и материалов.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этом под получением нефтепродуктов понимается: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приобретение нефтепродуктов (получение их в собственность не возмездной и (или) безвозмездной основе;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получение нефтепродуктов, произведенных из давальческого сырья, собственником этого сырья;</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оприходование нефтепродуктов, выработанных из собственного сырья, налогоплательщиком, производящим эти нефтепродукты;</w:t>
      </w:r>
    </w:p>
    <w:p w:rsidR="009432BE" w:rsidRDefault="009432BE" w:rsidP="00A42333">
      <w:pPr>
        <w:spacing w:line="360" w:lineRule="auto"/>
        <w:ind w:firstLine="709"/>
        <w:jc w:val="both"/>
        <w:rPr>
          <w:color w:val="000000"/>
          <w:sz w:val="28"/>
          <w:szCs w:val="28"/>
          <w:lang w:val="uk-UA"/>
        </w:rPr>
      </w:pPr>
      <w:r w:rsidRPr="00A42333">
        <w:rPr>
          <w:color w:val="000000"/>
          <w:sz w:val="28"/>
          <w:szCs w:val="28"/>
        </w:rPr>
        <w:t>е) передача нефтепродуктов, произведенных налогоплательщиком из давальческого сырья, собственнику этого сырья не имеющему Свидетельства. При этом передача нефтепродуктов иному лицу по поручению собственника приравнивается к передаче нефтепродуктов собственнику.</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b/>
          <w:bCs/>
          <w:color w:val="000000"/>
          <w:sz w:val="28"/>
          <w:szCs w:val="28"/>
          <w:lang w:val="uk-UA"/>
        </w:rPr>
      </w:pPr>
      <w:r w:rsidRPr="00A42333">
        <w:rPr>
          <w:b/>
          <w:bCs/>
          <w:color w:val="000000"/>
          <w:sz w:val="28"/>
          <w:szCs w:val="28"/>
        </w:rPr>
        <w:t>1.4. Порядок исчисления и уплаты акцизов.</w:t>
      </w:r>
    </w:p>
    <w:p w:rsidR="00A42333" w:rsidRPr="00A42333" w:rsidRDefault="00A42333" w:rsidP="00A42333">
      <w:pPr>
        <w:spacing w:line="360" w:lineRule="auto"/>
        <w:ind w:firstLine="709"/>
        <w:jc w:val="both"/>
        <w:rPr>
          <w:color w:val="000000"/>
          <w:sz w:val="28"/>
          <w:szCs w:val="28"/>
          <w:lang w:val="uk-UA"/>
        </w:rPr>
      </w:pP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Порядок исчисления акцизов установлен статьей 194 НК РФ. Сумма акциза по каждому виду товаров (в том числе и по ввозимым на территорию РФ) исчисляется как произведение соответствующей налоговой ставки и налоговой базы по конкретному виду товаров.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Налоговая база определяется отдельно по каждому виду подакцизных товаров в зависимости от применяемых в отношении этих товаров налоговых ставок.</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реализации или передаче произведенных налогоплательщиком подакцизных товаров, в отношении которых установлены специфические ставки (в твердой сумме к физической характеристике объекта), налоговая база определяется как объем реализованных (переданных) подакцизных товаров в натуральном выражении. Размер акциза будет определен путем умножения налоговой базы на ставку.</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реализации (передаче) подакцизных товаров, в отношении которых установлены адвалорные ставки (в процентах к стоимости), налоговая база представляет собой стоимость реализованных (переданных) подакцизных товаров без учета НДС и акцизов. Размер акциза будет определен путем умножения налоговой базы на ставку.</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определении налоговой базы выручка, полученная в иностранной валюте, пересчитывается в рубли по курсу Центрального Банка РФ на дату реализации. В налоговую базу не включаются полученные средства, не связанные с реализацией подакцизных товаров.</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Налоговая база увеличивается на суммы, полученные за реализованные подакцизные товары, в отношении которых установлены адвалорные налоговые ставки в виде финансовой помощи, авансовых и иных платежей, полученных в счет предстоящих поставок, на пополнение фондов специального назначения, в счет увеличения дохода в виде процента или дисконта по векселям, процента по товарному кредиту, а также иначе связанные с оплатой за подакцизные товары.</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При ввозе подакцизных товаров, в отношении которых установлены специфические налоговые ставки, на таможенную территорию Российской Федерации налоговая база определяется как объем ввозимых подакцизных товаров в натуральном выражении. По подакцизным товарам с адвалорными налоговыми ставками в на-логовую базу следует включать таможенную стоимость и подлежащую уплате таможенную пошлину. Налоговая база рассчитывается отдельно по каждой ввозимой партии подакцизных товаров и в отношении каждой из групп товаров, облагаемых по разным ставкам. Приказом Государственного таможенного комитета РФ от 19 декабря 2000 г. № 01--06/36951 «О применении таможенными органами части второй Налогового кодекса РФ» направлены Методические рекомендации о порядке применения акцизов отношении товаров, ввозимых на территорию РФ, которыми установлены правила взимания налога.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Законодательством предусмотрено освобождение от налогообложения акцизами некоторых операций.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1. Не подлежат налогообложению (освобождаются от налогообложения) следующие операции:</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1) передача подакцизных товаров одним структурным подразделением организации, не являющимся самостоятельным налогоплательщиком, для производства других подакцизных товаров другому такому же структурному подразделению этой организации;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2) реализация организациями денатурированного этилового спирта из всех видов сырья в установленном Федеральным законом "О государственном регулировании производства и оборота этилового спирта, алкогольной и спиртосодержащей продукции" порядке.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3) реализация организациями денатурированной спиртосодержащей продукции в установленном Федеральным законом "О государственном регулировании производства и оборота этилового спирта, алкогольной и спиртосодержащей продукции" порядке.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4) реализация подакцизных товаров (за исключением нефтепродуктов), помещенных под таможенный режим экспорта, за пределы территории Российской Федерации с учетом потерь в пределах норм естественной убыли, а также операции, являющиеся объектами налогообложения в соответствии с подпунктами 2, 3 и 4 пункта 1 статьи 182 НК РФ, с нефтепродуктами, в дальнейшем помещенными под таможенный режим экспорта.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Освобождение указанных операций от налогообложения производится в соответствии со статьей 184 НК РФ.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5) реализация нефтепродуктов налогоплательщиком;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6) первичная реализация (передача) конфискованных и (или) бесхозяйных подакцизных товаров, подакцизных товаров, от которых произошел отказ в пользу государства и которые подлежат обращению в государственную и (или) муниципальную собственность, на промышленную переработку под контролем таможенных и (или) налоговых органов либо уничтожение.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xml:space="preserve">2. Перечисленные в пункте 1 операции не подлежат налогообложению (освобождаются от налогообложения) только при ведении и наличии отдельного учета операций по производству и реализации (передаче) таких подакцизных товаров. </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3. Не подлежит налогообложению (освобождается от налогообложения) ввоз на таможенную территорию Российской Федерации подакцизных товаров, от которых произошел отказ в пользу государства и которые подлежат обращению в государственную и (или) муниципальную собственность.</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Уплата акцизов в соответствующие бюджеты осуществляется исходя из фактической реализации за истекший налоговый период не позднее последнего числа месяца, следующего за отчетным.</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Уплата акциза при реализации бензина автомобильного с окта-новым числом свыше 80 производится исходя из фактической реализации за истекший налоговый период в следующем порядке: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не позднее 15 числа третьего месяца, следующего за отчетным месяцем, по бензину, реализованного с 1 по 15 число отчетного месяца включительно;</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не позднее 30 числа третьего месяца, следующего за отчетным месяцем по бензину, реализованному с 16 по последнее число отчетного месяца.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Уплата акциза при реализации (передаче) этилового спирта, спиртосодержащей и алкогольной продукции, пива, табачной продукции, ювелирных изделий, автомобилей и мотоциклов производится исходя из фактической реализации (передачи) за истекший налоговый период равными долями не позднее 30-го числа месяца, следующего за отчетным, и не позднее 15 числа второго месяца, следующего за отчетным.</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Уплата акциза при реализации алкогольной продукции с акцизных складов оптовых организаций производится исходя из фактической реализации за истекший налоговый период в следующем порядке:</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не позднее 30-го числа отчетного месяца (авансовый платеж) по алкогольной продукции, реализованной с 1-го по 15-е число отчетного месяца включительно;</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 не позднее 15-го числа месяца, следующего за отчетным по алкогольной продукции, реализованной с 16-го по последнее число отчетного месяца.</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Сроки и порядок уплаты акцизов при ввозе подакцизных то-ров на таможенную территорию Российской Федерации устанавливается таможенным законодательством.</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Акциз по подакцизным товарам уплачивается по месту производства таких товаров, а по алкогольной продукции, кроме того, уплачивается по месту ее реализации с акцизных складов (50 % -- по месту производства, 50 % -- по месту реализации с акцизного склада), за исключением реализации на акцизные склады других организаций.</w:t>
      </w:r>
    </w:p>
    <w:p w:rsidR="009432BE" w:rsidRPr="00A42333" w:rsidRDefault="009432BE" w:rsidP="00A42333">
      <w:pPr>
        <w:spacing w:line="360" w:lineRule="auto"/>
        <w:ind w:firstLine="709"/>
        <w:jc w:val="both"/>
        <w:rPr>
          <w:color w:val="000000"/>
          <w:sz w:val="28"/>
          <w:szCs w:val="28"/>
        </w:rPr>
      </w:pPr>
      <w:r w:rsidRPr="00A42333">
        <w:rPr>
          <w:color w:val="000000"/>
          <w:sz w:val="28"/>
          <w:szCs w:val="28"/>
        </w:rPr>
        <w:t>Налогоплательщики обязаны представлять в налоговый орган по месту своей регистрации в качестве налогоплательщика налоговую декларацию в срок не позднее последнего числа месяца, следующего за отчетным. Они также должны представлять в налоговые органы по месту своей регистрации и по месту нахождения филиалов и обособленных подразделений налоговые декларации в части осуществления ими фактической реализации (передачи) подакцизных товаров за отчетный налоговый период позднее последнего числа месяца, следующего за отчетным. Декларация по акцизам на подакцизные товары заполняется по формам, утвержденным Приказом Министерства РФ по налогам и сборам от 10 декабря 2003 г. БГ--3--03/675.</w:t>
      </w:r>
    </w:p>
    <w:p w:rsidR="009432BE" w:rsidRPr="00A42333" w:rsidRDefault="00A42333" w:rsidP="00A42333">
      <w:pPr>
        <w:tabs>
          <w:tab w:val="left" w:pos="601"/>
        </w:tabs>
        <w:suppressAutoHyphens/>
        <w:spacing w:line="360" w:lineRule="auto"/>
        <w:jc w:val="center"/>
        <w:rPr>
          <w:b/>
          <w:bCs/>
          <w:color w:val="000000"/>
          <w:kern w:val="36"/>
          <w:sz w:val="28"/>
          <w:szCs w:val="28"/>
        </w:rPr>
      </w:pPr>
      <w:r>
        <w:rPr>
          <w:color w:val="000000"/>
          <w:kern w:val="36"/>
          <w:sz w:val="28"/>
          <w:szCs w:val="28"/>
        </w:rPr>
        <w:br w:type="page"/>
      </w:r>
      <w:r w:rsidR="009432BE" w:rsidRPr="00A42333">
        <w:rPr>
          <w:b/>
          <w:bCs/>
          <w:color w:val="000000"/>
          <w:kern w:val="36"/>
          <w:sz w:val="28"/>
          <w:szCs w:val="28"/>
        </w:rPr>
        <w:t>2. Экономическая сущность акцизного налогообложения.</w:t>
      </w:r>
    </w:p>
    <w:p w:rsidR="00A42333" w:rsidRDefault="00A42333" w:rsidP="00A42333">
      <w:pPr>
        <w:spacing w:line="360" w:lineRule="auto"/>
        <w:ind w:firstLine="709"/>
        <w:jc w:val="both"/>
        <w:rPr>
          <w:color w:val="000000"/>
          <w:kern w:val="36"/>
          <w:sz w:val="28"/>
          <w:szCs w:val="28"/>
          <w:lang w:val="uk-UA"/>
        </w:rPr>
      </w:pP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Как и большинство налогов, акцизы обладают 2-мя основными функциями: фискальной и регулирующей. В большинстве развитых стран регулирующая функция акцизов является главенствующей, так основной упор при налогообложении делается на налоги с дохода, что объясняется их большей социальной справедливостью. Косвенные налоги, к которым относятся акцизы, имеют регрессивный характер и поэтому их широкое применение считается нецелесообразным.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xml:space="preserve">Наиболее спорным вопросом при введении акцизов является конкретная ставка того или иного акциза. Большинство методик определения таких ставок основываются на эластичности спроса и предложения. Изначальным моментом при их применении является прояснение вопроса о том, какую в данном случае фискальную или регулирующую функцию должен выполнять тот или иной акциз и в зависимости от этого достаточно просто рассчитывается ставка. Решается задача, решением которой будет являться либо максимизация площади прямоугольника acef (рис.1), либо уменьшения равновесного производства товара до планируемой величины. </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xml:space="preserve">Но наиболее интересной мне показалась следующая методика вычисления оптимальной ставки налогообложения, особенно в плане своей последовательности в выполнении «справедливой» функций акциза. По этой методике основная идея обложения акцизами тех или иных товарах заключается в обложение налогами «грехов» налогоплательщиков. Причем данный подход не означает, что акцизами облагаются некие аморальные или неприличные товары или услуги. В основе налогообложения подакцизных товаров и определении ставок налогов лежат так называемые отрицательные экстерналии (negative externalities) - дополнительные издержки, которые несет общество в виде расходов государственных бюджетов всех уровней вследствие производства и потребления тех или иных товаров и услуг. Если правительство не несет таких издержек, то какой бы «греховной» не была бы та или иная продукция, она не являлась бы объектом акцизного обложения. </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Например, сигареты облагаются налогами по следующим причинам: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ухудшение здоровья курильщиков приводит к дополнительным расходам на медицинское обслуживание, покрываемое за счет бюджета;</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ухудшение здоровья курильщиков приводит к дополнительным расходам из бюджета по оплате отпусков по болезни и т.д.;</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В то же время не должна облагаться акцизами эротическая продукция по одной простой причине, что потребление последней не приводит к дополнительным бюджетным расходам.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Оптимальной ставкой налогообложения по таким акцизам считается ставка, при которой государство получает необходимые ему доходы для покрытия расходов связанных с потреблением того или иного продукта или услуги. Кроме того, должны быть покрыты издержки по изъятию акциза и в некоторых случаях ставка повышается еще на несколько пунктов для снижения потребления социально вредных товаров.</w:t>
      </w:r>
    </w:p>
    <w:p w:rsidR="009432BE" w:rsidRDefault="009432BE" w:rsidP="00A42333">
      <w:pPr>
        <w:spacing w:line="360" w:lineRule="auto"/>
        <w:ind w:firstLine="709"/>
        <w:jc w:val="both"/>
        <w:rPr>
          <w:color w:val="000000"/>
          <w:kern w:val="36"/>
          <w:sz w:val="28"/>
          <w:szCs w:val="28"/>
          <w:lang w:val="uk-UA"/>
        </w:rPr>
      </w:pPr>
      <w:r w:rsidRPr="00A42333">
        <w:rPr>
          <w:color w:val="000000"/>
          <w:kern w:val="36"/>
          <w:sz w:val="28"/>
          <w:szCs w:val="28"/>
        </w:rPr>
        <w:t>Например, оптимальная ставка акциз на сигареты рассчитывается следующим образом:</w:t>
      </w:r>
    </w:p>
    <w:p w:rsidR="00A42333" w:rsidRPr="00A42333" w:rsidRDefault="00A42333" w:rsidP="00A42333">
      <w:pPr>
        <w:spacing w:line="360" w:lineRule="auto"/>
        <w:ind w:firstLine="709"/>
        <w:jc w:val="both"/>
        <w:rPr>
          <w:color w:val="000000"/>
          <w:kern w:val="36"/>
          <w:sz w:val="28"/>
          <w:szCs w:val="28"/>
          <w:lang w:val="uk-UA"/>
        </w:rPr>
      </w:pPr>
    </w:p>
    <w:tbl>
      <w:tblPr>
        <w:tblW w:w="9525" w:type="dxa"/>
        <w:tblCellSpacing w:w="15" w:type="dxa"/>
        <w:tblInd w:w="-45" w:type="dxa"/>
        <w:tblCellMar>
          <w:top w:w="15" w:type="dxa"/>
          <w:left w:w="15" w:type="dxa"/>
          <w:bottom w:w="15" w:type="dxa"/>
          <w:right w:w="15" w:type="dxa"/>
        </w:tblCellMar>
        <w:tblLook w:val="0000" w:firstRow="0" w:lastRow="0" w:firstColumn="0" w:lastColumn="0" w:noHBand="0" w:noVBand="0"/>
      </w:tblPr>
      <w:tblGrid>
        <w:gridCol w:w="8786"/>
        <w:gridCol w:w="739"/>
      </w:tblGrid>
      <w:tr w:rsidR="009432BE" w:rsidRPr="00A42333" w:rsidTr="00A42333">
        <w:trPr>
          <w:tblCellSpacing w:w="15" w:type="dxa"/>
        </w:trPr>
        <w:tc>
          <w:tcPr>
            <w:tcW w:w="0" w:type="auto"/>
          </w:tcPr>
          <w:p w:rsidR="009432BE" w:rsidRPr="00A42333" w:rsidRDefault="009432BE" w:rsidP="00A42333">
            <w:pPr>
              <w:suppressAutoHyphens/>
              <w:spacing w:line="360" w:lineRule="auto"/>
              <w:jc w:val="both"/>
              <w:rPr>
                <w:color w:val="000000"/>
                <w:sz w:val="20"/>
                <w:szCs w:val="20"/>
              </w:rPr>
            </w:pPr>
            <w:r w:rsidRPr="00A42333">
              <w:rPr>
                <w:color w:val="000000"/>
                <w:sz w:val="20"/>
                <w:szCs w:val="20"/>
              </w:rPr>
              <w:t>Экстерналии в расчете на одну пачку сигарет W. Kip Viscusi “Tax Policy and the Economy”, 1995:</w:t>
            </w:r>
          </w:p>
        </w:tc>
        <w:tc>
          <w:tcPr>
            <w:tcW w:w="694" w:type="dxa"/>
          </w:tcPr>
          <w:p w:rsidR="009432BE" w:rsidRPr="00A42333" w:rsidRDefault="009432BE" w:rsidP="00A42333">
            <w:pPr>
              <w:suppressAutoHyphens/>
              <w:spacing w:line="360" w:lineRule="auto"/>
              <w:jc w:val="both"/>
              <w:rPr>
                <w:color w:val="000000"/>
                <w:sz w:val="20"/>
                <w:szCs w:val="20"/>
              </w:rPr>
            </w:pP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Медицинское обслуживание</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-0,37</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Отпуск по болезни</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-0,00</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Групповые страховки</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-0,06</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Питание и уход</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+0,25</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Пенсия по старости</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+1,84</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Ущерб от пожаров</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-0,01</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 xml:space="preserve">Подоходный налог </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-0,61</w:t>
            </w:r>
          </w:p>
        </w:tc>
      </w:tr>
      <w:tr w:rsidR="00A42333" w:rsidRPr="00A42333" w:rsidTr="00A42333">
        <w:trPr>
          <w:tblCellSpacing w:w="15" w:type="dxa"/>
        </w:trPr>
        <w:tc>
          <w:tcPr>
            <w:tcW w:w="0" w:type="auto"/>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 xml:space="preserve">Итого чистые экстерналии </w:t>
            </w:r>
          </w:p>
        </w:tc>
        <w:tc>
          <w:tcPr>
            <w:tcW w:w="694" w:type="dxa"/>
          </w:tcPr>
          <w:p w:rsidR="00A42333" w:rsidRPr="00A42333" w:rsidRDefault="00A42333" w:rsidP="00A42333">
            <w:pPr>
              <w:suppressAutoHyphens/>
              <w:spacing w:line="360" w:lineRule="auto"/>
              <w:jc w:val="both"/>
              <w:rPr>
                <w:color w:val="000000"/>
                <w:sz w:val="20"/>
                <w:szCs w:val="20"/>
              </w:rPr>
            </w:pPr>
            <w:r w:rsidRPr="00A42333">
              <w:rPr>
                <w:color w:val="000000"/>
                <w:sz w:val="20"/>
                <w:szCs w:val="20"/>
              </w:rPr>
              <w:t>+1,03</w:t>
            </w:r>
          </w:p>
        </w:tc>
      </w:tr>
    </w:tbl>
    <w:p w:rsidR="00A42333" w:rsidRDefault="00A42333" w:rsidP="00A42333">
      <w:pPr>
        <w:spacing w:line="360" w:lineRule="auto"/>
        <w:ind w:firstLine="709"/>
        <w:jc w:val="both"/>
        <w:rPr>
          <w:color w:val="000000"/>
          <w:kern w:val="36"/>
          <w:sz w:val="28"/>
          <w:szCs w:val="28"/>
          <w:lang w:val="uk-UA"/>
        </w:rPr>
      </w:pP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Важным моментом этой методики является то, что подсчитываются не только отрицательные эффекты, но и экономия, получаемая обществом от употребления сигарет. Общество экономит 58 центов на том, что средняя продолжительность жизни курильщиков значительно ниже, и, следовательно, общество экономит на расходах по уходу за престарелыми, а также 1,84 доллара на пенсии по старости. Как это ни парадоксально звучит, но исходя из расчетов изложенных в таблице, в действительности налогоплательщикам выгодно наличие курильщиков в обществе, т.к. это приносит около 1 доллара чистой положительной экстерналии на каждую проданную пачку. Таким образом, обложение акцизами сигарет нецелесообразно.</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Данная методика наглядно демонстрирует 3-ю функцию акцизов, выражающуюся в справедливом обложении налогами товаров, употребление которых приводит к дополнительным бюджетным расходам.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Очевидно, что экономическая сущность каждого конкретного акциза зависит от объекта обложения. Уникальным объектом исследования в этом плане выступает алкоголь.</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Алкоголь - необычный товар. Он играет различные роли в социальных и культурных устоях общества. Мэри Дуглас, выдающийся английский социолог весьма точно определила употребление алкоголя как «общественный акт, исполняемый в определенном социальном контексте». Употребление алкоголя во многом не есть действие, отражающее индивидуальный выбор. Социологи утверждают, что традиции употребление алкоголя выявляют культурные и общественные ценности в том или ином регионе. Неслучайно, практически во все культурах, потребление алкогольных напитков в одиночестве считается нездоровым симптомом.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Подтверждением этих слов является исследования, проведенные в Европе, например, как бары влияют на политические взгляды избирателей. В частности, выяснилось, что рестрективная политика государства по отношению к одним алкогольным напиткам при параллельном поощрении других приводит к изменению политических предпочтений электората.</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Неумеренная политика государства в направлении уменьшения производства и потребления алкоголя может привести к неоднозначным последствиям. В то же время акцизное налогообложение алкоголя считается единственным действенным методом снижения его производства. Именно поэтому при обложении алкоголя наиболее правильным, скорее всего, будет принцип «справедливости», изложенный выше. Также нужно принять во внимание, что часть регионов в РФ в значительной мере зависит от производства алкогольной продукции, и необоснованное повышение этих налогов может привести к экономическому кризису в этих регионах.</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Обложение акцизами легковых автомобилей носит исключительно фискальный характер и в условиях РФ оправдано по той простой причине, что легковые автомобили с объемом двигателя больше 2500 кубических сантиметров практически полностью производятся за пределами РФ, и, следовательно, эта мера имеет протекционистское воздействие, как и определено в законе «Об акцизах»: «Ставки акцизов по подакцизным товарам, ввозимым на территорию РФ, устанавливаются с учетом обеспечения защиты отечественного производителя и потребителя и сохранения конкурентоспособности отечественных товаров…» Кроме того, автомобили с двигателем такой мощности можно причислить к предметам роскоши, поэтому данный налог в некоторой мере уменьшает регрессивность акцизного налогообложения в целом.</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Еще один пример использования акцизов в протекционистских целях можно найти в Указе Президента от 18 января 1996 г. №64 «О взимании акцизов с подакцизных товаров, происходящих с территории Украины при ввозе на таможенную территорию РФ». После отмены на Украине акцизов с подакцизных товаров, происходящих с ее территории, при их вывозе в Россию сложилась такая ситуация, когда украинский товар, поступаю на российский рынок, становится в ценовом отношении более конкурентоспособным, чем его российский аналог, поскольку последний облагается акцизом. Изменить ее можно было только через обложение украинских товаров при их ввозе на российскую территорию акцизом по действующим ставкам импортных акцизов.</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Заметим, что мировая торговая практика не допускает взимания акцизов с импортируемой продукции по ставкам, превышающим те, которыми облагаются аналогичные товары местного производства. Такой запрет закреплен в статье III ГАТТ: «Товары, происходящие из одной страны участницы, не должны облагаться прямо или косвенно внутренними налогами или другими внутренними сборами, превышающими прямо или косвенно налоги и сборы, применяемые к товарам отечественного происхождения».</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xml:space="preserve">Основная задача пограничного налогового регулирования - устранить препятствия развитию международного разделения труда и мировой торговли, связанные с двойным налогообложением. Для этого признается, что исключительное право взимания косвенных налогов принадлежит стране, импортирующей товар. В стране происхождения (производства) товара он освобождается от уплаты косвенных налогов. Такой тип акцизов относится к пограничным уравнительным налогам. Пограничные уравнительные налоги следует отделять от таможенных пошлин. Общими для них является то, что их взимание осуществляется таможенными органами в момент пересечения таможенной границы. Основное отличие между ними состоит в том, что акцизами облагаются как импортные товары, так и товары местного производства. Иначе говоря, каждому пограничному уравнительному налогу можно найти соответствующий «внутренний» налог. </w:t>
      </w:r>
    </w:p>
    <w:p w:rsidR="009432BE" w:rsidRPr="009F38FA" w:rsidRDefault="009F38FA" w:rsidP="009F38FA">
      <w:pPr>
        <w:tabs>
          <w:tab w:val="left" w:pos="601"/>
        </w:tabs>
        <w:suppressAutoHyphens/>
        <w:spacing w:line="360" w:lineRule="auto"/>
        <w:jc w:val="center"/>
        <w:rPr>
          <w:b/>
          <w:bCs/>
          <w:color w:val="000000"/>
          <w:kern w:val="36"/>
          <w:sz w:val="28"/>
          <w:szCs w:val="28"/>
        </w:rPr>
      </w:pPr>
      <w:r>
        <w:rPr>
          <w:color w:val="000000"/>
          <w:kern w:val="36"/>
          <w:sz w:val="28"/>
          <w:szCs w:val="28"/>
        </w:rPr>
        <w:br w:type="page"/>
      </w:r>
      <w:r w:rsidR="009432BE" w:rsidRPr="009F38FA">
        <w:rPr>
          <w:b/>
          <w:bCs/>
          <w:color w:val="000000"/>
          <w:kern w:val="36"/>
          <w:sz w:val="28"/>
          <w:szCs w:val="28"/>
        </w:rPr>
        <w:t>Заключение.</w:t>
      </w:r>
    </w:p>
    <w:p w:rsidR="009F38FA" w:rsidRDefault="009F38FA" w:rsidP="00A42333">
      <w:pPr>
        <w:spacing w:line="360" w:lineRule="auto"/>
        <w:ind w:firstLine="709"/>
        <w:jc w:val="both"/>
        <w:rPr>
          <w:color w:val="000000"/>
          <w:kern w:val="36"/>
          <w:sz w:val="28"/>
          <w:szCs w:val="28"/>
          <w:lang w:val="uk-UA"/>
        </w:rPr>
      </w:pP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Фактически, акцизное налогообложение носит регрессивный характер, когда налогообложение равным образом ложится как на обеспеченные, так и на бедные слои населения. Изначально задуманные как социально направленные налоги, акцизы на данный момент выполняют асоциальные функции, еще больше увеличивая разрыв между беднейшими и состоятельными слоями общества. Как и любой косвенный налог, акцизы перекладываются на беднейшую часть населения и то, что более 20% налоговых поступлений в бюджет составляют акцизы - тревожный знак. Именно косвенные налоги оказывают значительный сдерживающий эффект на экономику, что еще более опасно в условиях затянувшегося кризиса. Это еще раз подчеркивает, что государство не умеет собирать прямые налоги.</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В настоящий момент акцизы выполняют в большей своей части фискальную функцию, что выражается в стремлении властей при введении тех или иных акцизов не столько к регулированию производства и потребления тех или иных товаров, сколько к пополнению бюджета. Фискальная направленность акцизов на бензин не вызывает сомнений, и это при том, что повышение цен на бензин - один из факторов, влияющих на повышение издержек практически любого производства, следовательно, повышения общественно необходимых затрат на производство той или иной продукции, что приводит к снижению конкурентоспособности экономики в целом. Тем не менее, регулирующее воздействие акцизов все же проявляется, и наиболее оно благотворно в сфере оборота алкогольной продукции. Таким образом, государство не только пополняет казну, не только уменьшает уровень потребления алкоголя, но и способствует реализации только качественной продукции.</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Спорными остаются величины ставок акцизов, а также способы индексирования величины специфических ставок. Применение адвалорных ставок приводит к серьезным трудностям при оценке объекта налогообложения. Специфические же ставки недостаточно оперативно корректируются в связи с инфляционными процессами.</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xml:space="preserve">Законодательная база в сфере акцизов еще недостаточно проработана. В частности это относится к большому объему документов, которые недостаточно систематизированы и трудны для восприятия. </w:t>
      </w:r>
    </w:p>
    <w:p w:rsidR="009432BE" w:rsidRPr="00A42333" w:rsidRDefault="009432BE" w:rsidP="00A42333">
      <w:pPr>
        <w:spacing w:line="360" w:lineRule="auto"/>
        <w:ind w:firstLine="709"/>
        <w:jc w:val="both"/>
        <w:rPr>
          <w:color w:val="000000"/>
          <w:kern w:val="36"/>
          <w:sz w:val="28"/>
          <w:szCs w:val="28"/>
        </w:rPr>
      </w:pPr>
      <w:r w:rsidRPr="00A42333">
        <w:rPr>
          <w:color w:val="000000"/>
          <w:kern w:val="36"/>
          <w:sz w:val="28"/>
          <w:szCs w:val="28"/>
        </w:rPr>
        <w:t xml:space="preserve">Акцизы выступают одними из немногих рычагов воздействия государства на экономические процессы, имеющие место в обществе. Совершенствование налогообложения в сфере акцизов является одним из важнейших условий улучшения экономической ситуации, пополнения федерального и региональных бюджетов. </w:t>
      </w:r>
    </w:p>
    <w:p w:rsidR="009432BE" w:rsidRPr="00A42333" w:rsidRDefault="00A42333" w:rsidP="00A42333">
      <w:pPr>
        <w:tabs>
          <w:tab w:val="left" w:pos="601"/>
        </w:tabs>
        <w:suppressAutoHyphens/>
        <w:spacing w:line="360" w:lineRule="auto"/>
        <w:jc w:val="center"/>
        <w:rPr>
          <w:b/>
          <w:bCs/>
          <w:color w:val="000000"/>
          <w:kern w:val="36"/>
          <w:sz w:val="28"/>
          <w:szCs w:val="28"/>
          <w:lang w:val="uk-UA"/>
        </w:rPr>
      </w:pPr>
      <w:r>
        <w:rPr>
          <w:color w:val="000000"/>
          <w:kern w:val="36"/>
          <w:sz w:val="28"/>
          <w:szCs w:val="28"/>
        </w:rPr>
        <w:br w:type="page"/>
      </w:r>
      <w:r w:rsidR="009432BE" w:rsidRPr="00A42333">
        <w:rPr>
          <w:b/>
          <w:bCs/>
          <w:color w:val="000000"/>
          <w:kern w:val="36"/>
          <w:sz w:val="28"/>
          <w:szCs w:val="28"/>
        </w:rPr>
        <w:t>Литература</w:t>
      </w:r>
    </w:p>
    <w:p w:rsidR="00A42333" w:rsidRDefault="00A42333" w:rsidP="00A42333">
      <w:pPr>
        <w:spacing w:line="360" w:lineRule="auto"/>
        <w:ind w:firstLine="709"/>
        <w:jc w:val="both"/>
        <w:rPr>
          <w:color w:val="000000"/>
          <w:sz w:val="28"/>
          <w:szCs w:val="28"/>
          <w:lang w:val="en-US"/>
        </w:rPr>
      </w:pPr>
    </w:p>
    <w:p w:rsidR="009432BE" w:rsidRPr="00A42333" w:rsidRDefault="009432BE" w:rsidP="00A42333">
      <w:pPr>
        <w:numPr>
          <w:ilvl w:val="0"/>
          <w:numId w:val="2"/>
        </w:numPr>
        <w:tabs>
          <w:tab w:val="clear" w:pos="1429"/>
          <w:tab w:val="left" w:pos="600"/>
        </w:tabs>
        <w:suppressAutoHyphens/>
        <w:spacing w:line="360" w:lineRule="auto"/>
        <w:ind w:left="0" w:firstLine="0"/>
        <w:jc w:val="both"/>
        <w:rPr>
          <w:color w:val="000000"/>
          <w:sz w:val="28"/>
          <w:szCs w:val="28"/>
        </w:rPr>
      </w:pPr>
      <w:r w:rsidRPr="00A42333">
        <w:rPr>
          <w:color w:val="000000"/>
          <w:sz w:val="28"/>
          <w:szCs w:val="28"/>
        </w:rPr>
        <w:t>Налоговый кодекс Российской Федерации. Часть вторая.- М.: «Ось-89», 2003 г. - 160 с.</w:t>
      </w:r>
    </w:p>
    <w:p w:rsidR="009432BE" w:rsidRPr="00A42333" w:rsidRDefault="009432BE" w:rsidP="00A42333">
      <w:pPr>
        <w:numPr>
          <w:ilvl w:val="0"/>
          <w:numId w:val="2"/>
        </w:numPr>
        <w:tabs>
          <w:tab w:val="clear" w:pos="1429"/>
          <w:tab w:val="left" w:pos="600"/>
        </w:tabs>
        <w:suppressAutoHyphens/>
        <w:spacing w:line="360" w:lineRule="auto"/>
        <w:ind w:left="0" w:firstLine="0"/>
        <w:jc w:val="both"/>
        <w:rPr>
          <w:color w:val="000000"/>
          <w:sz w:val="28"/>
          <w:szCs w:val="28"/>
        </w:rPr>
      </w:pPr>
      <w:r w:rsidRPr="00A42333">
        <w:rPr>
          <w:color w:val="000000"/>
          <w:sz w:val="28"/>
          <w:szCs w:val="28"/>
        </w:rPr>
        <w:t>Давыдова И.А. Акцизы - М.: ЗАО "Издательский Дом "Главбух"; 2003. - 256 с.</w:t>
      </w:r>
    </w:p>
    <w:p w:rsidR="009432BE" w:rsidRPr="00A42333" w:rsidRDefault="009432BE" w:rsidP="00A42333">
      <w:pPr>
        <w:numPr>
          <w:ilvl w:val="0"/>
          <w:numId w:val="2"/>
        </w:numPr>
        <w:tabs>
          <w:tab w:val="clear" w:pos="1429"/>
          <w:tab w:val="left" w:pos="600"/>
        </w:tabs>
        <w:suppressAutoHyphens/>
        <w:spacing w:line="360" w:lineRule="auto"/>
        <w:ind w:left="0" w:firstLine="0"/>
        <w:jc w:val="both"/>
        <w:rPr>
          <w:color w:val="000000"/>
          <w:sz w:val="28"/>
          <w:szCs w:val="28"/>
        </w:rPr>
      </w:pPr>
      <w:r w:rsidRPr="00A42333">
        <w:rPr>
          <w:color w:val="000000"/>
          <w:sz w:val="28"/>
          <w:szCs w:val="28"/>
        </w:rPr>
        <w:t>Налоги и налогообложение: Учеб. Пособие для вузов/ Под ред. Проф. Г.Б. Поляка, проф. А.Н. Романова. - М.: ЮНИТИ-ДАНА, 2002. - 399 с.</w:t>
      </w:r>
    </w:p>
    <w:p w:rsidR="009432BE" w:rsidRPr="00A42333" w:rsidRDefault="009432BE" w:rsidP="00A42333">
      <w:pPr>
        <w:numPr>
          <w:ilvl w:val="0"/>
          <w:numId w:val="2"/>
        </w:numPr>
        <w:tabs>
          <w:tab w:val="clear" w:pos="1429"/>
          <w:tab w:val="left" w:pos="600"/>
        </w:tabs>
        <w:suppressAutoHyphens/>
        <w:spacing w:line="360" w:lineRule="auto"/>
        <w:ind w:left="0" w:firstLine="0"/>
        <w:jc w:val="both"/>
        <w:rPr>
          <w:color w:val="000000"/>
          <w:sz w:val="28"/>
          <w:szCs w:val="28"/>
        </w:rPr>
      </w:pPr>
      <w:r w:rsidRPr="00A42333">
        <w:rPr>
          <w:color w:val="000000"/>
          <w:sz w:val="28"/>
          <w:szCs w:val="28"/>
        </w:rPr>
        <w:t>www. avseenko.ru</w:t>
      </w:r>
    </w:p>
    <w:p w:rsidR="009432BE" w:rsidRPr="00A42333" w:rsidRDefault="009432BE" w:rsidP="00A42333">
      <w:pPr>
        <w:numPr>
          <w:ilvl w:val="0"/>
          <w:numId w:val="2"/>
        </w:numPr>
        <w:tabs>
          <w:tab w:val="clear" w:pos="1429"/>
          <w:tab w:val="left" w:pos="600"/>
        </w:tabs>
        <w:suppressAutoHyphens/>
        <w:spacing w:line="360" w:lineRule="auto"/>
        <w:ind w:left="0" w:firstLine="0"/>
        <w:jc w:val="both"/>
        <w:rPr>
          <w:color w:val="000000"/>
          <w:sz w:val="28"/>
          <w:szCs w:val="28"/>
        </w:rPr>
      </w:pPr>
      <w:r w:rsidRPr="00A42333">
        <w:rPr>
          <w:color w:val="000000"/>
          <w:sz w:val="28"/>
          <w:szCs w:val="28"/>
        </w:rPr>
        <w:t>www. provodka.ru</w:t>
      </w:r>
    </w:p>
    <w:p w:rsidR="009432BE" w:rsidRPr="00A42333" w:rsidRDefault="009432BE" w:rsidP="00A42333">
      <w:pPr>
        <w:numPr>
          <w:ilvl w:val="0"/>
          <w:numId w:val="2"/>
        </w:numPr>
        <w:tabs>
          <w:tab w:val="clear" w:pos="1429"/>
          <w:tab w:val="left" w:pos="600"/>
        </w:tabs>
        <w:suppressAutoHyphens/>
        <w:spacing w:line="360" w:lineRule="auto"/>
        <w:ind w:left="0" w:firstLine="0"/>
        <w:jc w:val="both"/>
        <w:rPr>
          <w:color w:val="000000"/>
          <w:sz w:val="28"/>
          <w:szCs w:val="28"/>
        </w:rPr>
      </w:pPr>
      <w:r w:rsidRPr="00A42333">
        <w:rPr>
          <w:color w:val="000000"/>
          <w:sz w:val="28"/>
          <w:szCs w:val="28"/>
        </w:rPr>
        <w:t>www. glavbukh.ru</w:t>
      </w:r>
    </w:p>
    <w:p w:rsidR="002056C9" w:rsidRPr="00A42333" w:rsidRDefault="002056C9" w:rsidP="00A42333">
      <w:pPr>
        <w:spacing w:line="360" w:lineRule="auto"/>
        <w:ind w:firstLine="709"/>
        <w:jc w:val="both"/>
        <w:rPr>
          <w:sz w:val="28"/>
          <w:szCs w:val="28"/>
        </w:rPr>
      </w:pPr>
      <w:bookmarkStart w:id="0" w:name="_GoBack"/>
      <w:bookmarkEnd w:id="0"/>
    </w:p>
    <w:sectPr w:rsidR="002056C9" w:rsidRPr="00A42333" w:rsidSect="00A4233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603ADD"/>
    <w:multiLevelType w:val="multilevel"/>
    <w:tmpl w:val="DB4C9B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1215BAD"/>
    <w:multiLevelType w:val="hybridMultilevel"/>
    <w:tmpl w:val="8DBA960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005F"/>
    <w:rsid w:val="002056C9"/>
    <w:rsid w:val="002646E2"/>
    <w:rsid w:val="003A30F4"/>
    <w:rsid w:val="006B005F"/>
    <w:rsid w:val="006E7814"/>
    <w:rsid w:val="009432BE"/>
    <w:rsid w:val="009F38FA"/>
    <w:rsid w:val="00A42333"/>
    <w:rsid w:val="00B171C8"/>
    <w:rsid w:val="00D54559"/>
    <w:rsid w:val="00E36EA1"/>
    <w:rsid w:val="00F4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E8383C-B508-460F-96B1-4B385350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9432BE"/>
    <w:pPr>
      <w:outlineLvl w:val="0"/>
    </w:pPr>
    <w:rPr>
      <w:b/>
      <w:bCs/>
      <w:color w:val="000000"/>
      <w:kern w:val="36"/>
    </w:rPr>
  </w:style>
  <w:style w:type="paragraph" w:styleId="2">
    <w:name w:val="heading 2"/>
    <w:basedOn w:val="a"/>
    <w:link w:val="20"/>
    <w:uiPriority w:val="99"/>
    <w:qFormat/>
    <w:rsid w:val="009432BE"/>
    <w:pPr>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9432BE"/>
    <w:pPr>
      <w:spacing w:after="187"/>
    </w:pPr>
    <w:rPr>
      <w:rFonts w:ascii="Verdana" w:hAnsi="Verdana" w:cs="Verdana"/>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86079">
      <w:marLeft w:val="0"/>
      <w:marRight w:val="0"/>
      <w:marTop w:val="0"/>
      <w:marBottom w:val="0"/>
      <w:divBdr>
        <w:top w:val="none" w:sz="0" w:space="0" w:color="auto"/>
        <w:left w:val="none" w:sz="0" w:space="0" w:color="auto"/>
        <w:bottom w:val="none" w:sz="0" w:space="0" w:color="auto"/>
        <w:right w:val="none" w:sz="0" w:space="0" w:color="auto"/>
      </w:divBdr>
      <w:divsChild>
        <w:div w:id="429086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6738</Words>
  <Characters>38413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КБГУ</Company>
  <LinksUpToDate>false</LinksUpToDate>
  <CharactersWithSpaces>45061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Рамазан</dc:creator>
  <cp:keywords/>
  <dc:description/>
  <cp:lastModifiedBy>Irina</cp:lastModifiedBy>
  <cp:revision>2</cp:revision>
  <dcterms:created xsi:type="dcterms:W3CDTF">2014-08-08T05:23:00Z</dcterms:created>
  <dcterms:modified xsi:type="dcterms:W3CDTF">2014-08-08T05:23:00Z</dcterms:modified>
</cp:coreProperties>
</file>