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25" w:rsidRDefault="00DF5725">
      <w:pPr>
        <w:pStyle w:val="1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Контрольная Работа</w:t>
      </w:r>
    </w:p>
    <w:p w:rsidR="00DF5725" w:rsidRDefault="00DF5725">
      <w:pPr>
        <w:pStyle w:val="2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По муниципальному праву</w:t>
      </w:r>
    </w:p>
    <w:p w:rsidR="00DF5725" w:rsidRDefault="00DF5725">
      <w:pPr>
        <w:pStyle w:val="1"/>
        <w:pBdr>
          <w:top w:val="single" w:sz="4" w:space="18" w:color="auto"/>
        </w:pBdr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>Тема: «Понятие и структура компетенции местного самоуправления»</w:t>
      </w:r>
    </w:p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/>
    <w:p w:rsidR="00DF5725" w:rsidRDefault="00DF5725">
      <w:pPr>
        <w:spacing w:line="480" w:lineRule="auto"/>
        <w:rPr>
          <w:sz w:val="32"/>
        </w:rPr>
      </w:pPr>
      <w:r>
        <w:rPr>
          <w:b/>
          <w:bCs/>
          <w:sz w:val="32"/>
        </w:rPr>
        <w:t xml:space="preserve">Оглавление: 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Введение…………………………………………………….…..2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Понятие и формирование компетенции местного самоуправления……………………………………………..…..3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Вопросы местного значения……………………………………7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Отдельные государственные полномочия…………………….9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Ответственность органов местного самоуправления…….…11</w:t>
      </w:r>
    </w:p>
    <w:p w:rsidR="00DF5725" w:rsidRDefault="00DF5725">
      <w:pPr>
        <w:numPr>
          <w:ilvl w:val="0"/>
          <w:numId w:val="18"/>
        </w:numPr>
        <w:spacing w:line="480" w:lineRule="auto"/>
        <w:rPr>
          <w:sz w:val="32"/>
        </w:rPr>
      </w:pPr>
      <w:r>
        <w:rPr>
          <w:sz w:val="32"/>
        </w:rPr>
        <w:t>Список использованной литературы…………………………13</w:t>
      </w:r>
    </w:p>
    <w:p w:rsidR="00DF5725" w:rsidRDefault="00DF5725">
      <w:pPr>
        <w:spacing w:line="480" w:lineRule="auto"/>
        <w:ind w:left="360"/>
        <w:rPr>
          <w:b/>
          <w:bCs/>
          <w:sz w:val="32"/>
        </w:rPr>
      </w:pPr>
    </w:p>
    <w:p w:rsidR="00DF5725" w:rsidRDefault="00DF5725">
      <w:pPr>
        <w:spacing w:line="480" w:lineRule="auto"/>
        <w:rPr>
          <w:b/>
          <w:bCs/>
          <w:sz w:val="32"/>
        </w:rPr>
      </w:pPr>
    </w:p>
    <w:p w:rsidR="00DF5725" w:rsidRDefault="00DF5725"/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tabs>
          <w:tab w:val="left" w:pos="1134"/>
        </w:tabs>
        <w:ind w:left="360"/>
        <w:rPr>
          <w:b/>
          <w:sz w:val="32"/>
        </w:rPr>
      </w:pPr>
    </w:p>
    <w:p w:rsidR="00DF5725" w:rsidRDefault="00DF5725">
      <w:pPr>
        <w:numPr>
          <w:ilvl w:val="0"/>
          <w:numId w:val="11"/>
        </w:numPr>
        <w:tabs>
          <w:tab w:val="left" w:pos="1134"/>
        </w:tabs>
        <w:rPr>
          <w:b/>
          <w:sz w:val="32"/>
        </w:rPr>
      </w:pPr>
      <w:r>
        <w:rPr>
          <w:b/>
          <w:sz w:val="32"/>
        </w:rPr>
        <w:t xml:space="preserve">Введение </w:t>
      </w:r>
    </w:p>
    <w:p w:rsidR="00DF5725" w:rsidRDefault="00DF5725">
      <w:pPr>
        <w:jc w:val="center"/>
        <w:rPr>
          <w:b/>
          <w:sz w:val="28"/>
        </w:rPr>
      </w:pPr>
    </w:p>
    <w:p w:rsidR="00DF5725" w:rsidRDefault="00DF5725">
      <w:pPr>
        <w:jc w:val="center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Конституция Российской Федерации 1993 г., признавая и гарантируя местное самоуправление (ст. 3, п.2), выступила в качестве важнейшей правовой основы процесса становления и развития  системы местного самоуправления. Тем самым на конституционном уровне впервые закреплено существование </w:t>
      </w:r>
      <w:r>
        <w:rPr>
          <w:b/>
          <w:i/>
          <w:sz w:val="28"/>
        </w:rPr>
        <w:t>независимой</w:t>
      </w:r>
      <w:r>
        <w:rPr>
          <w:sz w:val="28"/>
        </w:rPr>
        <w:t xml:space="preserve"> от государства системы власти народа для решения вопросов местного значения. Именно такой подход к содержанию властных полномочий органов местного самоуправления отражает ст. 130 (п.1) Конституции РФ: «Местное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распоряжения муниципальной собственностью». Эта же статья Конституции (п.2) закрепляет основные организационно-правовые способы осуществления местного самоуправления: референдумы, выборы, иные формы прямого волеизъявления, выборные и другие органы местного самоуправления.</w:t>
      </w:r>
    </w:p>
    <w:p w:rsidR="00DF5725" w:rsidRDefault="00DF5725">
      <w:pPr>
        <w:tabs>
          <w:tab w:val="left" w:pos="1134"/>
        </w:tabs>
        <w:spacing w:line="360" w:lineRule="auto"/>
        <w:ind w:firstLine="426"/>
        <w:jc w:val="both"/>
        <w:rPr>
          <w:sz w:val="28"/>
        </w:rPr>
      </w:pPr>
      <w:r>
        <w:rPr>
          <w:iCs/>
          <w:sz w:val="28"/>
        </w:rPr>
        <w:t>“...Местное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  <w:r>
        <w:rPr>
          <w:i/>
          <w:sz w:val="28"/>
        </w:rPr>
        <w:t xml:space="preserve"> </w:t>
      </w:r>
      <w:r>
        <w:rPr>
          <w:sz w:val="28"/>
        </w:rPr>
        <w:t xml:space="preserve">(ст.12 Конституции РФ). </w:t>
      </w:r>
    </w:p>
    <w:p w:rsidR="00DF5725" w:rsidRDefault="00DF5725">
      <w:pPr>
        <w:tabs>
          <w:tab w:val="left" w:pos="1134"/>
        </w:tabs>
        <w:spacing w:line="360" w:lineRule="auto"/>
        <w:ind w:firstLine="426"/>
        <w:jc w:val="both"/>
        <w:rPr>
          <w:bCs/>
          <w:sz w:val="28"/>
        </w:rPr>
      </w:pPr>
      <w:r>
        <w:rPr>
          <w:sz w:val="28"/>
        </w:rPr>
        <w:t xml:space="preserve">Согласно п.1 ст. 2 Федерального Закона “ Об общих принципах организации местного самоуправления в Российской Федерации” от 28 августа 1995 года </w:t>
      </w:r>
      <w:r>
        <w:rPr>
          <w:bCs/>
          <w:sz w:val="28"/>
        </w:rPr>
        <w:t>“ Местное самоуправление -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значения, исходя из интересов населения, его исторических и иных местных традиций”</w:t>
      </w:r>
    </w:p>
    <w:p w:rsidR="00DF5725" w:rsidRDefault="00DF5725">
      <w:pPr>
        <w:spacing w:line="360" w:lineRule="auto"/>
        <w:rPr>
          <w:sz w:val="28"/>
        </w:rPr>
      </w:pPr>
    </w:p>
    <w:p w:rsidR="00DF5725" w:rsidRDefault="00DF5725">
      <w:pPr>
        <w:spacing w:line="360" w:lineRule="auto"/>
        <w:rPr>
          <w:sz w:val="28"/>
        </w:rPr>
      </w:pPr>
    </w:p>
    <w:p w:rsidR="00DF5725" w:rsidRDefault="00DF5725">
      <w:pPr>
        <w:spacing w:line="360" w:lineRule="auto"/>
        <w:rPr>
          <w:sz w:val="28"/>
        </w:rPr>
      </w:pPr>
    </w:p>
    <w:p w:rsidR="00DF5725" w:rsidRDefault="00DF5725">
      <w:pPr>
        <w:numPr>
          <w:ilvl w:val="0"/>
          <w:numId w:val="11"/>
        </w:num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Понятие и формирование компетенции местного самоуправления  </w:t>
      </w:r>
    </w:p>
    <w:p w:rsidR="00DF5725" w:rsidRDefault="00DF5725">
      <w:pPr>
        <w:spacing w:line="360" w:lineRule="auto"/>
        <w:ind w:left="360"/>
        <w:jc w:val="both"/>
        <w:rPr>
          <w:sz w:val="32"/>
        </w:rPr>
      </w:pP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Рассматривая вопрос о компетенции органов местного самоуправления необходимо отталкиваться от общей цели существования местного самоуправления. Цель создания местного самоуправления - уход от централизации власти в государстве. Если в государстве такая централизация доведена до максимума, то, в конце концов, власть сводиться к творчеству главы государства, что является прямым путем к тоталитаризму. Создание еще одного не подчиненного государственной власти уровня управления, в котором участвуют граждане, как раз развивает творчество населения в области управления.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Компетенция органа местного самоуправления является сложной правовой категорией, структура которой складывается из предметов ведения, прав и обязанностей.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Первым составным элементом компетенции являются предметы ведения.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Предметы ведения  местного самоуправления -  необходимый элемент правового статуса каждого муниципального образования. Закрепляемые нормами муниципального права, они, прежде всего, определяют те области жизнедеятельности населения муниципального образования, на которые распространяется его юрисдикция. 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Рассмотрев место и роль местного самоуправления в политической системе  общества, правовую основу, на которой строится этот уровень власти, необходимо, прежде всего, определиться с главным содержанием его деятельности, тем кругом дел, которыми ведают муниципальные органы, вторым элементом компетенции – их правами и обязанностями. Это важно не только из соображений четкого разделения компетенции между уровнями власти и установления пределов прав и обязанностей каждого уровня. Дело в том, что </w:t>
      </w:r>
      <w:r>
        <w:rPr>
          <w:sz w:val="28"/>
          <w:lang w:val="az-Latn-AZ"/>
        </w:rPr>
        <w:t>сущностным</w:t>
      </w:r>
      <w:r>
        <w:rPr>
          <w:sz w:val="28"/>
        </w:rPr>
        <w:t xml:space="preserve"> основанием для формирования муниципального уровня  власти является утверждение о существовании круга задач, которые должны решаться структурами публичной власти, причем наиболее эффективно они решаются именно на местном уровне. </w:t>
      </w:r>
    </w:p>
    <w:p w:rsidR="00DF5725" w:rsidRDefault="00DF5725">
      <w:pPr>
        <w:pStyle w:val="30"/>
        <w:tabs>
          <w:tab w:val="left" w:pos="180"/>
        </w:tabs>
        <w:spacing w:line="360" w:lineRule="auto"/>
        <w:rPr>
          <w:sz w:val="28"/>
        </w:rPr>
      </w:pPr>
      <w:r>
        <w:rPr>
          <w:sz w:val="28"/>
        </w:rPr>
        <w:t xml:space="preserve">                    В современных российских условиях компетенция местного самоуправления формируется следующим образом:</w:t>
      </w:r>
    </w:p>
    <w:p w:rsidR="00DF5725" w:rsidRDefault="00DF5725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Базовая компетенция прямо устанавливается федеральными законами; </w:t>
      </w:r>
    </w:p>
    <w:p w:rsidR="00DF5725" w:rsidRDefault="00DF5725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>субъектам Российской Федерации предоставляется право расширять перечень вопросов местного значения, которые муниципальные образования вправе принимать к своему рассмотрению;</w:t>
      </w:r>
    </w:p>
    <w:p w:rsidR="00DF5725" w:rsidRDefault="00DF5725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Муниципальные образования вправе также принимать к своему рассмотрению иные вопросы, не исключенные из их ведения и не отнесенные к ведению других муниципальных образований  и органов государственной власти;    </w:t>
      </w:r>
    </w:p>
    <w:p w:rsidR="00DF5725" w:rsidRDefault="00DF5725">
      <w:pPr>
        <w:numPr>
          <w:ilvl w:val="0"/>
          <w:numId w:val="2"/>
        </w:numPr>
        <w:tabs>
          <w:tab w:val="clear" w:pos="1560"/>
          <w:tab w:val="num" w:pos="0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Органы местного самоуправления могут наделяться соответствующими законам отдельными полномочиями. 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Исходя из цели существования местного самоуправления, можно сформулировать задачи этого социального института: 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1. Преодоление апатии населения к участию в решении проблем местного уровня.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2. Обеспечение гарантий участия в местном самоуправлении для желающих.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3. Осуществление взаимодействия с другими сообществами.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Конституция Российской Федерации подробно оговаривает компетенцию государственных органов, как федеральных, так и органов субъектов Российской Федерации. Закрепляя в пункте 1 статьи 132 компетенцию органов местного самоуправления, Конституция, однако, не дает развернутого перечня вопросов местного уровня, а лишь говорит, что "...Органы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другие вопросы местного значения". Таким образом, можно предположить, что компетенция органов местного самоуправления начинается там, где заканчивается компетенция органов государственной власти.</w:t>
      </w:r>
    </w:p>
    <w:p w:rsidR="00DF5725" w:rsidRDefault="00DF5725">
      <w:pPr>
        <w:pStyle w:val="aa"/>
        <w:spacing w:line="360" w:lineRule="auto"/>
        <w:ind w:firstLine="0"/>
        <w:rPr>
          <w:sz w:val="28"/>
        </w:rPr>
      </w:pPr>
      <w:r>
        <w:rPr>
          <w:sz w:val="28"/>
        </w:rPr>
        <w:t xml:space="preserve">                    Четко выраженный  в конституционной норме принцип самостоятельности управленческих действий органов местного самоуправления означает следующее: во-первых, в пределах, установленных законом, это свобода инициативы и выбора решения по всем этим и иным вопросам местного значения; во-вторых, любое, не противоречащее закону и находящееся в его рамках решение,  не требует ни предварительного согласования, ни последующего утверждения государственным органом и тем более не может быть отменено ни в административном, ни в судебном порядке. Разумеется, это не исключает необходимости координации действий с государственными органами, чтобы обеспечить поддержку ими планов, программ или конкретных мероприятий органов местного самоуправления.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Пунктом 2 статьи 132 Конституции Российской Федерации предусматривается возможность наделения органов местного самоуправления отдельными государственными полномочиями с передачей необходимых для их осуществления материальных и финансовых средств. Реализация переданных полномочий подконтрольна государству.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“Наделение полномочиями может осуществляться двумя способами: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1. Передача - способ регулирования полномочий органа местного самоуправления, при котором какое-либо полномочие государственного органа исключается из его компетенции и включается в компетенцию органа местного самоуправления. </w:t>
      </w:r>
    </w:p>
    <w:p w:rsidR="00DF5725" w:rsidRDefault="00DF5725">
      <w:pPr>
        <w:pStyle w:val="22"/>
        <w:ind w:left="0" w:firstLine="0"/>
      </w:pPr>
      <w:r>
        <w:t xml:space="preserve">      2. Делегирование - предоставление государственным органом принадлежащего ему права решения какого-либо вопроса органам местного самоуправления на один раз, на определенный срок или бессрочно.                          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Рассматривая вопросы наделения органов местного самоуправления государственными полномочиями надо иметь ввиду ряд положений: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1. В соответствии с Конституцией Российской Федерации наделение полномочиями производиться только законом. Но так как определение правового статуса местного самоуправления находиться в совместном ведении Российской федерации и ее субъектов, передача полномочий осуществляется законом или актами субъектов Российской Федерации, обладающими соответствующей юридической силой.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2. Объем передаваемых или делегируемых полномочий не может быть слишком велик. Не случайно в Конституции Российской Федерации говорится об отдельных государственных полномочиях, хотя критерии оценки этого найти крайне сложно.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3. Наделение полномочиями должно сопровождаться передачей необходимых для их осуществления материальных и финансовых средств. Это чрезвычайно важное  для российской практики условие, гарантирующее само выполнение полномочий и продолжение осуществления местным самоуправлением присущих ему главных функций.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4. Государство оставляет за собой право контроля за реализацией этих полномочий. Такой контроль по общему правилу означает возможность соответствующих органов: давать указания органам местного самоуправления по поводу реализации переданных полномочий, оценивать решения, принимаемые органами местного самоуправления, не только с точки зрения законности, но и по мотивам их целесообразности, отменять или приостанавливать при необходимости отдельные решения. 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5. Государственное влияние не сводиться только к контролю. Оно функционирует в соответствии с требованиями законности, в режиме общего правопорядка.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Исполнительным органом местного самоуправления в муниципальном образовании является администрация муниципального образования. 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Глава администрации муниципального образования является высшим должностным лицом исполнительного органа местного самоуправления и руководит деятельностью администрации на принципах единоначалия в пределах полномочий, определенных уставом муниципального образования, а также делегированных муниципальным собранием. Глава администрации входит в состав депутатов муниципального собрания и может председательствовать на его заседаниях, а также быть избранным на должность председателя муниципального собрания (в этом случае глава администрации муниципального образования называется главой муниципального образования).</w:t>
      </w:r>
    </w:p>
    <w:p w:rsidR="00DF5725" w:rsidRDefault="00DF5725">
      <w:pPr>
        <w:spacing w:line="360" w:lineRule="auto"/>
        <w:ind w:left="-360"/>
        <w:jc w:val="both"/>
        <w:rPr>
          <w:sz w:val="28"/>
        </w:rPr>
      </w:pPr>
    </w:p>
    <w:p w:rsidR="00DF5725" w:rsidRDefault="00DF5725">
      <w:pPr>
        <w:spacing w:line="360" w:lineRule="auto"/>
        <w:ind w:left="-360"/>
        <w:jc w:val="both"/>
        <w:rPr>
          <w:sz w:val="28"/>
        </w:rPr>
      </w:pPr>
    </w:p>
    <w:p w:rsidR="00DF5725" w:rsidRDefault="00DF5725">
      <w:pPr>
        <w:pStyle w:val="6"/>
        <w:spacing w:line="360" w:lineRule="auto"/>
        <w:rPr>
          <w:sz w:val="32"/>
        </w:rPr>
      </w:pPr>
      <w:r>
        <w:rPr>
          <w:sz w:val="32"/>
        </w:rPr>
        <w:t>3. Вопросы местного значения</w:t>
      </w:r>
    </w:p>
    <w:p w:rsidR="00DF5725" w:rsidRDefault="00DF5725">
      <w:pPr>
        <w:pStyle w:val="30"/>
        <w:spacing w:line="360" w:lineRule="auto"/>
        <w:rPr>
          <w:sz w:val="28"/>
        </w:rPr>
      </w:pPr>
    </w:p>
    <w:p w:rsidR="00DF5725" w:rsidRDefault="00DF5725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                    Вопросы местного значения – вопросы непосредственного обеспечения жизнедеятельности населения муниципального образования, отнесенные к таковым уставом муниципального образования в соответствии с Конституцией Российской Федерации, ФЗ «Об общих принципах организации местного самоуправления в Российской Федерации», законами субъектов Российской Федерации.</w:t>
      </w:r>
    </w:p>
    <w:p w:rsidR="00DF5725" w:rsidRDefault="00DF5725">
      <w:pPr>
        <w:pStyle w:val="7"/>
        <w:ind w:firstLine="1440"/>
      </w:pPr>
      <w:bookmarkStart w:id="0" w:name="_Toc371738276"/>
      <w:bookmarkStart w:id="1" w:name="_Toc371741127"/>
      <w:r>
        <w:t>В ведении муниципальных образований находятся следующие вопросы местного значения:</w:t>
      </w:r>
    </w:p>
    <w:p w:rsidR="00DF5725" w:rsidRDefault="00DF572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 местного самоуправления в муниципальном образовании, ее правовое закрепление  в уставе муниципального образования.</w:t>
      </w:r>
    </w:p>
    <w:p w:rsidR="00DF5725" w:rsidRDefault="00DF572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Правовое регулирование муниципальных отношений в пределах полномочий местного самоуправления. Значительная часть норм, регулирующих муниципальные отношения, содержится в уставе муниципального образования.</w:t>
      </w:r>
    </w:p>
    <w:p w:rsidR="00DF5725" w:rsidRDefault="00DF572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Управление муниципальной собственностью и местными финансами, обеспечение комплексного социально-экономического  развития муниципального образования.</w:t>
      </w:r>
    </w:p>
    <w:p w:rsidR="00DF5725" w:rsidRDefault="00DF572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Организация, содержание и развитие муниципальных служб: предприятий и учреждений, связанных с обеспечением жизнедеятельности населения в различных сферах местной жизни, создание условий для удовлетворения  потребностей населения в различного рода услугах.</w:t>
      </w:r>
    </w:p>
    <w:p w:rsidR="00DF5725" w:rsidRDefault="00DF5725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В ведении муниципальных образований находятся также: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Содержание и использование муниципальных жилищного фонда и нежилых помещений;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Создание условий для жилищного и социально-культурного строительства;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Создание условий для обеспечения населения услугами торговли, общественного питания и бытового обслуживания;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Организация, содержание и развитие муниципальных служб: энерго-, газо-, тепло- и водоснабжения и канализации; организация снабжения населения и муниципальных учреждений топливом;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Дорожное строительство и содержание дорог местного значения;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Благоустройство и озеленение территории муниципального образования;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 утилизации и переработки бытовых отходов;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 ритуальных услуг и содержание мест захоронения;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 транспортного обслуживания населения и муниципальных учреждений, обеспечение населения услугами связи;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 и содержание муниципальной информационной службы;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Создание условий для деятельности средств массовой информации муниципального образования;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Организация и содержание муниципальных архивов;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Обеспечение социальной поддержки и содействие занятости населения;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Охрана общественного порядка, организация и содержание муниципальных органов охраны общественного порядка;</w:t>
      </w:r>
    </w:p>
    <w:p w:rsidR="00DF5725" w:rsidRDefault="00DF5725">
      <w:pPr>
        <w:numPr>
          <w:ilvl w:val="1"/>
          <w:numId w:val="1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>Обеспечение противопожарной безопасности в муниципальном образовании, организация муниципальной пожарной службы;</w:t>
      </w:r>
    </w:p>
    <w:p w:rsidR="00DF5725" w:rsidRDefault="00DF5725">
      <w:pPr>
        <w:numPr>
          <w:ilvl w:val="0"/>
          <w:numId w:val="15"/>
        </w:num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контроль за соблюдением правовых актов муниципального образования, участие в контроле за соблюдением  законодательства на территории муниципального образования. </w:t>
      </w:r>
    </w:p>
    <w:p w:rsidR="00DF5725" w:rsidRDefault="00DF5725">
      <w:pPr>
        <w:tabs>
          <w:tab w:val="left" w:pos="540"/>
          <w:tab w:val="left" w:pos="72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br/>
        <w:t xml:space="preserve"> </w:t>
      </w:r>
      <w:r>
        <w:rPr>
          <w:sz w:val="28"/>
        </w:rPr>
        <w:br/>
        <w:t xml:space="preserve">  </w:t>
      </w:r>
    </w:p>
    <w:p w:rsidR="00DF5725" w:rsidRDefault="00DF5725">
      <w:pPr>
        <w:spacing w:line="360" w:lineRule="auto"/>
        <w:ind w:left="540"/>
        <w:jc w:val="both"/>
        <w:rPr>
          <w:sz w:val="28"/>
        </w:rPr>
      </w:pPr>
    </w:p>
    <w:p w:rsidR="00DF5725" w:rsidRDefault="00DF5725">
      <w:pPr>
        <w:spacing w:line="360" w:lineRule="auto"/>
        <w:ind w:left="540"/>
        <w:jc w:val="both"/>
        <w:rPr>
          <w:sz w:val="28"/>
        </w:rPr>
      </w:pPr>
    </w:p>
    <w:bookmarkEnd w:id="0"/>
    <w:bookmarkEnd w:id="1"/>
    <w:p w:rsidR="00DF5725" w:rsidRDefault="00DF5725">
      <w:pPr>
        <w:pStyle w:val="5"/>
        <w:spacing w:line="360" w:lineRule="auto"/>
        <w:rPr>
          <w:sz w:val="32"/>
        </w:rPr>
      </w:pPr>
      <w:r>
        <w:rPr>
          <w:sz w:val="32"/>
        </w:rPr>
        <w:t>4. Отдельные государственные полномочия</w:t>
      </w:r>
    </w:p>
    <w:p w:rsidR="00DF5725" w:rsidRDefault="00DF5725">
      <w:pPr>
        <w:spacing w:line="360" w:lineRule="auto"/>
        <w:jc w:val="both"/>
        <w:rPr>
          <w:b/>
          <w:bCs/>
          <w:sz w:val="28"/>
        </w:rPr>
      </w:pPr>
    </w:p>
    <w:p w:rsidR="00DF5725" w:rsidRDefault="00DF5725">
      <w:pPr>
        <w:pStyle w:val="30"/>
        <w:spacing w:line="360" w:lineRule="auto"/>
        <w:rPr>
          <w:sz w:val="28"/>
        </w:rPr>
      </w:pPr>
      <w:r>
        <w:rPr>
          <w:sz w:val="28"/>
        </w:rPr>
        <w:t xml:space="preserve">                    Возможность осуществления органами местного самоуправления отдельных государственных полномочий предусмотрена Конституцией Российской Федерации. Причем их реализации подконтрольна государству.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Федеральный закон, относя к ведению муниципальных образований отдельные государственные полномочия, которыми могут наделяться органы местного самоуправления, повторяет положение Конституции о подконтрольности реализации этих полномочий государству. При этом вводятся еще две важные нормы: о возможности наделения органов местного самоуправления отдельными государственными полномочиями только федеральными законами и законами субъекта Российской Федерации и об определении условий и порядка контроля за осуществлением органами местного самоуправления отдельных государственных полномочий также федеральными законами и законами субъектов Российской Федерации.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Тем самым, с одной стороны, создаются правовые гарантии обязательности качественного исполнения возложенных полномочий; с другой стороны, обеспечиваются гарантии для органов местного самоуправления от произвольного вмешательства в их деятельность государственных органов и должностных лиц.      </w:t>
      </w:r>
    </w:p>
    <w:p w:rsidR="00DF5725" w:rsidRDefault="00DF572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Отдельные государственные полномочия, которые могут находиться в ведении муниципальных образований:</w:t>
      </w:r>
    </w:p>
    <w:p w:rsidR="00DF5725" w:rsidRDefault="00DF572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в области регистрации актов гражданского состояния – регистрация актов гражданского состояния на территории муниципального образования;</w:t>
      </w:r>
    </w:p>
    <w:p w:rsidR="00DF5725" w:rsidRDefault="00DF572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в области статистики – ведение статистического учета на территории муниципального образования;</w:t>
      </w:r>
    </w:p>
    <w:p w:rsidR="00DF5725" w:rsidRDefault="00DF572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в области градостроительной деятельности, государственного архитектурно-строительного контроля – организация ведения государственного градостроительного кадастра и мониторинга объектов градостроительной деятельности и др.;</w:t>
      </w:r>
    </w:p>
    <w:p w:rsidR="00DF5725" w:rsidRDefault="00DF572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в области природоохранной деятельности – ведение государственного кадастра и мониторинга особо охраняемых природных территорий, находящихся в границах территории муниципального  образования и др.,</w:t>
      </w:r>
    </w:p>
    <w:p w:rsidR="00DF5725" w:rsidRDefault="00DF572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в области землепользования – ведение земельного кадастра и мониторинга земель муниципального образования и др.</w:t>
      </w:r>
    </w:p>
    <w:p w:rsidR="00DF5725" w:rsidRDefault="00DF5725">
      <w:pPr>
        <w:pStyle w:val="31"/>
      </w:pPr>
      <w:r>
        <w:t>Органы местного самоуправления могут наделяться отдельными государственными полномочиями и в иных сферах государственной деятельности.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5. Ответственность органов местного самоуправления</w:t>
      </w:r>
    </w:p>
    <w:p w:rsidR="00DF5725" w:rsidRDefault="00DF5725">
      <w:pPr>
        <w:spacing w:line="360" w:lineRule="auto"/>
        <w:ind w:firstLine="1080"/>
        <w:jc w:val="both"/>
        <w:rPr>
          <w:b/>
          <w:bCs/>
          <w:sz w:val="28"/>
        </w:rPr>
      </w:pPr>
    </w:p>
    <w:p w:rsidR="00DF5725" w:rsidRDefault="00DF5725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Любые права всегда неразрывно связаны с определенными обязанностями и, следовательно, ответственностью. Поэтому, говоря о компетенции органов местного самоуправления, необходимо сказать об ответственности этих органов за ненадлежащее исполнение возложенных на них полномочий.</w:t>
      </w:r>
    </w:p>
    <w:p w:rsidR="00DF5725" w:rsidRDefault="00DF5725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>Для любых выборных должностей возможны два вида мандатов, передаваемых избирателями: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-Консультативный;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-Императивный.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Консультативный мандат, который узаконен для выборных должностей государственной власти обоих уровней, характеризуется тем, что депутат не обязан выполнять обещания, данные в ходе избирательной кампании, не обязан отчитываться в ходе своей деятельности на государственном посту, не может быть досрочно отозван избирателями.  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Императивный мандат в свою очередь делает более сложной и непосредственной зависимость депутата от избирателей, которая проявляется в том, что депутат обязан выполнять наказы избирателей и свою предвыборную программу, обязан отчитываться перед избирателями в своей работе и, что самое главное, может быть досрочно отозван избирателями в случае неоправдания их доверия. Такой вид мандата наиболее полно отвечает идее местного самоуправления, поэтому все органы и должностные лица местного самоуправления несут ответственность перед населением муниципального образования, что узаконено статьей 48 Федерального закона "Об общих принципах организации местного самоуправления”: “Ответственность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населения. Порядок и условия ответственности органов местного самоуправления и должностных лиц местного самоуправления в результате утраты доверия перед населением определяется уставами муниципальных образований".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В соответствии со статьей 49 Федерального закона "Об общих принципах организации местного самоуправления" органы местного самоуправления несут ответственность перед государством за нарушения ими действующего законодательства и за исполнение ими отдельных государственных полномочий в той мере, в какой эти полномочия обеспечены государственными органами, передавшими эти полномочия, материальными и финансовыми ресурсами. В случае нарушения законодательства по решению суда может быть отменено соответствующее решение органа местного самоуправления или выборного должностного лица или вообще прекращены их полномочия. 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В соответствии со статьей 47 вышеупомянутого закона органы местного самоуправления и должностные лица местного самоуправления несут ответственность также перед физическими и юридическими лицами, которая наступает в порядке, установленном законодательством.</w:t>
      </w:r>
    </w:p>
    <w:p w:rsidR="00DF5725" w:rsidRDefault="00DF5725">
      <w:pPr>
        <w:spacing w:line="360" w:lineRule="auto"/>
        <w:ind w:firstLine="426"/>
        <w:jc w:val="both"/>
        <w:rPr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sz w:val="28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>6. Список использованной литературы:</w:t>
      </w:r>
    </w:p>
    <w:p w:rsidR="00DF5725" w:rsidRDefault="00DF5725">
      <w:pPr>
        <w:spacing w:line="360" w:lineRule="auto"/>
        <w:jc w:val="both"/>
        <w:rPr>
          <w:b/>
          <w:bCs/>
          <w:sz w:val="32"/>
        </w:rPr>
      </w:pPr>
    </w:p>
    <w:p w:rsidR="00DF5725" w:rsidRDefault="00DF5725">
      <w:pPr>
        <w:numPr>
          <w:ilvl w:val="0"/>
          <w:numId w:val="19"/>
        </w:numPr>
        <w:spacing w:line="480" w:lineRule="auto"/>
        <w:jc w:val="both"/>
        <w:rPr>
          <w:sz w:val="32"/>
        </w:rPr>
      </w:pPr>
      <w:r>
        <w:rPr>
          <w:sz w:val="32"/>
        </w:rPr>
        <w:t>Конституция Российской Федерации.</w:t>
      </w:r>
    </w:p>
    <w:p w:rsidR="00DF5725" w:rsidRDefault="00DF5725">
      <w:pPr>
        <w:numPr>
          <w:ilvl w:val="0"/>
          <w:numId w:val="19"/>
        </w:numPr>
        <w:spacing w:line="480" w:lineRule="auto"/>
        <w:jc w:val="both"/>
        <w:rPr>
          <w:sz w:val="32"/>
        </w:rPr>
      </w:pPr>
      <w:r>
        <w:rPr>
          <w:sz w:val="32"/>
        </w:rPr>
        <w:t>Федеральный закон «Об общих принципах организации местного самоуправления в Российской Федерации» от28.08.95 г.</w:t>
      </w:r>
    </w:p>
    <w:p w:rsidR="00DF5725" w:rsidRDefault="00DF5725">
      <w:pPr>
        <w:numPr>
          <w:ilvl w:val="0"/>
          <w:numId w:val="19"/>
        </w:numPr>
        <w:spacing w:line="480" w:lineRule="auto"/>
        <w:jc w:val="both"/>
        <w:rPr>
          <w:sz w:val="32"/>
        </w:rPr>
      </w:pPr>
      <w:r>
        <w:rPr>
          <w:sz w:val="32"/>
        </w:rPr>
        <w:t>«Основы местного самоуправления в Российской Федерации» А.Н.Широков ред.-изд. центр «Муниципальная власть» М. 2000 г.</w:t>
      </w:r>
    </w:p>
    <w:p w:rsidR="00DF5725" w:rsidRDefault="00DF5725">
      <w:pPr>
        <w:numPr>
          <w:ilvl w:val="0"/>
          <w:numId w:val="19"/>
        </w:numPr>
        <w:spacing w:line="480" w:lineRule="auto"/>
        <w:jc w:val="both"/>
        <w:rPr>
          <w:sz w:val="32"/>
        </w:rPr>
      </w:pPr>
      <w:r>
        <w:rPr>
          <w:sz w:val="32"/>
        </w:rPr>
        <w:t>«Муниципальное право Российской Федерации» О.Е.Кутафин, В.И.Фадеев  «Юристъ» М. 2000 г.</w:t>
      </w:r>
    </w:p>
    <w:p w:rsidR="00DF5725" w:rsidRDefault="00DF5725">
      <w:pPr>
        <w:spacing w:line="480" w:lineRule="auto"/>
        <w:ind w:left="360"/>
        <w:jc w:val="both"/>
        <w:rPr>
          <w:sz w:val="32"/>
        </w:rPr>
      </w:pPr>
      <w:bookmarkStart w:id="2" w:name="_GoBack"/>
      <w:bookmarkEnd w:id="2"/>
    </w:p>
    <w:sectPr w:rsidR="00DF572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25" w:rsidRDefault="00DF5725">
      <w:r>
        <w:separator/>
      </w:r>
    </w:p>
  </w:endnote>
  <w:endnote w:type="continuationSeparator" w:id="0">
    <w:p w:rsidR="00DF5725" w:rsidRDefault="00D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25" w:rsidRDefault="00DF5725">
    <w:pPr>
      <w:pStyle w:val="a8"/>
      <w:framePr w:wrap="around" w:vAnchor="text" w:hAnchor="margin" w:xAlign="right" w:y="1"/>
      <w:rPr>
        <w:rStyle w:val="a9"/>
      </w:rPr>
    </w:pPr>
  </w:p>
  <w:p w:rsidR="00DF5725" w:rsidRDefault="00DF572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25" w:rsidRDefault="00376249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DF5725" w:rsidRDefault="00DF572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25" w:rsidRDefault="00DF5725">
      <w:r>
        <w:separator/>
      </w:r>
    </w:p>
  </w:footnote>
  <w:footnote w:type="continuationSeparator" w:id="0">
    <w:p w:rsidR="00DF5725" w:rsidRDefault="00DF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1AD4DE"/>
    <w:lvl w:ilvl="0">
      <w:numFmt w:val="decimal"/>
      <w:lvlText w:val="*"/>
      <w:lvlJc w:val="left"/>
    </w:lvl>
  </w:abstractNum>
  <w:abstractNum w:abstractNumId="1">
    <w:nsid w:val="0DD674D6"/>
    <w:multiLevelType w:val="hybridMultilevel"/>
    <w:tmpl w:val="165ADB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121D4E">
      <w:start w:val="1"/>
      <w:numFmt w:val="bullet"/>
      <w:lvlText w:val="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D0571"/>
    <w:multiLevelType w:val="hybridMultilevel"/>
    <w:tmpl w:val="D7045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D7792"/>
    <w:multiLevelType w:val="hybridMultilevel"/>
    <w:tmpl w:val="BA6C698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5B65886"/>
    <w:multiLevelType w:val="hybridMultilevel"/>
    <w:tmpl w:val="688A092A"/>
    <w:lvl w:ilvl="0" w:tplc="0FAA65F2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38D34530"/>
    <w:multiLevelType w:val="hybridMultilevel"/>
    <w:tmpl w:val="2A068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330D3"/>
    <w:multiLevelType w:val="hybridMultilevel"/>
    <w:tmpl w:val="9F483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40FD6"/>
    <w:multiLevelType w:val="hybridMultilevel"/>
    <w:tmpl w:val="F5C8B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23E15"/>
    <w:multiLevelType w:val="hybridMultilevel"/>
    <w:tmpl w:val="F2404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757F18"/>
    <w:multiLevelType w:val="hybridMultilevel"/>
    <w:tmpl w:val="330E15A4"/>
    <w:lvl w:ilvl="0" w:tplc="DBD29AB6">
      <w:start w:val="1"/>
      <w:numFmt w:val="bullet"/>
      <w:lvlText w:val="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A6D0D64"/>
    <w:multiLevelType w:val="hybridMultilevel"/>
    <w:tmpl w:val="AE70A1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7A5D74"/>
    <w:multiLevelType w:val="hybridMultilevel"/>
    <w:tmpl w:val="EF9E45E8"/>
    <w:lvl w:ilvl="0" w:tplc="DBD29AB6">
      <w:start w:val="1"/>
      <w:numFmt w:val="bullet"/>
      <w:lvlText w:val="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4B250B67"/>
    <w:multiLevelType w:val="singleLevel"/>
    <w:tmpl w:val="2668E0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D5F0624"/>
    <w:multiLevelType w:val="hybridMultilevel"/>
    <w:tmpl w:val="64E87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AF5539"/>
    <w:multiLevelType w:val="singleLevel"/>
    <w:tmpl w:val="0DF4A3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5">
    <w:nsid w:val="5EA10D69"/>
    <w:multiLevelType w:val="hybridMultilevel"/>
    <w:tmpl w:val="688A092A"/>
    <w:lvl w:ilvl="0" w:tplc="DBD29AB6">
      <w:start w:val="1"/>
      <w:numFmt w:val="bullet"/>
      <w:lvlText w:val="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62B86D2D"/>
    <w:multiLevelType w:val="singleLevel"/>
    <w:tmpl w:val="CA4AF9A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4696851"/>
    <w:multiLevelType w:val="singleLevel"/>
    <w:tmpl w:val="8962DDB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8">
    <w:nsid w:val="79BC04EC"/>
    <w:multiLevelType w:val="singleLevel"/>
    <w:tmpl w:val="FA40248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18"/>
  </w:num>
  <w:num w:numId="8">
    <w:abstractNumId w:val="12"/>
  </w:num>
  <w:num w:numId="9">
    <w:abstractNumId w:val="0"/>
  </w:num>
  <w:num w:numId="10">
    <w:abstractNumId w:val="16"/>
  </w:num>
  <w:num w:numId="11">
    <w:abstractNumId w:val="7"/>
  </w:num>
  <w:num w:numId="12">
    <w:abstractNumId w:val="15"/>
  </w:num>
  <w:num w:numId="13">
    <w:abstractNumId w:val="4"/>
  </w:num>
  <w:num w:numId="14">
    <w:abstractNumId w:val="13"/>
  </w:num>
  <w:num w:numId="15">
    <w:abstractNumId w:val="1"/>
  </w:num>
  <w:num w:numId="16">
    <w:abstractNumId w:val="10"/>
  </w:num>
  <w:num w:numId="17">
    <w:abstractNumId w:val="8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249"/>
    <w:rsid w:val="00376249"/>
    <w:rsid w:val="00D20697"/>
    <w:rsid w:val="00D366DD"/>
    <w:rsid w:val="00D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C29B6-1C99-4168-A199-53EDE4B6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52"/>
    </w:rPr>
  </w:style>
  <w:style w:type="paragraph" w:styleId="4">
    <w:name w:val="heading 4"/>
    <w:basedOn w:val="a"/>
    <w:next w:val="a"/>
    <w:qFormat/>
    <w:pPr>
      <w:keepNext/>
      <w:pBdr>
        <w:top w:val="single" w:sz="4" w:space="18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ahoma" w:hAnsi="Tahoma" w:cs="Tahoma"/>
      <w:sz w:val="4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left="720"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44"/>
    </w:rPr>
  </w:style>
  <w:style w:type="paragraph" w:styleId="30">
    <w:name w:val="Body Text 3"/>
    <w:basedOn w:val="a"/>
    <w:semiHidden/>
    <w:pPr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  <w:pPr>
      <w:tabs>
        <w:tab w:val="right" w:leader="dot" w:pos="8929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caps/>
      <w:sz w:val="20"/>
      <w:szCs w:val="20"/>
    </w:rPr>
  </w:style>
  <w:style w:type="paragraph" w:styleId="21">
    <w:name w:val="toc 2"/>
    <w:basedOn w:val="a"/>
    <w:next w:val="a"/>
    <w:autoRedefine/>
    <w:semiHidden/>
    <w:pPr>
      <w:tabs>
        <w:tab w:val="right" w:leader="dot" w:pos="892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0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semiHidden/>
    <w:pPr>
      <w:ind w:firstLine="426"/>
      <w:jc w:val="both"/>
    </w:pPr>
  </w:style>
  <w:style w:type="paragraph" w:styleId="22">
    <w:name w:val="Body Text Indent 2"/>
    <w:basedOn w:val="a"/>
    <w:semiHidden/>
    <w:pPr>
      <w:spacing w:line="360" w:lineRule="auto"/>
      <w:ind w:left="360" w:firstLine="66"/>
      <w:jc w:val="both"/>
    </w:pPr>
    <w:rPr>
      <w:sz w:val="28"/>
    </w:rPr>
  </w:style>
  <w:style w:type="paragraph" w:styleId="31">
    <w:name w:val="Body Text Indent 3"/>
    <w:basedOn w:val="a"/>
    <w:semiHidden/>
    <w:pPr>
      <w:spacing w:line="360" w:lineRule="auto"/>
      <w:ind w:left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2</Company>
  <LinksUpToDate>false</LinksUpToDate>
  <CharactersWithSpaces>17917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1</dc:creator>
  <cp:keywords/>
  <dc:description/>
  <cp:lastModifiedBy>admin</cp:lastModifiedBy>
  <cp:revision>2</cp:revision>
  <dcterms:created xsi:type="dcterms:W3CDTF">2014-02-08T02:14:00Z</dcterms:created>
  <dcterms:modified xsi:type="dcterms:W3CDTF">2014-02-08T02:14:00Z</dcterms:modified>
</cp:coreProperties>
</file>