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30F" w:rsidRDefault="0003430F" w:rsidP="002325B4">
      <w:pPr>
        <w:spacing w:line="360" w:lineRule="auto"/>
        <w:rPr>
          <w:sz w:val="28"/>
          <w:szCs w:val="28"/>
        </w:rPr>
      </w:pPr>
    </w:p>
    <w:p w:rsidR="002325B4" w:rsidRPr="00DC5CC8" w:rsidRDefault="002325B4" w:rsidP="002325B4">
      <w:pPr>
        <w:spacing w:line="360" w:lineRule="auto"/>
        <w:rPr>
          <w:sz w:val="28"/>
          <w:szCs w:val="28"/>
        </w:rPr>
      </w:pPr>
      <w:r w:rsidRPr="00DC5CC8">
        <w:rPr>
          <w:sz w:val="28"/>
          <w:szCs w:val="28"/>
        </w:rPr>
        <w:t>Содержание</w:t>
      </w:r>
    </w:p>
    <w:p w:rsidR="002325B4" w:rsidRPr="00DC5CC8" w:rsidRDefault="002325B4" w:rsidP="002325B4">
      <w:pPr>
        <w:spacing w:line="360" w:lineRule="auto"/>
        <w:rPr>
          <w:sz w:val="28"/>
          <w:szCs w:val="28"/>
        </w:rPr>
      </w:pPr>
      <w:r w:rsidRPr="00DC5CC8">
        <w:rPr>
          <w:sz w:val="28"/>
          <w:szCs w:val="28"/>
        </w:rPr>
        <w:t>Введение</w:t>
      </w:r>
    </w:p>
    <w:p w:rsidR="002325B4" w:rsidRPr="00DC5CC8" w:rsidRDefault="002325B4" w:rsidP="002325B4">
      <w:pPr>
        <w:numPr>
          <w:ilvl w:val="0"/>
          <w:numId w:val="1"/>
        </w:numPr>
        <w:spacing w:line="360" w:lineRule="auto"/>
        <w:rPr>
          <w:sz w:val="28"/>
          <w:szCs w:val="28"/>
        </w:rPr>
      </w:pPr>
      <w:r w:rsidRPr="00DC5CC8">
        <w:rPr>
          <w:sz w:val="28"/>
          <w:szCs w:val="28"/>
        </w:rPr>
        <w:t>Анализ методики Бивера</w:t>
      </w:r>
    </w:p>
    <w:p w:rsidR="002325B4" w:rsidRPr="00DC5CC8" w:rsidRDefault="002325B4" w:rsidP="002325B4">
      <w:pPr>
        <w:numPr>
          <w:ilvl w:val="0"/>
          <w:numId w:val="1"/>
        </w:numPr>
        <w:spacing w:line="360" w:lineRule="auto"/>
        <w:rPr>
          <w:sz w:val="28"/>
          <w:szCs w:val="28"/>
        </w:rPr>
      </w:pPr>
      <w:r w:rsidRPr="00DC5CC8">
        <w:rPr>
          <w:sz w:val="28"/>
          <w:szCs w:val="28"/>
        </w:rPr>
        <w:t>Анализ методики Таффлера</w:t>
      </w:r>
    </w:p>
    <w:p w:rsidR="002325B4" w:rsidRPr="00DC5CC8" w:rsidRDefault="002325B4" w:rsidP="002325B4">
      <w:pPr>
        <w:numPr>
          <w:ilvl w:val="0"/>
          <w:numId w:val="1"/>
        </w:numPr>
        <w:spacing w:line="360" w:lineRule="auto"/>
        <w:rPr>
          <w:sz w:val="28"/>
          <w:szCs w:val="28"/>
        </w:rPr>
      </w:pPr>
      <w:r w:rsidRPr="00DC5CC8">
        <w:rPr>
          <w:sz w:val="28"/>
          <w:szCs w:val="28"/>
        </w:rPr>
        <w:t>Анализ методики Лиса</w:t>
      </w:r>
    </w:p>
    <w:p w:rsidR="002325B4" w:rsidRPr="00DC5CC8" w:rsidRDefault="002325B4" w:rsidP="002325B4">
      <w:pPr>
        <w:spacing w:line="360" w:lineRule="auto"/>
        <w:rPr>
          <w:sz w:val="28"/>
          <w:szCs w:val="28"/>
        </w:rPr>
      </w:pPr>
      <w:r w:rsidRPr="00DC5CC8">
        <w:rPr>
          <w:sz w:val="28"/>
          <w:szCs w:val="28"/>
        </w:rPr>
        <w:t>Заключение</w:t>
      </w:r>
    </w:p>
    <w:p w:rsidR="002325B4" w:rsidRPr="00DC5CC8" w:rsidRDefault="002325B4" w:rsidP="002325B4">
      <w:pPr>
        <w:spacing w:line="360" w:lineRule="auto"/>
        <w:rPr>
          <w:sz w:val="28"/>
          <w:szCs w:val="28"/>
        </w:rPr>
      </w:pPr>
      <w:r w:rsidRPr="00DC5CC8">
        <w:rPr>
          <w:sz w:val="28"/>
          <w:szCs w:val="28"/>
        </w:rPr>
        <w:t>Список используемой литературы</w:t>
      </w:r>
    </w:p>
    <w:p w:rsidR="002325B4" w:rsidRPr="00DC5CC8" w:rsidRDefault="002325B4" w:rsidP="002325B4">
      <w:pPr>
        <w:spacing w:line="360" w:lineRule="auto"/>
        <w:rPr>
          <w:sz w:val="28"/>
          <w:szCs w:val="28"/>
        </w:rPr>
      </w:pPr>
    </w:p>
    <w:p w:rsidR="002325B4" w:rsidRPr="00DC5CC8" w:rsidRDefault="002325B4" w:rsidP="002325B4">
      <w:pPr>
        <w:spacing w:line="360" w:lineRule="auto"/>
        <w:rPr>
          <w:sz w:val="28"/>
          <w:szCs w:val="28"/>
        </w:rPr>
      </w:pPr>
    </w:p>
    <w:p w:rsidR="002325B4" w:rsidRPr="00DC5CC8" w:rsidRDefault="002325B4" w:rsidP="002325B4">
      <w:pPr>
        <w:spacing w:line="360" w:lineRule="auto"/>
        <w:rPr>
          <w:sz w:val="28"/>
          <w:szCs w:val="28"/>
        </w:rPr>
      </w:pPr>
    </w:p>
    <w:p w:rsidR="002325B4" w:rsidRPr="00DC5CC8" w:rsidRDefault="002325B4" w:rsidP="002325B4">
      <w:pPr>
        <w:spacing w:line="360" w:lineRule="auto"/>
        <w:rPr>
          <w:sz w:val="28"/>
          <w:szCs w:val="28"/>
        </w:rPr>
      </w:pPr>
    </w:p>
    <w:p w:rsidR="002325B4" w:rsidRPr="00DC5CC8" w:rsidRDefault="002325B4" w:rsidP="002325B4">
      <w:pPr>
        <w:spacing w:line="360" w:lineRule="auto"/>
        <w:rPr>
          <w:sz w:val="28"/>
          <w:szCs w:val="28"/>
        </w:rPr>
      </w:pPr>
    </w:p>
    <w:p w:rsidR="002325B4" w:rsidRPr="00DC5CC8" w:rsidRDefault="002325B4" w:rsidP="002325B4">
      <w:pPr>
        <w:spacing w:line="360" w:lineRule="auto"/>
        <w:rPr>
          <w:sz w:val="28"/>
          <w:szCs w:val="28"/>
        </w:rPr>
      </w:pPr>
    </w:p>
    <w:p w:rsidR="002325B4" w:rsidRPr="00DC5CC8" w:rsidRDefault="002325B4" w:rsidP="002325B4">
      <w:pPr>
        <w:spacing w:line="360" w:lineRule="auto"/>
        <w:rPr>
          <w:sz w:val="28"/>
          <w:szCs w:val="28"/>
        </w:rPr>
      </w:pPr>
    </w:p>
    <w:p w:rsidR="002325B4" w:rsidRPr="00DC5CC8" w:rsidRDefault="002325B4" w:rsidP="002325B4">
      <w:pPr>
        <w:spacing w:line="360" w:lineRule="auto"/>
        <w:rPr>
          <w:sz w:val="28"/>
          <w:szCs w:val="28"/>
        </w:rPr>
      </w:pPr>
    </w:p>
    <w:p w:rsidR="002325B4" w:rsidRPr="00DC5CC8" w:rsidRDefault="002325B4" w:rsidP="002325B4">
      <w:pPr>
        <w:spacing w:line="360" w:lineRule="auto"/>
        <w:rPr>
          <w:sz w:val="28"/>
          <w:szCs w:val="28"/>
        </w:rPr>
      </w:pPr>
    </w:p>
    <w:p w:rsidR="002325B4" w:rsidRPr="00DC5CC8" w:rsidRDefault="002325B4" w:rsidP="002325B4">
      <w:pPr>
        <w:spacing w:line="360" w:lineRule="auto"/>
        <w:rPr>
          <w:sz w:val="28"/>
          <w:szCs w:val="28"/>
        </w:rPr>
      </w:pPr>
    </w:p>
    <w:p w:rsidR="002325B4" w:rsidRPr="00DC5CC8" w:rsidRDefault="002325B4" w:rsidP="002325B4">
      <w:pPr>
        <w:spacing w:line="360" w:lineRule="auto"/>
        <w:rPr>
          <w:sz w:val="28"/>
          <w:szCs w:val="28"/>
        </w:rPr>
      </w:pPr>
    </w:p>
    <w:p w:rsidR="002325B4" w:rsidRPr="00DC5CC8" w:rsidRDefault="002325B4" w:rsidP="002325B4">
      <w:pPr>
        <w:spacing w:line="360" w:lineRule="auto"/>
        <w:rPr>
          <w:sz w:val="28"/>
          <w:szCs w:val="28"/>
        </w:rPr>
      </w:pPr>
    </w:p>
    <w:p w:rsidR="002325B4" w:rsidRPr="00DC5CC8" w:rsidRDefault="002325B4" w:rsidP="002325B4">
      <w:pPr>
        <w:spacing w:line="360" w:lineRule="auto"/>
        <w:rPr>
          <w:sz w:val="28"/>
          <w:szCs w:val="28"/>
        </w:rPr>
      </w:pPr>
    </w:p>
    <w:p w:rsidR="002325B4" w:rsidRPr="00DC5CC8" w:rsidRDefault="002325B4" w:rsidP="002325B4">
      <w:pPr>
        <w:spacing w:line="360" w:lineRule="auto"/>
        <w:rPr>
          <w:sz w:val="28"/>
          <w:szCs w:val="28"/>
        </w:rPr>
      </w:pPr>
    </w:p>
    <w:p w:rsidR="002325B4" w:rsidRPr="00DC5CC8" w:rsidRDefault="002325B4" w:rsidP="002325B4">
      <w:pPr>
        <w:spacing w:line="360" w:lineRule="auto"/>
        <w:rPr>
          <w:sz w:val="28"/>
          <w:szCs w:val="28"/>
        </w:rPr>
      </w:pPr>
    </w:p>
    <w:p w:rsidR="002325B4" w:rsidRPr="00DC5CC8" w:rsidRDefault="002325B4" w:rsidP="002325B4">
      <w:pPr>
        <w:spacing w:line="360" w:lineRule="auto"/>
        <w:rPr>
          <w:sz w:val="28"/>
          <w:szCs w:val="28"/>
        </w:rPr>
      </w:pPr>
    </w:p>
    <w:p w:rsidR="002325B4" w:rsidRPr="00DC5CC8" w:rsidRDefault="002325B4" w:rsidP="002325B4">
      <w:pPr>
        <w:spacing w:line="360" w:lineRule="auto"/>
        <w:rPr>
          <w:sz w:val="28"/>
          <w:szCs w:val="28"/>
        </w:rPr>
      </w:pPr>
    </w:p>
    <w:p w:rsidR="002325B4" w:rsidRPr="00DC5CC8" w:rsidRDefault="002325B4" w:rsidP="002325B4">
      <w:pPr>
        <w:spacing w:line="360" w:lineRule="auto"/>
        <w:rPr>
          <w:sz w:val="28"/>
          <w:szCs w:val="28"/>
        </w:rPr>
      </w:pPr>
    </w:p>
    <w:p w:rsidR="002325B4" w:rsidRPr="00DC5CC8" w:rsidRDefault="002325B4" w:rsidP="002325B4">
      <w:pPr>
        <w:spacing w:line="360" w:lineRule="auto"/>
        <w:rPr>
          <w:sz w:val="28"/>
          <w:szCs w:val="28"/>
        </w:rPr>
      </w:pPr>
    </w:p>
    <w:p w:rsidR="002325B4" w:rsidRPr="00DC5CC8" w:rsidRDefault="002325B4" w:rsidP="002325B4">
      <w:pPr>
        <w:spacing w:line="360" w:lineRule="auto"/>
        <w:rPr>
          <w:sz w:val="28"/>
          <w:szCs w:val="28"/>
        </w:rPr>
      </w:pPr>
    </w:p>
    <w:p w:rsidR="002325B4" w:rsidRPr="00DC5CC8" w:rsidRDefault="002325B4" w:rsidP="002325B4">
      <w:pPr>
        <w:spacing w:line="360" w:lineRule="auto"/>
        <w:rPr>
          <w:sz w:val="28"/>
          <w:szCs w:val="28"/>
        </w:rPr>
      </w:pPr>
    </w:p>
    <w:p w:rsidR="002325B4" w:rsidRPr="00DC5CC8" w:rsidRDefault="002325B4" w:rsidP="002325B4">
      <w:pPr>
        <w:spacing w:line="360" w:lineRule="auto"/>
        <w:rPr>
          <w:sz w:val="28"/>
          <w:szCs w:val="28"/>
        </w:rPr>
      </w:pPr>
    </w:p>
    <w:p w:rsidR="002325B4" w:rsidRPr="00DC5CC8" w:rsidRDefault="002325B4" w:rsidP="002325B4">
      <w:pPr>
        <w:spacing w:line="360" w:lineRule="auto"/>
        <w:rPr>
          <w:sz w:val="28"/>
          <w:szCs w:val="28"/>
        </w:rPr>
      </w:pPr>
    </w:p>
    <w:p w:rsidR="002325B4" w:rsidRPr="00F44343" w:rsidRDefault="002325B4" w:rsidP="002325B4">
      <w:pPr>
        <w:spacing w:line="360" w:lineRule="auto"/>
        <w:rPr>
          <w:b/>
          <w:sz w:val="28"/>
          <w:szCs w:val="28"/>
        </w:rPr>
      </w:pPr>
      <w:r w:rsidRPr="00F44343">
        <w:rPr>
          <w:b/>
          <w:sz w:val="28"/>
          <w:szCs w:val="28"/>
        </w:rPr>
        <w:t>Введение</w:t>
      </w:r>
    </w:p>
    <w:p w:rsidR="002325B4" w:rsidRPr="00F44343" w:rsidRDefault="002325B4" w:rsidP="002325B4">
      <w:pPr>
        <w:pStyle w:val="a3"/>
        <w:spacing w:line="360" w:lineRule="auto"/>
        <w:jc w:val="both"/>
        <w:rPr>
          <w:sz w:val="28"/>
          <w:szCs w:val="28"/>
        </w:rPr>
      </w:pPr>
      <w:r>
        <w:rPr>
          <w:sz w:val="28"/>
          <w:szCs w:val="28"/>
        </w:rPr>
        <w:tab/>
      </w:r>
      <w:r w:rsidRPr="00F44343">
        <w:rPr>
          <w:sz w:val="28"/>
          <w:szCs w:val="28"/>
        </w:rPr>
        <w:t>Известны два основных подхода к предсказанию банкротства. Первый базируется на финансовых данных и включает оперирование некоторыми коэффициентами: приобретающим все большую известность Z-коэффициентом Альтмана (США), коэффициентом Таффлера, (Великобритания), и другими, а также умение «читать баланс». Второй исходит из данных по обанкротившимся компаниям и сравнивает их с соответствующими данными исследуемой компании.</w:t>
      </w:r>
    </w:p>
    <w:p w:rsidR="002325B4" w:rsidRPr="00F44343" w:rsidRDefault="002325B4" w:rsidP="002325B4">
      <w:pPr>
        <w:pStyle w:val="a3"/>
        <w:spacing w:line="360" w:lineRule="auto"/>
        <w:jc w:val="both"/>
        <w:rPr>
          <w:sz w:val="28"/>
          <w:szCs w:val="28"/>
        </w:rPr>
      </w:pPr>
      <w:r>
        <w:rPr>
          <w:sz w:val="28"/>
          <w:szCs w:val="28"/>
        </w:rPr>
        <w:tab/>
      </w:r>
      <w:r w:rsidRPr="00F44343">
        <w:rPr>
          <w:sz w:val="28"/>
          <w:szCs w:val="28"/>
        </w:rPr>
        <w:t>Первый подход, бесспорно эффективный при прогнозировании банкротства, имеет три существенных недостатка. Во-первых, компании, испытывающие трудности, всячески задерживают публикацию своих отчетов, и, таким образом, конкретные данные могут годами оставаться недоступными. Во-вторых, даже если данные и сообщаются, они могут оказаться «творчески обработанными». Для компаний в подобных обстоятельствах характерно стремление обелить свою деятельность, иногда доводящее до фальсификации. Требуется особое умение, чтобы выделить массивы подправленных данных и оценить степень завуалированности. Третья трудность заключается в том, что некоторые соотношения, выведенные по данным деятельности компании, могут свидетельствовать о неплатежеспособности в то время, как другие - давать основания для заключения о стабильности или даже некотором улучшении. В таких условиях трудно судить о реальном состоянии дел.</w:t>
      </w:r>
    </w:p>
    <w:p w:rsidR="002325B4" w:rsidRPr="00F44343" w:rsidRDefault="002325B4" w:rsidP="002325B4">
      <w:pPr>
        <w:pStyle w:val="a3"/>
        <w:spacing w:line="360" w:lineRule="auto"/>
        <w:jc w:val="both"/>
        <w:rPr>
          <w:sz w:val="28"/>
          <w:szCs w:val="28"/>
        </w:rPr>
      </w:pPr>
      <w:r>
        <w:rPr>
          <w:sz w:val="28"/>
          <w:szCs w:val="28"/>
        </w:rPr>
        <w:tab/>
      </w:r>
      <w:r w:rsidRPr="00F44343">
        <w:rPr>
          <w:sz w:val="28"/>
          <w:szCs w:val="28"/>
        </w:rPr>
        <w:t>Второй подход основан на сравнении признаков уже обанкротившихся компаний с таковыми же признаками «подозрительной» компании. За последние 50 лет опубликовано множество списков обанкротившихся компаний. Некоторые из них содержат их описание по десяткам показателей. К сожалению, большинство списков не упорядочивают эти данные по степени важности и ни в одном не проявлена забота о последовательности. Попыткой компенсировать эти недостатки является метод балльной оценки (А-счет Аргенти). В отличие от описанных «количественных» подходов к предсказанию банкротства в качестве самостоятельного можно выделить «качественный» подход, основанный на изучении отдельных характеристик, присущих бизнесу, развивающемуся по направлению к банкротству. Если для исследуемого предприятия характерно наличие таких характеристик, можно дать экспертное заключение о неблагоприятных тенденциях развития.</w:t>
      </w: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F44343" w:rsidRDefault="002325B4" w:rsidP="002325B4">
      <w:pPr>
        <w:spacing w:line="360" w:lineRule="auto"/>
        <w:rPr>
          <w:b/>
          <w:sz w:val="28"/>
          <w:szCs w:val="28"/>
        </w:rPr>
      </w:pPr>
      <w:r w:rsidRPr="00F44343">
        <w:rPr>
          <w:b/>
          <w:sz w:val="28"/>
          <w:szCs w:val="28"/>
        </w:rPr>
        <w:t>Анализ методики Бивера</w:t>
      </w:r>
    </w:p>
    <w:p w:rsidR="002325B4" w:rsidRDefault="002325B4" w:rsidP="002325B4">
      <w:pPr>
        <w:spacing w:line="360" w:lineRule="auto"/>
        <w:jc w:val="both"/>
        <w:rPr>
          <w:sz w:val="28"/>
          <w:szCs w:val="28"/>
        </w:rPr>
      </w:pPr>
      <w:r>
        <w:rPr>
          <w:sz w:val="28"/>
          <w:szCs w:val="28"/>
        </w:rPr>
        <w:t>У. Бивер проанализировал аналитические коэффициенты  для прогнозирования банкротства. Проаназировав за пятилетний период 20 коэффициентов по группе компаний, половина из которых обанкротилась.  Таким образом, ученый пришел к выводу, что, к примеру, отношение чистых денежных потоков к общей сумме долга является наилучшим показателем предстоящего банкротства, который теперь носит название коэффициент Бивера. Бивер создал базу данных, которая и сейчас используется для статистического тестирования надежности компании. (Табл.1)</w:t>
      </w:r>
    </w:p>
    <w:p w:rsidR="002325B4" w:rsidRPr="00DC5CC8" w:rsidRDefault="002325B4" w:rsidP="002325B4">
      <w:pPr>
        <w:spacing w:line="360" w:lineRule="auto"/>
        <w:jc w:val="both"/>
        <w:rPr>
          <w:sz w:val="28"/>
          <w:szCs w:val="28"/>
        </w:rPr>
      </w:pPr>
    </w:p>
    <w:p w:rsidR="002325B4" w:rsidRDefault="002325B4" w:rsidP="002325B4">
      <w:pPr>
        <w:spacing w:line="360" w:lineRule="auto"/>
        <w:jc w:val="both"/>
        <w:rPr>
          <w:sz w:val="28"/>
          <w:szCs w:val="28"/>
        </w:rPr>
      </w:pPr>
      <w:r>
        <w:rPr>
          <w:sz w:val="28"/>
          <w:szCs w:val="28"/>
        </w:rPr>
        <w:t>Таблица 1. Система показателей У. Бивера</w:t>
      </w:r>
    </w:p>
    <w:tbl>
      <w:tblPr>
        <w:tblpPr w:leftFromText="180" w:rightFromText="180" w:vertAnchor="text" w:horzAnchor="margin" w:tblpXSpec="center" w:tblpY="89"/>
        <w:tblW w:w="88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284" w:type="dxa"/>
          <w:bottom w:w="15" w:type="dxa"/>
          <w:right w:w="15" w:type="dxa"/>
        </w:tblCellMar>
        <w:tblLook w:val="0000" w:firstRow="0" w:lastRow="0" w:firstColumn="0" w:lastColumn="0" w:noHBand="0" w:noVBand="0"/>
      </w:tblPr>
      <w:tblGrid>
        <w:gridCol w:w="2385"/>
        <w:gridCol w:w="1800"/>
        <w:gridCol w:w="2160"/>
        <w:gridCol w:w="2520"/>
      </w:tblGrid>
      <w:tr w:rsidR="002325B4">
        <w:tc>
          <w:tcPr>
            <w:tcW w:w="2385" w:type="dxa"/>
            <w:shd w:val="clear" w:color="auto" w:fill="auto"/>
            <w:tcMar>
              <w:top w:w="45" w:type="dxa"/>
              <w:left w:w="45" w:type="dxa"/>
              <w:bottom w:w="45" w:type="dxa"/>
              <w:right w:w="45" w:type="dxa"/>
            </w:tcMar>
            <w:vAlign w:val="center"/>
          </w:tcPr>
          <w:p w:rsidR="002325B4" w:rsidRPr="00590DDE" w:rsidRDefault="002325B4" w:rsidP="002325B4">
            <w:pPr>
              <w:pStyle w:val="a3"/>
              <w:jc w:val="center"/>
              <w:rPr>
                <w:bCs/>
                <w:color w:val="000000"/>
              </w:rPr>
            </w:pPr>
            <w:r w:rsidRPr="00590DDE">
              <w:rPr>
                <w:rStyle w:val="a4"/>
                <w:color w:val="000000"/>
              </w:rPr>
              <w:t>Показатель</w:t>
            </w:r>
          </w:p>
        </w:tc>
        <w:tc>
          <w:tcPr>
            <w:tcW w:w="1800" w:type="dxa"/>
            <w:shd w:val="clear" w:color="auto" w:fill="auto"/>
            <w:tcMar>
              <w:top w:w="45" w:type="dxa"/>
              <w:left w:w="45" w:type="dxa"/>
              <w:bottom w:w="45" w:type="dxa"/>
              <w:right w:w="45" w:type="dxa"/>
            </w:tcMar>
            <w:vAlign w:val="center"/>
          </w:tcPr>
          <w:p w:rsidR="002325B4" w:rsidRPr="00590DDE" w:rsidRDefault="002325B4" w:rsidP="002325B4">
            <w:pPr>
              <w:pStyle w:val="a3"/>
              <w:jc w:val="center"/>
              <w:rPr>
                <w:bCs/>
                <w:color w:val="000000"/>
              </w:rPr>
            </w:pPr>
            <w:r w:rsidRPr="00590DDE">
              <w:rPr>
                <w:rStyle w:val="a4"/>
                <w:color w:val="000000"/>
              </w:rPr>
              <w:t>Группа 1 «Благополучные компании»</w:t>
            </w:r>
          </w:p>
        </w:tc>
        <w:tc>
          <w:tcPr>
            <w:tcW w:w="2160" w:type="dxa"/>
            <w:shd w:val="clear" w:color="auto" w:fill="auto"/>
            <w:tcMar>
              <w:top w:w="45" w:type="dxa"/>
              <w:left w:w="45" w:type="dxa"/>
              <w:bottom w:w="45" w:type="dxa"/>
              <w:right w:w="45" w:type="dxa"/>
            </w:tcMar>
            <w:vAlign w:val="center"/>
          </w:tcPr>
          <w:p w:rsidR="002325B4" w:rsidRPr="00590DDE" w:rsidRDefault="002325B4" w:rsidP="002325B4">
            <w:pPr>
              <w:pStyle w:val="a3"/>
              <w:jc w:val="center"/>
              <w:rPr>
                <w:bCs/>
                <w:color w:val="000000"/>
              </w:rPr>
            </w:pPr>
            <w:r w:rsidRPr="00590DDE">
              <w:rPr>
                <w:rStyle w:val="a4"/>
                <w:color w:val="000000"/>
              </w:rPr>
              <w:t>Группа 2   «За пять лет до банкротства»</w:t>
            </w:r>
          </w:p>
        </w:tc>
        <w:tc>
          <w:tcPr>
            <w:tcW w:w="2520" w:type="dxa"/>
            <w:shd w:val="clear" w:color="auto" w:fill="auto"/>
            <w:tcMar>
              <w:top w:w="45" w:type="dxa"/>
              <w:left w:w="45" w:type="dxa"/>
              <w:bottom w:w="45" w:type="dxa"/>
              <w:right w:w="45" w:type="dxa"/>
            </w:tcMar>
            <w:vAlign w:val="center"/>
          </w:tcPr>
          <w:p w:rsidR="002325B4" w:rsidRPr="00590DDE" w:rsidRDefault="002325B4" w:rsidP="002325B4">
            <w:pPr>
              <w:pStyle w:val="a3"/>
              <w:jc w:val="center"/>
              <w:rPr>
                <w:bCs/>
                <w:color w:val="000000"/>
              </w:rPr>
            </w:pPr>
            <w:r w:rsidRPr="00590DDE">
              <w:rPr>
                <w:rStyle w:val="a4"/>
                <w:color w:val="000000"/>
              </w:rPr>
              <w:t>Группа 3   «За один год до банкротства»</w:t>
            </w:r>
          </w:p>
        </w:tc>
      </w:tr>
      <w:tr w:rsidR="002325B4">
        <w:trPr>
          <w:trHeight w:val="1100"/>
        </w:trPr>
        <w:tc>
          <w:tcPr>
            <w:tcW w:w="2385" w:type="dxa"/>
            <w:shd w:val="clear" w:color="auto" w:fill="auto"/>
            <w:tcMar>
              <w:top w:w="45" w:type="dxa"/>
              <w:left w:w="45" w:type="dxa"/>
              <w:bottom w:w="45" w:type="dxa"/>
              <w:right w:w="45" w:type="dxa"/>
            </w:tcMar>
            <w:vAlign w:val="center"/>
          </w:tcPr>
          <w:p w:rsidR="002325B4" w:rsidRPr="001659F5" w:rsidRDefault="002325B4" w:rsidP="002325B4">
            <w:pPr>
              <w:pStyle w:val="a3"/>
              <w:rPr>
                <w:color w:val="000000"/>
              </w:rPr>
            </w:pPr>
            <w:r w:rsidRPr="001659F5">
              <w:rPr>
                <w:color w:val="000000"/>
              </w:rPr>
              <w:t>1. Коэффициент Бивера (</w:t>
            </w:r>
            <w:r w:rsidRPr="001659F5">
              <w:rPr>
                <w:b/>
                <w:color w:val="000000"/>
              </w:rPr>
              <w:t>K</w:t>
            </w:r>
            <w:r w:rsidRPr="001659F5">
              <w:rPr>
                <w:b/>
                <w:color w:val="000000"/>
                <w:vertAlign w:val="subscript"/>
              </w:rPr>
              <w:t>б1</w:t>
            </w:r>
            <w:r w:rsidRPr="001659F5">
              <w:rPr>
                <w:color w:val="000000"/>
              </w:rPr>
              <w:t>)</w:t>
            </w:r>
          </w:p>
        </w:tc>
        <w:tc>
          <w:tcPr>
            <w:tcW w:w="1800" w:type="dxa"/>
            <w:shd w:val="clear" w:color="auto" w:fill="auto"/>
            <w:tcMar>
              <w:top w:w="45" w:type="dxa"/>
              <w:left w:w="45" w:type="dxa"/>
              <w:bottom w:w="45" w:type="dxa"/>
              <w:right w:w="45" w:type="dxa"/>
            </w:tcMar>
            <w:vAlign w:val="center"/>
          </w:tcPr>
          <w:p w:rsidR="002325B4" w:rsidRPr="001659F5" w:rsidRDefault="002325B4" w:rsidP="002325B4">
            <w:pPr>
              <w:pStyle w:val="a3"/>
              <w:jc w:val="center"/>
              <w:rPr>
                <w:color w:val="000000"/>
              </w:rPr>
            </w:pPr>
            <w:r w:rsidRPr="001659F5">
              <w:rPr>
                <w:color w:val="000000"/>
              </w:rPr>
              <w:t>0,4—0,45</w:t>
            </w:r>
          </w:p>
        </w:tc>
        <w:tc>
          <w:tcPr>
            <w:tcW w:w="2160" w:type="dxa"/>
            <w:shd w:val="clear" w:color="auto" w:fill="auto"/>
            <w:tcMar>
              <w:top w:w="45" w:type="dxa"/>
              <w:left w:w="45" w:type="dxa"/>
              <w:bottom w:w="45" w:type="dxa"/>
              <w:right w:w="45" w:type="dxa"/>
            </w:tcMar>
            <w:vAlign w:val="center"/>
          </w:tcPr>
          <w:p w:rsidR="002325B4" w:rsidRPr="001659F5" w:rsidRDefault="002325B4" w:rsidP="002325B4">
            <w:pPr>
              <w:pStyle w:val="a3"/>
              <w:jc w:val="center"/>
              <w:rPr>
                <w:color w:val="000000"/>
              </w:rPr>
            </w:pPr>
            <w:r w:rsidRPr="001659F5">
              <w:rPr>
                <w:color w:val="000000"/>
              </w:rPr>
              <w:t>0,17</w:t>
            </w:r>
          </w:p>
        </w:tc>
        <w:tc>
          <w:tcPr>
            <w:tcW w:w="2520" w:type="dxa"/>
            <w:shd w:val="clear" w:color="auto" w:fill="auto"/>
            <w:tcMar>
              <w:top w:w="45" w:type="dxa"/>
              <w:left w:w="45" w:type="dxa"/>
              <w:bottom w:w="45" w:type="dxa"/>
              <w:right w:w="45" w:type="dxa"/>
            </w:tcMar>
            <w:vAlign w:val="center"/>
          </w:tcPr>
          <w:p w:rsidR="002325B4" w:rsidRPr="001659F5" w:rsidRDefault="002325B4" w:rsidP="002325B4">
            <w:pPr>
              <w:pStyle w:val="a3"/>
              <w:jc w:val="center"/>
              <w:rPr>
                <w:color w:val="000000"/>
              </w:rPr>
            </w:pPr>
            <w:r w:rsidRPr="001659F5">
              <w:rPr>
                <w:color w:val="000000"/>
              </w:rPr>
              <w:t>-0,15</w:t>
            </w:r>
          </w:p>
        </w:tc>
      </w:tr>
      <w:tr w:rsidR="002325B4">
        <w:tc>
          <w:tcPr>
            <w:tcW w:w="2385" w:type="dxa"/>
            <w:shd w:val="clear" w:color="auto" w:fill="auto"/>
            <w:tcMar>
              <w:top w:w="45" w:type="dxa"/>
              <w:left w:w="45" w:type="dxa"/>
              <w:bottom w:w="45" w:type="dxa"/>
              <w:right w:w="45" w:type="dxa"/>
            </w:tcMar>
            <w:vAlign w:val="center"/>
          </w:tcPr>
          <w:p w:rsidR="002325B4" w:rsidRPr="001659F5" w:rsidRDefault="002325B4" w:rsidP="002325B4">
            <w:pPr>
              <w:pStyle w:val="a3"/>
              <w:rPr>
                <w:color w:val="000000"/>
              </w:rPr>
            </w:pPr>
            <w:r w:rsidRPr="001659F5">
              <w:rPr>
                <w:color w:val="000000"/>
              </w:rPr>
              <w:t>2. Коэффициент текущей ликвидности (</w:t>
            </w:r>
            <w:r w:rsidRPr="001659F5">
              <w:rPr>
                <w:b/>
                <w:color w:val="000000"/>
              </w:rPr>
              <w:t>К</w:t>
            </w:r>
            <w:r w:rsidRPr="001659F5">
              <w:rPr>
                <w:b/>
                <w:color w:val="000000"/>
                <w:vertAlign w:val="subscript"/>
              </w:rPr>
              <w:t>л1</w:t>
            </w:r>
            <w:r w:rsidRPr="001659F5">
              <w:rPr>
                <w:color w:val="000000"/>
              </w:rPr>
              <w:t>)</w:t>
            </w:r>
          </w:p>
        </w:tc>
        <w:tc>
          <w:tcPr>
            <w:tcW w:w="1800" w:type="dxa"/>
            <w:shd w:val="clear" w:color="auto" w:fill="auto"/>
            <w:tcMar>
              <w:top w:w="45" w:type="dxa"/>
              <w:left w:w="45" w:type="dxa"/>
              <w:bottom w:w="45" w:type="dxa"/>
              <w:right w:w="45" w:type="dxa"/>
            </w:tcMar>
            <w:vAlign w:val="center"/>
          </w:tcPr>
          <w:p w:rsidR="002325B4" w:rsidRPr="001659F5" w:rsidRDefault="002325B4" w:rsidP="002325B4">
            <w:pPr>
              <w:pStyle w:val="a3"/>
              <w:jc w:val="center"/>
              <w:rPr>
                <w:color w:val="000000"/>
              </w:rPr>
            </w:pPr>
            <w:r w:rsidRPr="001659F5">
              <w:rPr>
                <w:color w:val="000000"/>
              </w:rPr>
              <w:t>&lt;3,2</w:t>
            </w:r>
          </w:p>
        </w:tc>
        <w:tc>
          <w:tcPr>
            <w:tcW w:w="2160" w:type="dxa"/>
            <w:shd w:val="clear" w:color="auto" w:fill="auto"/>
            <w:tcMar>
              <w:top w:w="45" w:type="dxa"/>
              <w:left w:w="45" w:type="dxa"/>
              <w:bottom w:w="45" w:type="dxa"/>
              <w:right w:w="45" w:type="dxa"/>
            </w:tcMar>
            <w:vAlign w:val="center"/>
          </w:tcPr>
          <w:p w:rsidR="002325B4" w:rsidRPr="001659F5" w:rsidRDefault="002325B4" w:rsidP="002325B4">
            <w:pPr>
              <w:pStyle w:val="a3"/>
              <w:jc w:val="center"/>
              <w:rPr>
                <w:color w:val="000000"/>
              </w:rPr>
            </w:pPr>
            <w:r w:rsidRPr="001659F5">
              <w:rPr>
                <w:color w:val="000000"/>
              </w:rPr>
              <w:t>&lt;2</w:t>
            </w:r>
          </w:p>
        </w:tc>
        <w:tc>
          <w:tcPr>
            <w:tcW w:w="2520" w:type="dxa"/>
            <w:shd w:val="clear" w:color="auto" w:fill="auto"/>
            <w:tcMar>
              <w:top w:w="45" w:type="dxa"/>
              <w:left w:w="45" w:type="dxa"/>
              <w:bottom w:w="45" w:type="dxa"/>
              <w:right w:w="45" w:type="dxa"/>
            </w:tcMar>
            <w:vAlign w:val="center"/>
          </w:tcPr>
          <w:p w:rsidR="002325B4" w:rsidRPr="001659F5" w:rsidRDefault="002325B4" w:rsidP="002325B4">
            <w:pPr>
              <w:pStyle w:val="a3"/>
              <w:jc w:val="center"/>
              <w:rPr>
                <w:color w:val="000000"/>
              </w:rPr>
            </w:pPr>
            <w:r w:rsidRPr="001659F5">
              <w:rPr>
                <w:color w:val="000000"/>
              </w:rPr>
              <w:t>&lt; 1</w:t>
            </w:r>
          </w:p>
        </w:tc>
      </w:tr>
      <w:tr w:rsidR="002325B4">
        <w:tc>
          <w:tcPr>
            <w:tcW w:w="2385" w:type="dxa"/>
            <w:shd w:val="clear" w:color="auto" w:fill="auto"/>
            <w:tcMar>
              <w:top w:w="45" w:type="dxa"/>
              <w:left w:w="45" w:type="dxa"/>
              <w:bottom w:w="45" w:type="dxa"/>
              <w:right w:w="45" w:type="dxa"/>
            </w:tcMar>
            <w:vAlign w:val="center"/>
          </w:tcPr>
          <w:p w:rsidR="002325B4" w:rsidRPr="001659F5" w:rsidRDefault="002325B4" w:rsidP="002325B4">
            <w:pPr>
              <w:pStyle w:val="a3"/>
              <w:rPr>
                <w:color w:val="000000"/>
              </w:rPr>
            </w:pPr>
            <w:r w:rsidRPr="001659F5">
              <w:rPr>
                <w:color w:val="000000"/>
              </w:rPr>
              <w:t>3. Экономическая рентабельность (</w:t>
            </w:r>
            <w:r w:rsidRPr="001659F5">
              <w:rPr>
                <w:b/>
                <w:color w:val="000000"/>
              </w:rPr>
              <w:t>К</w:t>
            </w:r>
            <w:r w:rsidRPr="001659F5">
              <w:rPr>
                <w:b/>
                <w:color w:val="000000"/>
                <w:vertAlign w:val="subscript"/>
              </w:rPr>
              <w:t>р</w:t>
            </w:r>
            <w:r w:rsidRPr="001659F5">
              <w:rPr>
                <w:color w:val="000000"/>
              </w:rPr>
              <w:t>)</w:t>
            </w:r>
          </w:p>
        </w:tc>
        <w:tc>
          <w:tcPr>
            <w:tcW w:w="1800" w:type="dxa"/>
            <w:shd w:val="clear" w:color="auto" w:fill="auto"/>
            <w:tcMar>
              <w:top w:w="45" w:type="dxa"/>
              <w:left w:w="45" w:type="dxa"/>
              <w:bottom w:w="45" w:type="dxa"/>
              <w:right w:w="45" w:type="dxa"/>
            </w:tcMar>
            <w:vAlign w:val="center"/>
          </w:tcPr>
          <w:p w:rsidR="002325B4" w:rsidRPr="001659F5" w:rsidRDefault="002325B4" w:rsidP="002325B4">
            <w:pPr>
              <w:pStyle w:val="a3"/>
              <w:jc w:val="center"/>
              <w:rPr>
                <w:color w:val="000000"/>
              </w:rPr>
            </w:pPr>
            <w:r w:rsidRPr="001659F5">
              <w:rPr>
                <w:color w:val="000000"/>
              </w:rPr>
              <w:t>6—8</w:t>
            </w:r>
          </w:p>
        </w:tc>
        <w:tc>
          <w:tcPr>
            <w:tcW w:w="2160" w:type="dxa"/>
            <w:shd w:val="clear" w:color="auto" w:fill="auto"/>
            <w:tcMar>
              <w:top w:w="45" w:type="dxa"/>
              <w:left w:w="45" w:type="dxa"/>
              <w:bottom w:w="45" w:type="dxa"/>
              <w:right w:w="45" w:type="dxa"/>
            </w:tcMar>
            <w:vAlign w:val="center"/>
          </w:tcPr>
          <w:p w:rsidR="002325B4" w:rsidRPr="001659F5" w:rsidRDefault="002325B4" w:rsidP="002325B4">
            <w:pPr>
              <w:pStyle w:val="a3"/>
              <w:jc w:val="center"/>
              <w:rPr>
                <w:color w:val="000000"/>
              </w:rPr>
            </w:pPr>
            <w:r w:rsidRPr="001659F5">
              <w:rPr>
                <w:color w:val="000000"/>
              </w:rPr>
              <w:t>4</w:t>
            </w:r>
          </w:p>
        </w:tc>
        <w:tc>
          <w:tcPr>
            <w:tcW w:w="2520" w:type="dxa"/>
            <w:shd w:val="clear" w:color="auto" w:fill="auto"/>
            <w:tcMar>
              <w:top w:w="45" w:type="dxa"/>
              <w:left w:w="45" w:type="dxa"/>
              <w:bottom w:w="45" w:type="dxa"/>
              <w:right w:w="45" w:type="dxa"/>
            </w:tcMar>
            <w:vAlign w:val="center"/>
          </w:tcPr>
          <w:p w:rsidR="002325B4" w:rsidRPr="001659F5" w:rsidRDefault="002325B4" w:rsidP="002325B4">
            <w:pPr>
              <w:pStyle w:val="a3"/>
              <w:jc w:val="center"/>
              <w:rPr>
                <w:color w:val="000000"/>
              </w:rPr>
            </w:pPr>
            <w:r w:rsidRPr="001659F5">
              <w:rPr>
                <w:color w:val="000000"/>
              </w:rPr>
              <w:t>-22</w:t>
            </w:r>
          </w:p>
        </w:tc>
      </w:tr>
      <w:tr w:rsidR="002325B4">
        <w:tc>
          <w:tcPr>
            <w:tcW w:w="2385" w:type="dxa"/>
            <w:shd w:val="clear" w:color="auto" w:fill="auto"/>
            <w:tcMar>
              <w:top w:w="45" w:type="dxa"/>
              <w:left w:w="45" w:type="dxa"/>
              <w:bottom w:w="45" w:type="dxa"/>
              <w:right w:w="45" w:type="dxa"/>
            </w:tcMar>
            <w:vAlign w:val="center"/>
          </w:tcPr>
          <w:p w:rsidR="002325B4" w:rsidRPr="001659F5" w:rsidRDefault="002325B4" w:rsidP="002325B4">
            <w:pPr>
              <w:pStyle w:val="a3"/>
              <w:rPr>
                <w:color w:val="000000"/>
              </w:rPr>
            </w:pPr>
            <w:r w:rsidRPr="001659F5">
              <w:rPr>
                <w:color w:val="000000"/>
              </w:rPr>
              <w:t>4. Финансовый леверидж (</w:t>
            </w:r>
            <w:r w:rsidRPr="001659F5">
              <w:rPr>
                <w:b/>
                <w:color w:val="000000"/>
              </w:rPr>
              <w:t>К</w:t>
            </w:r>
            <w:r w:rsidRPr="001659F5">
              <w:rPr>
                <w:b/>
                <w:color w:val="000000"/>
                <w:vertAlign w:val="subscript"/>
              </w:rPr>
              <w:t>фл</w:t>
            </w:r>
            <w:r w:rsidRPr="001659F5">
              <w:rPr>
                <w:color w:val="000000"/>
              </w:rPr>
              <w:t>)</w:t>
            </w:r>
          </w:p>
        </w:tc>
        <w:tc>
          <w:tcPr>
            <w:tcW w:w="1800" w:type="dxa"/>
            <w:shd w:val="clear" w:color="auto" w:fill="auto"/>
            <w:tcMar>
              <w:top w:w="45" w:type="dxa"/>
              <w:left w:w="45" w:type="dxa"/>
              <w:bottom w:w="45" w:type="dxa"/>
              <w:right w:w="45" w:type="dxa"/>
            </w:tcMar>
            <w:vAlign w:val="center"/>
          </w:tcPr>
          <w:p w:rsidR="002325B4" w:rsidRPr="001659F5" w:rsidRDefault="002325B4" w:rsidP="002325B4">
            <w:pPr>
              <w:pStyle w:val="a3"/>
              <w:jc w:val="center"/>
              <w:rPr>
                <w:color w:val="000000"/>
              </w:rPr>
            </w:pPr>
            <w:r w:rsidRPr="001659F5">
              <w:rPr>
                <w:color w:val="000000"/>
              </w:rPr>
              <w:t>&lt;37</w:t>
            </w:r>
          </w:p>
        </w:tc>
        <w:tc>
          <w:tcPr>
            <w:tcW w:w="2160" w:type="dxa"/>
            <w:shd w:val="clear" w:color="auto" w:fill="auto"/>
            <w:tcMar>
              <w:top w:w="45" w:type="dxa"/>
              <w:left w:w="45" w:type="dxa"/>
              <w:bottom w:w="45" w:type="dxa"/>
              <w:right w:w="45" w:type="dxa"/>
            </w:tcMar>
            <w:vAlign w:val="center"/>
          </w:tcPr>
          <w:p w:rsidR="002325B4" w:rsidRPr="001659F5" w:rsidRDefault="002325B4" w:rsidP="002325B4">
            <w:pPr>
              <w:pStyle w:val="a3"/>
              <w:jc w:val="center"/>
              <w:rPr>
                <w:color w:val="000000"/>
              </w:rPr>
            </w:pPr>
            <w:r w:rsidRPr="001659F5">
              <w:rPr>
                <w:color w:val="000000"/>
              </w:rPr>
              <w:t>&lt;50</w:t>
            </w:r>
          </w:p>
        </w:tc>
        <w:tc>
          <w:tcPr>
            <w:tcW w:w="2520" w:type="dxa"/>
            <w:shd w:val="clear" w:color="auto" w:fill="auto"/>
            <w:tcMar>
              <w:top w:w="45" w:type="dxa"/>
              <w:left w:w="45" w:type="dxa"/>
              <w:bottom w:w="45" w:type="dxa"/>
              <w:right w:w="45" w:type="dxa"/>
            </w:tcMar>
            <w:vAlign w:val="center"/>
          </w:tcPr>
          <w:p w:rsidR="002325B4" w:rsidRPr="001659F5" w:rsidRDefault="002325B4" w:rsidP="002325B4">
            <w:pPr>
              <w:pStyle w:val="a3"/>
              <w:jc w:val="center"/>
              <w:rPr>
                <w:color w:val="000000"/>
              </w:rPr>
            </w:pPr>
            <w:r w:rsidRPr="001659F5">
              <w:rPr>
                <w:color w:val="000000"/>
              </w:rPr>
              <w:t>&lt;80</w:t>
            </w:r>
          </w:p>
        </w:tc>
      </w:tr>
    </w:tbl>
    <w:p w:rsidR="002325B4" w:rsidRPr="00590DDE" w:rsidRDefault="002325B4" w:rsidP="002325B4">
      <w:pPr>
        <w:spacing w:line="360" w:lineRule="auto"/>
        <w:jc w:val="both"/>
        <w:rPr>
          <w:sz w:val="28"/>
          <w:szCs w:val="28"/>
        </w:rPr>
      </w:pPr>
    </w:p>
    <w:p w:rsidR="002325B4" w:rsidRPr="00590DDE" w:rsidRDefault="002325B4" w:rsidP="002325B4">
      <w:pPr>
        <w:spacing w:line="360" w:lineRule="auto"/>
        <w:jc w:val="both"/>
        <w:rPr>
          <w:color w:val="000000"/>
          <w:sz w:val="28"/>
          <w:szCs w:val="28"/>
        </w:rPr>
      </w:pPr>
      <w:r w:rsidRPr="00590DDE">
        <w:rPr>
          <w:color w:val="000000"/>
          <w:sz w:val="28"/>
          <w:szCs w:val="28"/>
        </w:rPr>
        <w:t xml:space="preserve">Приведем формулы расчета показателей; </w:t>
      </w:r>
    </w:p>
    <w:p w:rsidR="002325B4" w:rsidRPr="00590DDE" w:rsidRDefault="002325B4" w:rsidP="002325B4">
      <w:pPr>
        <w:spacing w:line="360" w:lineRule="auto"/>
        <w:jc w:val="both"/>
        <w:rPr>
          <w:color w:val="000000"/>
          <w:sz w:val="28"/>
          <w:szCs w:val="28"/>
        </w:rPr>
      </w:pPr>
      <w:r w:rsidRPr="00590DDE">
        <w:rPr>
          <w:color w:val="000000"/>
          <w:sz w:val="28"/>
          <w:szCs w:val="28"/>
        </w:rPr>
        <w:t xml:space="preserve">коэффициент Бивера  - </w:t>
      </w:r>
      <w:r w:rsidRPr="00590DDE">
        <w:rPr>
          <w:b/>
          <w:color w:val="000000"/>
          <w:sz w:val="28"/>
          <w:szCs w:val="28"/>
        </w:rPr>
        <w:t>K</w:t>
      </w:r>
      <w:r w:rsidRPr="00590DDE">
        <w:rPr>
          <w:b/>
          <w:color w:val="000000"/>
          <w:sz w:val="28"/>
          <w:szCs w:val="28"/>
          <w:vertAlign w:val="subscript"/>
        </w:rPr>
        <w:t>б1</w:t>
      </w:r>
      <w:r w:rsidRPr="00590DDE">
        <w:rPr>
          <w:color w:val="000000"/>
          <w:sz w:val="28"/>
          <w:szCs w:val="28"/>
        </w:rPr>
        <w:t xml:space="preserve">, </w:t>
      </w:r>
    </w:p>
    <w:p w:rsidR="002325B4" w:rsidRDefault="002325B4" w:rsidP="002325B4">
      <w:pPr>
        <w:spacing w:line="360" w:lineRule="auto"/>
        <w:jc w:val="both"/>
        <w:rPr>
          <w:color w:val="000000"/>
          <w:sz w:val="28"/>
          <w:szCs w:val="28"/>
        </w:rPr>
      </w:pPr>
      <w:r w:rsidRPr="00590DDE">
        <w:rPr>
          <w:b/>
          <w:color w:val="000000"/>
          <w:sz w:val="28"/>
          <w:szCs w:val="28"/>
        </w:rPr>
        <w:t>K</w:t>
      </w:r>
      <w:r w:rsidRPr="00590DDE">
        <w:rPr>
          <w:b/>
          <w:color w:val="000000"/>
          <w:sz w:val="28"/>
          <w:szCs w:val="28"/>
          <w:vertAlign w:val="subscript"/>
        </w:rPr>
        <w:t>б1</w:t>
      </w:r>
      <w:r w:rsidRPr="00590DDE">
        <w:rPr>
          <w:color w:val="000000"/>
          <w:sz w:val="28"/>
          <w:szCs w:val="28"/>
        </w:rPr>
        <w:t xml:space="preserve"> = Чистая прибыль + Амортизация / Заемный капитал = Стр. 190 (форма № 2) + Стр. 411 + Стр. 412 кол. 4 (п. 4 форма № 5) / Стр. 590 + Стр. 690 (форма №1) </w:t>
      </w:r>
    </w:p>
    <w:p w:rsidR="002325B4" w:rsidRDefault="002325B4" w:rsidP="002325B4">
      <w:pPr>
        <w:spacing w:line="360" w:lineRule="auto"/>
        <w:jc w:val="both"/>
        <w:rPr>
          <w:color w:val="000000"/>
          <w:sz w:val="28"/>
          <w:szCs w:val="28"/>
        </w:rPr>
      </w:pPr>
    </w:p>
    <w:p w:rsidR="002325B4" w:rsidRPr="00590DDE" w:rsidRDefault="002325B4" w:rsidP="002325B4">
      <w:pPr>
        <w:spacing w:line="360" w:lineRule="auto"/>
        <w:jc w:val="both"/>
        <w:rPr>
          <w:color w:val="000000"/>
          <w:sz w:val="28"/>
          <w:szCs w:val="28"/>
        </w:rPr>
      </w:pPr>
    </w:p>
    <w:p w:rsidR="002325B4" w:rsidRPr="00590DDE" w:rsidRDefault="002325B4" w:rsidP="002325B4">
      <w:pPr>
        <w:spacing w:line="360" w:lineRule="auto"/>
        <w:jc w:val="both"/>
        <w:rPr>
          <w:sz w:val="28"/>
          <w:szCs w:val="28"/>
        </w:rPr>
      </w:pPr>
      <w:r w:rsidRPr="00590DDE">
        <w:rPr>
          <w:color w:val="000000"/>
          <w:sz w:val="28"/>
          <w:szCs w:val="28"/>
        </w:rPr>
        <w:t xml:space="preserve">коэффициэнта текущей ликвидности - </w:t>
      </w:r>
      <w:r w:rsidRPr="00590DDE">
        <w:rPr>
          <w:b/>
          <w:color w:val="000000"/>
          <w:sz w:val="28"/>
          <w:szCs w:val="28"/>
        </w:rPr>
        <w:t xml:space="preserve"> К</w:t>
      </w:r>
      <w:r w:rsidRPr="00590DDE">
        <w:rPr>
          <w:b/>
          <w:color w:val="000000"/>
          <w:sz w:val="28"/>
          <w:szCs w:val="28"/>
          <w:vertAlign w:val="subscript"/>
        </w:rPr>
        <w:t>л1</w:t>
      </w:r>
      <w:r w:rsidRPr="00590DDE">
        <w:rPr>
          <w:color w:val="000000"/>
          <w:sz w:val="28"/>
          <w:szCs w:val="28"/>
        </w:rPr>
        <w:t>,</w:t>
      </w:r>
      <w:r w:rsidRPr="00590DDE">
        <w:rPr>
          <w:b/>
          <w:color w:val="000000"/>
          <w:sz w:val="28"/>
          <w:szCs w:val="28"/>
        </w:rPr>
        <w:t xml:space="preserve"> </w:t>
      </w:r>
    </w:p>
    <w:p w:rsidR="002325B4" w:rsidRDefault="002325B4" w:rsidP="002325B4">
      <w:pPr>
        <w:spacing w:line="360" w:lineRule="auto"/>
        <w:jc w:val="both"/>
        <w:rPr>
          <w:color w:val="000000"/>
          <w:sz w:val="28"/>
          <w:szCs w:val="28"/>
        </w:rPr>
      </w:pPr>
      <w:r w:rsidRPr="00590DDE">
        <w:rPr>
          <w:b/>
          <w:color w:val="000000"/>
          <w:sz w:val="28"/>
          <w:szCs w:val="28"/>
        </w:rPr>
        <w:t>К</w:t>
      </w:r>
      <w:r w:rsidRPr="00590DDE">
        <w:rPr>
          <w:b/>
          <w:color w:val="000000"/>
          <w:sz w:val="28"/>
          <w:szCs w:val="28"/>
          <w:vertAlign w:val="subscript"/>
        </w:rPr>
        <w:t>л1</w:t>
      </w:r>
      <w:r w:rsidRPr="00590DDE">
        <w:rPr>
          <w:color w:val="000000"/>
          <w:sz w:val="28"/>
          <w:szCs w:val="28"/>
        </w:rPr>
        <w:t xml:space="preserve"> = Оборотные активы / Краткосрочные обязательства = Стр. 290 (ф. № 1) / Стр. 610 + Стр. 620 + Стр. 630 + Стр. 660 (ф. № 1)</w:t>
      </w:r>
      <w:r>
        <w:rPr>
          <w:color w:val="000000"/>
          <w:sz w:val="28"/>
          <w:szCs w:val="28"/>
        </w:rPr>
        <w:t xml:space="preserve"> </w:t>
      </w:r>
    </w:p>
    <w:p w:rsidR="002325B4" w:rsidRPr="00590DDE" w:rsidRDefault="002325B4" w:rsidP="002325B4">
      <w:pPr>
        <w:spacing w:line="360" w:lineRule="auto"/>
        <w:jc w:val="both"/>
        <w:rPr>
          <w:sz w:val="28"/>
          <w:szCs w:val="28"/>
        </w:rPr>
      </w:pPr>
      <w:r>
        <w:rPr>
          <w:color w:val="000000"/>
          <w:sz w:val="28"/>
          <w:szCs w:val="28"/>
        </w:rPr>
        <w:t xml:space="preserve">Экономическая рентабельность - </w:t>
      </w:r>
      <w:r w:rsidRPr="00590DDE">
        <w:rPr>
          <w:b/>
          <w:color w:val="000000"/>
          <w:sz w:val="28"/>
          <w:szCs w:val="28"/>
        </w:rPr>
        <w:t>К</w:t>
      </w:r>
      <w:r w:rsidRPr="00590DDE">
        <w:rPr>
          <w:b/>
          <w:color w:val="000000"/>
          <w:sz w:val="28"/>
          <w:szCs w:val="28"/>
          <w:vertAlign w:val="subscript"/>
        </w:rPr>
        <w:t>р</w:t>
      </w:r>
      <w:r w:rsidRPr="00590DDE">
        <w:rPr>
          <w:color w:val="000000"/>
          <w:sz w:val="28"/>
          <w:szCs w:val="28"/>
        </w:rPr>
        <w:t>,</w:t>
      </w:r>
    </w:p>
    <w:p w:rsidR="002325B4" w:rsidRDefault="002325B4" w:rsidP="002325B4">
      <w:pPr>
        <w:spacing w:line="360" w:lineRule="auto"/>
        <w:jc w:val="both"/>
        <w:rPr>
          <w:color w:val="000000"/>
          <w:sz w:val="28"/>
          <w:szCs w:val="28"/>
        </w:rPr>
      </w:pPr>
      <w:r w:rsidRPr="00590DDE">
        <w:rPr>
          <w:b/>
          <w:color w:val="000000"/>
          <w:sz w:val="28"/>
          <w:szCs w:val="28"/>
        </w:rPr>
        <w:t>К</w:t>
      </w:r>
      <w:r w:rsidRPr="00590DDE">
        <w:rPr>
          <w:b/>
          <w:color w:val="000000"/>
          <w:sz w:val="28"/>
          <w:szCs w:val="28"/>
          <w:vertAlign w:val="subscript"/>
        </w:rPr>
        <w:t>р</w:t>
      </w:r>
      <w:r w:rsidRPr="00590DDE">
        <w:rPr>
          <w:color w:val="000000"/>
          <w:sz w:val="28"/>
          <w:szCs w:val="28"/>
        </w:rPr>
        <w:t xml:space="preserve"> = Чистая прибыль / Активы × 100% = Стр. 190 (ф. № 2) / 300 (ф. №1) × 100%</w:t>
      </w:r>
    </w:p>
    <w:p w:rsidR="002325B4" w:rsidRPr="00590DDE" w:rsidRDefault="002325B4" w:rsidP="002325B4">
      <w:pPr>
        <w:spacing w:line="360" w:lineRule="auto"/>
        <w:jc w:val="both"/>
        <w:rPr>
          <w:sz w:val="28"/>
          <w:szCs w:val="28"/>
        </w:rPr>
      </w:pPr>
      <w:r>
        <w:rPr>
          <w:color w:val="000000"/>
          <w:sz w:val="28"/>
          <w:szCs w:val="28"/>
        </w:rPr>
        <w:t xml:space="preserve">Финансовый левиридж - </w:t>
      </w:r>
      <w:r w:rsidRPr="00590DDE">
        <w:rPr>
          <w:b/>
          <w:color w:val="000000"/>
          <w:sz w:val="28"/>
          <w:szCs w:val="28"/>
        </w:rPr>
        <w:t>К</w:t>
      </w:r>
      <w:r w:rsidRPr="00590DDE">
        <w:rPr>
          <w:b/>
          <w:color w:val="000000"/>
          <w:sz w:val="28"/>
          <w:szCs w:val="28"/>
          <w:vertAlign w:val="subscript"/>
        </w:rPr>
        <w:t>фл</w:t>
      </w:r>
    </w:p>
    <w:p w:rsidR="002325B4" w:rsidRPr="00590DDE" w:rsidRDefault="002325B4" w:rsidP="002325B4">
      <w:pPr>
        <w:spacing w:line="360" w:lineRule="auto"/>
        <w:jc w:val="both"/>
        <w:rPr>
          <w:sz w:val="28"/>
          <w:szCs w:val="28"/>
        </w:rPr>
      </w:pPr>
      <w:r w:rsidRPr="00590DDE">
        <w:rPr>
          <w:b/>
          <w:color w:val="000000"/>
          <w:sz w:val="28"/>
          <w:szCs w:val="28"/>
        </w:rPr>
        <w:t>К</w:t>
      </w:r>
      <w:r w:rsidRPr="00590DDE">
        <w:rPr>
          <w:b/>
          <w:color w:val="000000"/>
          <w:sz w:val="28"/>
          <w:szCs w:val="28"/>
          <w:vertAlign w:val="subscript"/>
        </w:rPr>
        <w:t>р</w:t>
      </w:r>
      <w:r w:rsidRPr="00590DDE">
        <w:rPr>
          <w:color w:val="000000"/>
          <w:sz w:val="28"/>
          <w:szCs w:val="28"/>
        </w:rPr>
        <w:t xml:space="preserve"> = Заемный капитал / Пассивы × 100% = Стр. 590 + Стр. 690 (ф. № 1) / Стр. 700 (ф. № 1) × 100%</w:t>
      </w:r>
    </w:p>
    <w:p w:rsidR="002325B4" w:rsidRPr="00DC5CC8" w:rsidRDefault="002325B4" w:rsidP="002325B4">
      <w:pPr>
        <w:spacing w:line="360" w:lineRule="auto"/>
        <w:jc w:val="both"/>
        <w:rPr>
          <w:sz w:val="28"/>
          <w:szCs w:val="28"/>
        </w:rPr>
      </w:pPr>
      <w:r>
        <w:rPr>
          <w:sz w:val="28"/>
          <w:szCs w:val="28"/>
        </w:rPr>
        <w:t>А теперь рассмотрим систему показателей У. Бивера для оценки финансового состояния предприятия ООО «ПРОМ» с целью диагностики банкротства (Табл. 2)</w:t>
      </w:r>
    </w:p>
    <w:p w:rsidR="002325B4" w:rsidRDefault="002325B4" w:rsidP="002325B4">
      <w:pPr>
        <w:spacing w:line="360" w:lineRule="auto"/>
        <w:jc w:val="both"/>
        <w:rPr>
          <w:sz w:val="28"/>
          <w:szCs w:val="28"/>
        </w:rPr>
      </w:pPr>
      <w:r>
        <w:rPr>
          <w:sz w:val="28"/>
          <w:szCs w:val="28"/>
        </w:rPr>
        <w:t>Таблица 2. Диагностика банкротства предприятия ООО «ПРОМ» по системе У. Бивера</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284" w:type="dxa"/>
          <w:bottom w:w="15" w:type="dxa"/>
          <w:right w:w="15" w:type="dxa"/>
        </w:tblCellMar>
        <w:tblLook w:val="0000" w:firstRow="0" w:lastRow="0" w:firstColumn="0" w:lastColumn="0" w:noHBand="0" w:noVBand="0"/>
      </w:tblPr>
      <w:tblGrid>
        <w:gridCol w:w="2160"/>
        <w:gridCol w:w="2340"/>
        <w:gridCol w:w="1800"/>
        <w:gridCol w:w="2880"/>
      </w:tblGrid>
      <w:tr w:rsidR="002325B4" w:rsidRPr="00590DDE">
        <w:tc>
          <w:tcPr>
            <w:tcW w:w="2160" w:type="dxa"/>
            <w:shd w:val="clear" w:color="auto" w:fill="auto"/>
            <w:tcMar>
              <w:top w:w="45" w:type="dxa"/>
              <w:left w:w="45" w:type="dxa"/>
              <w:bottom w:w="45" w:type="dxa"/>
              <w:right w:w="45" w:type="dxa"/>
            </w:tcMar>
            <w:vAlign w:val="center"/>
          </w:tcPr>
          <w:p w:rsidR="002325B4" w:rsidRPr="00590DDE" w:rsidRDefault="002325B4" w:rsidP="002325B4">
            <w:pPr>
              <w:pStyle w:val="a3"/>
              <w:jc w:val="center"/>
              <w:rPr>
                <w:b/>
                <w:bCs/>
                <w:color w:val="000000"/>
              </w:rPr>
            </w:pPr>
            <w:r w:rsidRPr="00590DDE">
              <w:rPr>
                <w:rStyle w:val="a4"/>
                <w:color w:val="000000"/>
              </w:rPr>
              <w:t>Показатель</w:t>
            </w:r>
          </w:p>
        </w:tc>
        <w:tc>
          <w:tcPr>
            <w:tcW w:w="2340" w:type="dxa"/>
            <w:shd w:val="clear" w:color="auto" w:fill="auto"/>
            <w:tcMar>
              <w:top w:w="45" w:type="dxa"/>
              <w:left w:w="45" w:type="dxa"/>
              <w:bottom w:w="45" w:type="dxa"/>
              <w:right w:w="45" w:type="dxa"/>
            </w:tcMar>
            <w:vAlign w:val="center"/>
          </w:tcPr>
          <w:p w:rsidR="002325B4" w:rsidRPr="00590DDE" w:rsidRDefault="002325B4" w:rsidP="002325B4">
            <w:pPr>
              <w:pStyle w:val="a3"/>
              <w:jc w:val="center"/>
              <w:rPr>
                <w:b/>
                <w:bCs/>
                <w:color w:val="000000"/>
              </w:rPr>
            </w:pPr>
            <w:r w:rsidRPr="00590DDE">
              <w:rPr>
                <w:rStyle w:val="a4"/>
                <w:color w:val="000000"/>
              </w:rPr>
              <w:t>Расчет по данным финансовой отчетности</w:t>
            </w:r>
          </w:p>
        </w:tc>
        <w:tc>
          <w:tcPr>
            <w:tcW w:w="1800" w:type="dxa"/>
            <w:shd w:val="clear" w:color="auto" w:fill="auto"/>
            <w:tcMar>
              <w:top w:w="45" w:type="dxa"/>
              <w:left w:w="45" w:type="dxa"/>
              <w:bottom w:w="45" w:type="dxa"/>
              <w:right w:w="45" w:type="dxa"/>
            </w:tcMar>
            <w:vAlign w:val="center"/>
          </w:tcPr>
          <w:p w:rsidR="002325B4" w:rsidRPr="00590DDE" w:rsidRDefault="002325B4" w:rsidP="002325B4">
            <w:pPr>
              <w:pStyle w:val="a3"/>
              <w:jc w:val="center"/>
              <w:rPr>
                <w:b/>
                <w:bCs/>
                <w:color w:val="000000"/>
              </w:rPr>
            </w:pPr>
            <w:r w:rsidRPr="00590DDE">
              <w:rPr>
                <w:rStyle w:val="a4"/>
                <w:color w:val="000000"/>
              </w:rPr>
              <w:t>Значение показателя на конец периода</w:t>
            </w:r>
          </w:p>
        </w:tc>
        <w:tc>
          <w:tcPr>
            <w:tcW w:w="2880" w:type="dxa"/>
            <w:shd w:val="clear" w:color="auto" w:fill="auto"/>
            <w:tcMar>
              <w:top w:w="45" w:type="dxa"/>
              <w:left w:w="45" w:type="dxa"/>
              <w:bottom w:w="45" w:type="dxa"/>
              <w:right w:w="45" w:type="dxa"/>
            </w:tcMar>
            <w:vAlign w:val="center"/>
          </w:tcPr>
          <w:p w:rsidR="002325B4" w:rsidRPr="00590DDE" w:rsidRDefault="002325B4" w:rsidP="002325B4">
            <w:pPr>
              <w:pStyle w:val="a3"/>
              <w:jc w:val="center"/>
              <w:rPr>
                <w:b/>
                <w:bCs/>
                <w:color w:val="000000"/>
              </w:rPr>
            </w:pPr>
            <w:r w:rsidRPr="00590DDE">
              <w:rPr>
                <w:rStyle w:val="a4"/>
                <w:color w:val="000000"/>
              </w:rPr>
              <w:t>Характеристика показателя</w:t>
            </w:r>
          </w:p>
        </w:tc>
      </w:tr>
      <w:tr w:rsidR="002325B4" w:rsidRPr="00590DDE">
        <w:tc>
          <w:tcPr>
            <w:tcW w:w="2160" w:type="dxa"/>
            <w:shd w:val="clear" w:color="auto" w:fill="auto"/>
            <w:tcMar>
              <w:top w:w="45" w:type="dxa"/>
              <w:left w:w="45" w:type="dxa"/>
              <w:bottom w:w="45" w:type="dxa"/>
              <w:right w:w="45" w:type="dxa"/>
            </w:tcMar>
            <w:vAlign w:val="center"/>
          </w:tcPr>
          <w:p w:rsidR="002325B4" w:rsidRPr="00590DDE" w:rsidRDefault="002325B4" w:rsidP="002325B4">
            <w:pPr>
              <w:pStyle w:val="a3"/>
              <w:rPr>
                <w:color w:val="000000"/>
              </w:rPr>
            </w:pPr>
            <w:r w:rsidRPr="00590DDE">
              <w:rPr>
                <w:color w:val="000000"/>
              </w:rPr>
              <w:t>1. Коэффициент Бивера ( K</w:t>
            </w:r>
            <w:r w:rsidRPr="00590DDE">
              <w:rPr>
                <w:color w:val="000000"/>
                <w:vertAlign w:val="subscript"/>
              </w:rPr>
              <w:t>б1</w:t>
            </w:r>
            <w:r w:rsidRPr="00590DDE">
              <w:rPr>
                <w:color w:val="000000"/>
              </w:rPr>
              <w:t>)</w:t>
            </w:r>
          </w:p>
        </w:tc>
        <w:tc>
          <w:tcPr>
            <w:tcW w:w="2340" w:type="dxa"/>
            <w:shd w:val="clear" w:color="auto" w:fill="auto"/>
            <w:tcMar>
              <w:top w:w="45" w:type="dxa"/>
              <w:left w:w="45" w:type="dxa"/>
              <w:bottom w:w="45" w:type="dxa"/>
              <w:right w:w="45" w:type="dxa"/>
            </w:tcMar>
            <w:vAlign w:val="center"/>
          </w:tcPr>
          <w:p w:rsidR="002325B4" w:rsidRPr="00590DDE" w:rsidRDefault="002325B4" w:rsidP="002325B4">
            <w:pPr>
              <w:pStyle w:val="a3"/>
              <w:jc w:val="center"/>
              <w:rPr>
                <w:color w:val="000000"/>
              </w:rPr>
            </w:pPr>
            <w:r w:rsidRPr="00590DDE">
              <w:rPr>
                <w:color w:val="000000"/>
              </w:rPr>
              <w:t>К</w:t>
            </w:r>
            <w:r w:rsidRPr="00590DDE">
              <w:rPr>
                <w:color w:val="000000"/>
                <w:vertAlign w:val="subscript"/>
              </w:rPr>
              <w:t>б1</w:t>
            </w:r>
            <w:r w:rsidRPr="00590DDE">
              <w:rPr>
                <w:color w:val="000000"/>
              </w:rPr>
              <w:t xml:space="preserve"> = 1688 / 2257 = 0,75</w:t>
            </w:r>
          </w:p>
        </w:tc>
        <w:tc>
          <w:tcPr>
            <w:tcW w:w="1800" w:type="dxa"/>
            <w:shd w:val="clear" w:color="auto" w:fill="auto"/>
            <w:tcMar>
              <w:top w:w="45" w:type="dxa"/>
              <w:left w:w="45" w:type="dxa"/>
              <w:bottom w:w="45" w:type="dxa"/>
              <w:right w:w="45" w:type="dxa"/>
            </w:tcMar>
            <w:vAlign w:val="center"/>
          </w:tcPr>
          <w:p w:rsidR="002325B4" w:rsidRPr="00590DDE" w:rsidRDefault="002325B4" w:rsidP="002325B4">
            <w:pPr>
              <w:pStyle w:val="a3"/>
              <w:jc w:val="center"/>
              <w:rPr>
                <w:color w:val="000000"/>
              </w:rPr>
            </w:pPr>
            <w:r w:rsidRPr="00590DDE">
              <w:rPr>
                <w:color w:val="000000"/>
              </w:rPr>
              <w:t>0,75 &gt; 0,45</w:t>
            </w:r>
          </w:p>
        </w:tc>
        <w:tc>
          <w:tcPr>
            <w:tcW w:w="2880" w:type="dxa"/>
            <w:shd w:val="clear" w:color="auto" w:fill="auto"/>
            <w:tcMar>
              <w:top w:w="45" w:type="dxa"/>
              <w:left w:w="45" w:type="dxa"/>
              <w:bottom w:w="45" w:type="dxa"/>
              <w:right w:w="45" w:type="dxa"/>
            </w:tcMar>
            <w:vAlign w:val="center"/>
          </w:tcPr>
          <w:p w:rsidR="002325B4" w:rsidRPr="00590DDE" w:rsidRDefault="002325B4" w:rsidP="002325B4">
            <w:pPr>
              <w:pStyle w:val="a3"/>
              <w:rPr>
                <w:color w:val="000000"/>
              </w:rPr>
            </w:pPr>
            <w:r w:rsidRPr="00590DDE">
              <w:rPr>
                <w:color w:val="000000"/>
              </w:rPr>
              <w:t>Коэффициент больше норматива первой группы, что относит предприятие к благополучным</w:t>
            </w:r>
          </w:p>
        </w:tc>
      </w:tr>
      <w:tr w:rsidR="002325B4" w:rsidRPr="00590DDE">
        <w:tc>
          <w:tcPr>
            <w:tcW w:w="2160" w:type="dxa"/>
            <w:shd w:val="clear" w:color="auto" w:fill="auto"/>
            <w:tcMar>
              <w:top w:w="45" w:type="dxa"/>
              <w:left w:w="45" w:type="dxa"/>
              <w:bottom w:w="45" w:type="dxa"/>
              <w:right w:w="45" w:type="dxa"/>
            </w:tcMar>
            <w:vAlign w:val="center"/>
          </w:tcPr>
          <w:p w:rsidR="002325B4" w:rsidRPr="00590DDE" w:rsidRDefault="002325B4" w:rsidP="002325B4">
            <w:pPr>
              <w:pStyle w:val="a3"/>
              <w:rPr>
                <w:color w:val="000000"/>
              </w:rPr>
            </w:pPr>
            <w:r w:rsidRPr="00590DDE">
              <w:rPr>
                <w:color w:val="000000"/>
              </w:rPr>
              <w:t>2. Коэффициент текущей ликвидности</w:t>
            </w:r>
          </w:p>
        </w:tc>
        <w:tc>
          <w:tcPr>
            <w:tcW w:w="2340" w:type="dxa"/>
            <w:shd w:val="clear" w:color="auto" w:fill="auto"/>
            <w:tcMar>
              <w:top w:w="45" w:type="dxa"/>
              <w:left w:w="45" w:type="dxa"/>
              <w:bottom w:w="45" w:type="dxa"/>
              <w:right w:w="45" w:type="dxa"/>
            </w:tcMar>
            <w:vAlign w:val="center"/>
          </w:tcPr>
          <w:p w:rsidR="002325B4" w:rsidRPr="00590DDE" w:rsidRDefault="002325B4" w:rsidP="002325B4">
            <w:pPr>
              <w:pStyle w:val="a3"/>
              <w:jc w:val="center"/>
              <w:rPr>
                <w:color w:val="000000"/>
              </w:rPr>
            </w:pPr>
            <w:r w:rsidRPr="00590DDE">
              <w:rPr>
                <w:color w:val="000000"/>
              </w:rPr>
              <w:t>К</w:t>
            </w:r>
            <w:r w:rsidRPr="00590DDE">
              <w:rPr>
                <w:color w:val="000000"/>
                <w:vertAlign w:val="subscript"/>
              </w:rPr>
              <w:t>л1</w:t>
            </w:r>
            <w:r w:rsidRPr="00590DDE">
              <w:rPr>
                <w:color w:val="000000"/>
              </w:rPr>
              <w:t xml:space="preserve"> = 3696 / 1215 = 3,04</w:t>
            </w:r>
          </w:p>
        </w:tc>
        <w:tc>
          <w:tcPr>
            <w:tcW w:w="1800" w:type="dxa"/>
            <w:shd w:val="clear" w:color="auto" w:fill="auto"/>
            <w:tcMar>
              <w:top w:w="45" w:type="dxa"/>
              <w:left w:w="45" w:type="dxa"/>
              <w:bottom w:w="45" w:type="dxa"/>
              <w:right w:w="45" w:type="dxa"/>
            </w:tcMar>
            <w:vAlign w:val="center"/>
          </w:tcPr>
          <w:p w:rsidR="002325B4" w:rsidRPr="00590DDE" w:rsidRDefault="002325B4" w:rsidP="002325B4">
            <w:pPr>
              <w:pStyle w:val="a3"/>
              <w:jc w:val="center"/>
              <w:rPr>
                <w:color w:val="000000"/>
              </w:rPr>
            </w:pPr>
            <w:r w:rsidRPr="00590DDE">
              <w:rPr>
                <w:color w:val="000000"/>
              </w:rPr>
              <w:t>2 &lt; 3,04 &lt; 3,2</w:t>
            </w:r>
          </w:p>
        </w:tc>
        <w:tc>
          <w:tcPr>
            <w:tcW w:w="2880" w:type="dxa"/>
            <w:shd w:val="clear" w:color="auto" w:fill="auto"/>
            <w:tcMar>
              <w:top w:w="45" w:type="dxa"/>
              <w:left w:w="45" w:type="dxa"/>
              <w:bottom w:w="45" w:type="dxa"/>
              <w:right w:w="45" w:type="dxa"/>
            </w:tcMar>
            <w:vAlign w:val="center"/>
          </w:tcPr>
          <w:p w:rsidR="002325B4" w:rsidRPr="00590DDE" w:rsidRDefault="002325B4" w:rsidP="002325B4">
            <w:pPr>
              <w:pStyle w:val="a3"/>
              <w:rPr>
                <w:color w:val="000000"/>
              </w:rPr>
            </w:pPr>
            <w:r w:rsidRPr="00590DDE">
              <w:rPr>
                <w:color w:val="000000"/>
              </w:rPr>
              <w:t>Коэффициент соответствует нормативу первой группы</w:t>
            </w:r>
          </w:p>
        </w:tc>
      </w:tr>
      <w:tr w:rsidR="002325B4" w:rsidRPr="00590DDE">
        <w:tc>
          <w:tcPr>
            <w:tcW w:w="2160" w:type="dxa"/>
            <w:shd w:val="clear" w:color="auto" w:fill="auto"/>
            <w:tcMar>
              <w:top w:w="45" w:type="dxa"/>
              <w:left w:w="45" w:type="dxa"/>
              <w:bottom w:w="45" w:type="dxa"/>
              <w:right w:w="45" w:type="dxa"/>
            </w:tcMar>
            <w:vAlign w:val="center"/>
          </w:tcPr>
          <w:p w:rsidR="002325B4" w:rsidRPr="00590DDE" w:rsidRDefault="002325B4" w:rsidP="002325B4">
            <w:pPr>
              <w:pStyle w:val="a3"/>
              <w:rPr>
                <w:color w:val="000000"/>
              </w:rPr>
            </w:pPr>
            <w:r w:rsidRPr="00590DDE">
              <w:rPr>
                <w:color w:val="000000"/>
              </w:rPr>
              <w:t>3. Экономическая рентабельность (К</w:t>
            </w:r>
            <w:r w:rsidRPr="00590DDE">
              <w:rPr>
                <w:color w:val="000000"/>
                <w:vertAlign w:val="subscript"/>
              </w:rPr>
              <w:t>р</w:t>
            </w:r>
            <w:r w:rsidRPr="00590DDE">
              <w:rPr>
                <w:color w:val="000000"/>
              </w:rPr>
              <w:t>)</w:t>
            </w:r>
          </w:p>
        </w:tc>
        <w:tc>
          <w:tcPr>
            <w:tcW w:w="2340" w:type="dxa"/>
            <w:shd w:val="clear" w:color="auto" w:fill="auto"/>
            <w:tcMar>
              <w:top w:w="45" w:type="dxa"/>
              <w:left w:w="45" w:type="dxa"/>
              <w:bottom w:w="45" w:type="dxa"/>
              <w:right w:w="45" w:type="dxa"/>
            </w:tcMar>
            <w:vAlign w:val="center"/>
          </w:tcPr>
          <w:p w:rsidR="002325B4" w:rsidRPr="00590DDE" w:rsidRDefault="002325B4" w:rsidP="002325B4">
            <w:pPr>
              <w:pStyle w:val="a3"/>
              <w:jc w:val="center"/>
              <w:rPr>
                <w:color w:val="000000"/>
              </w:rPr>
            </w:pPr>
            <w:r w:rsidRPr="00590DDE">
              <w:rPr>
                <w:color w:val="000000"/>
              </w:rPr>
              <w:t>К</w:t>
            </w:r>
            <w:r w:rsidRPr="00590DDE">
              <w:rPr>
                <w:color w:val="000000"/>
                <w:vertAlign w:val="subscript"/>
              </w:rPr>
              <w:t>р</w:t>
            </w:r>
            <w:r w:rsidRPr="00590DDE">
              <w:rPr>
                <w:color w:val="000000"/>
              </w:rPr>
              <w:t xml:space="preserve"> = 726 / 5371 × 100% = 13,5%</w:t>
            </w:r>
          </w:p>
        </w:tc>
        <w:tc>
          <w:tcPr>
            <w:tcW w:w="1800" w:type="dxa"/>
            <w:shd w:val="clear" w:color="auto" w:fill="auto"/>
            <w:tcMar>
              <w:top w:w="45" w:type="dxa"/>
              <w:left w:w="45" w:type="dxa"/>
              <w:bottom w:w="45" w:type="dxa"/>
              <w:right w:w="45" w:type="dxa"/>
            </w:tcMar>
            <w:vAlign w:val="center"/>
          </w:tcPr>
          <w:p w:rsidR="002325B4" w:rsidRPr="00590DDE" w:rsidRDefault="002325B4" w:rsidP="002325B4">
            <w:pPr>
              <w:pStyle w:val="a3"/>
              <w:jc w:val="center"/>
              <w:rPr>
                <w:color w:val="000000"/>
              </w:rPr>
            </w:pPr>
            <w:r w:rsidRPr="00590DDE">
              <w:rPr>
                <w:color w:val="000000"/>
              </w:rPr>
              <w:t>13,5 &gt; 8</w:t>
            </w:r>
          </w:p>
        </w:tc>
        <w:tc>
          <w:tcPr>
            <w:tcW w:w="2880" w:type="dxa"/>
            <w:shd w:val="clear" w:color="auto" w:fill="auto"/>
            <w:tcMar>
              <w:top w:w="45" w:type="dxa"/>
              <w:left w:w="45" w:type="dxa"/>
              <w:bottom w:w="45" w:type="dxa"/>
              <w:right w:w="45" w:type="dxa"/>
            </w:tcMar>
            <w:vAlign w:val="center"/>
          </w:tcPr>
          <w:p w:rsidR="002325B4" w:rsidRPr="00590DDE" w:rsidRDefault="002325B4" w:rsidP="002325B4">
            <w:pPr>
              <w:pStyle w:val="a3"/>
              <w:rPr>
                <w:color w:val="000000"/>
              </w:rPr>
            </w:pPr>
            <w:r w:rsidRPr="00590DDE">
              <w:rPr>
                <w:color w:val="000000"/>
              </w:rPr>
              <w:t>Коэффициент соответствует нормативу первой группы</w:t>
            </w:r>
          </w:p>
        </w:tc>
      </w:tr>
      <w:tr w:rsidR="002325B4" w:rsidRPr="00590DDE">
        <w:tc>
          <w:tcPr>
            <w:tcW w:w="2160" w:type="dxa"/>
            <w:shd w:val="clear" w:color="auto" w:fill="auto"/>
            <w:tcMar>
              <w:top w:w="45" w:type="dxa"/>
              <w:left w:w="45" w:type="dxa"/>
              <w:bottom w:w="45" w:type="dxa"/>
              <w:right w:w="45" w:type="dxa"/>
            </w:tcMar>
            <w:vAlign w:val="center"/>
          </w:tcPr>
          <w:p w:rsidR="002325B4" w:rsidRPr="00590DDE" w:rsidRDefault="002325B4" w:rsidP="002325B4">
            <w:pPr>
              <w:pStyle w:val="a3"/>
              <w:rPr>
                <w:color w:val="000000"/>
              </w:rPr>
            </w:pPr>
            <w:r w:rsidRPr="00590DDE">
              <w:rPr>
                <w:color w:val="000000"/>
              </w:rPr>
              <w:t>4. Финансовый леверидж (К</w:t>
            </w:r>
            <w:r w:rsidRPr="00590DDE">
              <w:rPr>
                <w:color w:val="000000"/>
                <w:vertAlign w:val="subscript"/>
              </w:rPr>
              <w:t>фл</w:t>
            </w:r>
            <w:r w:rsidRPr="00590DDE">
              <w:rPr>
                <w:color w:val="000000"/>
              </w:rPr>
              <w:t>)</w:t>
            </w:r>
          </w:p>
        </w:tc>
        <w:tc>
          <w:tcPr>
            <w:tcW w:w="2340" w:type="dxa"/>
            <w:shd w:val="clear" w:color="auto" w:fill="auto"/>
            <w:tcMar>
              <w:top w:w="45" w:type="dxa"/>
              <w:left w:w="45" w:type="dxa"/>
              <w:bottom w:w="45" w:type="dxa"/>
              <w:right w:w="45" w:type="dxa"/>
            </w:tcMar>
            <w:vAlign w:val="center"/>
          </w:tcPr>
          <w:p w:rsidR="002325B4" w:rsidRPr="00590DDE" w:rsidRDefault="002325B4" w:rsidP="002325B4">
            <w:pPr>
              <w:pStyle w:val="a3"/>
              <w:jc w:val="center"/>
              <w:rPr>
                <w:color w:val="000000"/>
              </w:rPr>
            </w:pPr>
            <w:r w:rsidRPr="00590DDE">
              <w:rPr>
                <w:color w:val="000000"/>
              </w:rPr>
              <w:t>К</w:t>
            </w:r>
            <w:r w:rsidRPr="00590DDE">
              <w:rPr>
                <w:color w:val="000000"/>
                <w:vertAlign w:val="subscript"/>
              </w:rPr>
              <w:t>фл</w:t>
            </w:r>
            <w:r w:rsidRPr="00590DDE">
              <w:rPr>
                <w:color w:val="000000"/>
              </w:rPr>
              <w:t xml:space="preserve"> = 2257 / 5371 × 100% = 42%</w:t>
            </w:r>
          </w:p>
        </w:tc>
        <w:tc>
          <w:tcPr>
            <w:tcW w:w="1800" w:type="dxa"/>
            <w:shd w:val="clear" w:color="auto" w:fill="auto"/>
            <w:tcMar>
              <w:top w:w="45" w:type="dxa"/>
              <w:left w:w="45" w:type="dxa"/>
              <w:bottom w:w="45" w:type="dxa"/>
              <w:right w:w="45" w:type="dxa"/>
            </w:tcMar>
            <w:vAlign w:val="center"/>
          </w:tcPr>
          <w:p w:rsidR="002325B4" w:rsidRPr="00590DDE" w:rsidRDefault="002325B4" w:rsidP="002325B4">
            <w:pPr>
              <w:pStyle w:val="a3"/>
              <w:jc w:val="center"/>
              <w:rPr>
                <w:color w:val="000000"/>
              </w:rPr>
            </w:pPr>
            <w:r w:rsidRPr="00590DDE">
              <w:rPr>
                <w:color w:val="000000"/>
              </w:rPr>
              <w:t>37 &lt; 42 &lt; 50</w:t>
            </w:r>
          </w:p>
        </w:tc>
        <w:tc>
          <w:tcPr>
            <w:tcW w:w="2880" w:type="dxa"/>
            <w:shd w:val="clear" w:color="auto" w:fill="auto"/>
            <w:tcMar>
              <w:top w:w="45" w:type="dxa"/>
              <w:left w:w="45" w:type="dxa"/>
              <w:bottom w:w="45" w:type="dxa"/>
              <w:right w:w="45" w:type="dxa"/>
            </w:tcMar>
            <w:vAlign w:val="center"/>
          </w:tcPr>
          <w:p w:rsidR="002325B4" w:rsidRPr="00590DDE" w:rsidRDefault="002325B4" w:rsidP="002325B4">
            <w:pPr>
              <w:pStyle w:val="a3"/>
              <w:rPr>
                <w:color w:val="000000"/>
              </w:rPr>
            </w:pPr>
            <w:r w:rsidRPr="00590DDE">
              <w:rPr>
                <w:color w:val="000000"/>
              </w:rPr>
              <w:t>Коэффициент соответствует нормативу второй группы</w:t>
            </w:r>
          </w:p>
        </w:tc>
      </w:tr>
    </w:tbl>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r>
        <w:rPr>
          <w:sz w:val="28"/>
          <w:szCs w:val="28"/>
        </w:rPr>
        <w:t>Таким образом, предприятие ООО «ПРОМ» финансово устойчиво и не является банкротом.</w:t>
      </w:r>
    </w:p>
    <w:p w:rsidR="002325B4" w:rsidRPr="00DC5CC8" w:rsidRDefault="002325B4" w:rsidP="002325B4">
      <w:pPr>
        <w:spacing w:line="360" w:lineRule="auto"/>
        <w:jc w:val="both"/>
        <w:rPr>
          <w:sz w:val="28"/>
          <w:szCs w:val="28"/>
        </w:rPr>
      </w:pPr>
    </w:p>
    <w:p w:rsidR="002325B4" w:rsidRPr="00F44343" w:rsidRDefault="002325B4" w:rsidP="002325B4">
      <w:pPr>
        <w:spacing w:line="360" w:lineRule="auto"/>
        <w:jc w:val="both"/>
        <w:rPr>
          <w:b/>
          <w:sz w:val="28"/>
          <w:szCs w:val="28"/>
        </w:rPr>
      </w:pPr>
      <w:r w:rsidRPr="00F44343">
        <w:rPr>
          <w:b/>
          <w:sz w:val="28"/>
          <w:szCs w:val="28"/>
        </w:rPr>
        <w:t xml:space="preserve">Анализ методики </w:t>
      </w:r>
      <w:r>
        <w:rPr>
          <w:b/>
          <w:sz w:val="28"/>
          <w:szCs w:val="28"/>
        </w:rPr>
        <w:t xml:space="preserve">Лиса и </w:t>
      </w:r>
      <w:r w:rsidRPr="00F44343">
        <w:rPr>
          <w:b/>
          <w:sz w:val="28"/>
          <w:szCs w:val="28"/>
        </w:rPr>
        <w:t>Таффлера</w:t>
      </w:r>
    </w:p>
    <w:p w:rsidR="002325B4" w:rsidRPr="00F44343" w:rsidRDefault="002325B4" w:rsidP="002325B4">
      <w:pPr>
        <w:pStyle w:val="a3"/>
        <w:spacing w:line="360" w:lineRule="auto"/>
        <w:rPr>
          <w:sz w:val="28"/>
          <w:szCs w:val="28"/>
        </w:rPr>
      </w:pPr>
      <w:r w:rsidRPr="00F44343">
        <w:rPr>
          <w:sz w:val="28"/>
          <w:szCs w:val="28"/>
        </w:rPr>
        <w:t>Дискриминантная модель, разработанная Лис для Великобритании, получила следующее выражение:</w:t>
      </w:r>
    </w:p>
    <w:p w:rsidR="002325B4" w:rsidRPr="00F44343" w:rsidRDefault="002325B4" w:rsidP="002325B4">
      <w:pPr>
        <w:pStyle w:val="a3"/>
        <w:spacing w:line="360" w:lineRule="auto"/>
        <w:rPr>
          <w:sz w:val="28"/>
          <w:szCs w:val="28"/>
        </w:rPr>
      </w:pPr>
      <w:r w:rsidRPr="00F44343">
        <w:rPr>
          <w:sz w:val="28"/>
          <w:szCs w:val="28"/>
        </w:rPr>
        <w:t xml:space="preserve">Z =0,063х1, +0,092х2 +0,057х3 +0,001х4  </w:t>
      </w:r>
    </w:p>
    <w:p w:rsidR="002325B4" w:rsidRPr="00F44343" w:rsidRDefault="002325B4" w:rsidP="002325B4">
      <w:pPr>
        <w:pStyle w:val="a3"/>
        <w:spacing w:line="360" w:lineRule="auto"/>
        <w:rPr>
          <w:sz w:val="28"/>
          <w:szCs w:val="28"/>
        </w:rPr>
      </w:pPr>
      <w:r w:rsidRPr="00F44343">
        <w:rPr>
          <w:sz w:val="28"/>
          <w:szCs w:val="28"/>
        </w:rPr>
        <w:t>где х1 - оборотный капитал/сумма активов;</w:t>
      </w:r>
    </w:p>
    <w:p w:rsidR="002325B4" w:rsidRPr="00F44343" w:rsidRDefault="002325B4" w:rsidP="002325B4">
      <w:pPr>
        <w:pStyle w:val="a3"/>
        <w:spacing w:line="360" w:lineRule="auto"/>
        <w:rPr>
          <w:sz w:val="28"/>
          <w:szCs w:val="28"/>
        </w:rPr>
      </w:pPr>
      <w:r w:rsidRPr="00F44343">
        <w:rPr>
          <w:sz w:val="28"/>
          <w:szCs w:val="28"/>
        </w:rPr>
        <w:t>х2 - прибыль от реализации/сумма активов;</w:t>
      </w:r>
    </w:p>
    <w:p w:rsidR="002325B4" w:rsidRPr="00F44343" w:rsidRDefault="002325B4" w:rsidP="002325B4">
      <w:pPr>
        <w:pStyle w:val="a3"/>
        <w:spacing w:line="360" w:lineRule="auto"/>
        <w:rPr>
          <w:sz w:val="28"/>
          <w:szCs w:val="28"/>
        </w:rPr>
      </w:pPr>
      <w:r w:rsidRPr="00F44343">
        <w:rPr>
          <w:sz w:val="28"/>
          <w:szCs w:val="28"/>
        </w:rPr>
        <w:t>х3 - нераспределенная прибыль/сумма активов;</w:t>
      </w:r>
    </w:p>
    <w:p w:rsidR="002325B4" w:rsidRPr="00F44343" w:rsidRDefault="002325B4" w:rsidP="002325B4">
      <w:pPr>
        <w:pStyle w:val="a3"/>
        <w:spacing w:line="360" w:lineRule="auto"/>
        <w:rPr>
          <w:sz w:val="28"/>
          <w:szCs w:val="28"/>
        </w:rPr>
      </w:pPr>
      <w:r w:rsidRPr="00F44343">
        <w:rPr>
          <w:sz w:val="28"/>
          <w:szCs w:val="28"/>
        </w:rPr>
        <w:t>х4 - собственный капитал/заемный капитал.</w:t>
      </w:r>
    </w:p>
    <w:p w:rsidR="002325B4" w:rsidRPr="00F44343" w:rsidRDefault="002325B4" w:rsidP="002325B4">
      <w:pPr>
        <w:pStyle w:val="a3"/>
        <w:spacing w:line="360" w:lineRule="auto"/>
        <w:rPr>
          <w:sz w:val="28"/>
          <w:szCs w:val="28"/>
        </w:rPr>
      </w:pPr>
      <w:r w:rsidRPr="00F44343">
        <w:rPr>
          <w:sz w:val="28"/>
          <w:szCs w:val="28"/>
        </w:rPr>
        <w:t>Здесь предельная величина Z-счета равняется 0,037. Если Z0,037 - для предприятия нет угрозы банкротства, если Z&lt; 0,037 - риск банкротства очень большой.</w:t>
      </w:r>
    </w:p>
    <w:p w:rsidR="002325B4" w:rsidRPr="00F44343" w:rsidRDefault="002325B4" w:rsidP="002325B4">
      <w:pPr>
        <w:pStyle w:val="a3"/>
        <w:spacing w:line="360" w:lineRule="auto"/>
        <w:rPr>
          <w:sz w:val="28"/>
          <w:szCs w:val="28"/>
        </w:rPr>
      </w:pPr>
      <w:r w:rsidRPr="00F44343">
        <w:rPr>
          <w:sz w:val="28"/>
          <w:szCs w:val="28"/>
        </w:rPr>
        <w:t>Таффлер разработал следующую модель:</w:t>
      </w:r>
    </w:p>
    <w:p w:rsidR="002325B4" w:rsidRPr="00F44343" w:rsidRDefault="002325B4" w:rsidP="002325B4">
      <w:pPr>
        <w:pStyle w:val="a3"/>
        <w:spacing w:line="360" w:lineRule="auto"/>
        <w:rPr>
          <w:sz w:val="28"/>
          <w:szCs w:val="28"/>
        </w:rPr>
      </w:pPr>
      <w:r w:rsidRPr="00F44343">
        <w:rPr>
          <w:sz w:val="28"/>
          <w:szCs w:val="28"/>
        </w:rPr>
        <w:t>Z = 0,53х1, +0,13х2 +0,18хз +0.16х4</w:t>
      </w:r>
    </w:p>
    <w:p w:rsidR="002325B4" w:rsidRPr="00F44343" w:rsidRDefault="002325B4" w:rsidP="002325B4">
      <w:pPr>
        <w:pStyle w:val="a3"/>
        <w:spacing w:line="360" w:lineRule="auto"/>
        <w:rPr>
          <w:sz w:val="28"/>
          <w:szCs w:val="28"/>
        </w:rPr>
      </w:pPr>
      <w:r w:rsidRPr="00F44343">
        <w:rPr>
          <w:sz w:val="28"/>
          <w:szCs w:val="28"/>
        </w:rPr>
        <w:t>где х1 - прибыль от реализации/краткосрочные обязательства;</w:t>
      </w:r>
    </w:p>
    <w:p w:rsidR="002325B4" w:rsidRPr="00F44343" w:rsidRDefault="002325B4" w:rsidP="002325B4">
      <w:pPr>
        <w:pStyle w:val="a3"/>
        <w:spacing w:line="360" w:lineRule="auto"/>
        <w:rPr>
          <w:sz w:val="28"/>
          <w:szCs w:val="28"/>
        </w:rPr>
      </w:pPr>
      <w:r w:rsidRPr="00F44343">
        <w:rPr>
          <w:sz w:val="28"/>
          <w:szCs w:val="28"/>
        </w:rPr>
        <w:t>х2 - оборотные активы/сумма обязательств;</w:t>
      </w:r>
    </w:p>
    <w:p w:rsidR="002325B4" w:rsidRPr="00F44343" w:rsidRDefault="002325B4" w:rsidP="002325B4">
      <w:pPr>
        <w:pStyle w:val="a3"/>
        <w:spacing w:line="360" w:lineRule="auto"/>
        <w:rPr>
          <w:sz w:val="28"/>
          <w:szCs w:val="28"/>
        </w:rPr>
      </w:pPr>
      <w:r w:rsidRPr="00F44343">
        <w:rPr>
          <w:sz w:val="28"/>
          <w:szCs w:val="28"/>
        </w:rPr>
        <w:t>хз - краткосрочные обязательства/сумма активов;</w:t>
      </w:r>
    </w:p>
    <w:p w:rsidR="002325B4" w:rsidRPr="00F44343" w:rsidRDefault="002325B4" w:rsidP="002325B4">
      <w:pPr>
        <w:pStyle w:val="a3"/>
        <w:spacing w:line="360" w:lineRule="auto"/>
        <w:rPr>
          <w:sz w:val="28"/>
          <w:szCs w:val="28"/>
        </w:rPr>
      </w:pPr>
      <w:r w:rsidRPr="00F44343">
        <w:rPr>
          <w:sz w:val="28"/>
          <w:szCs w:val="28"/>
        </w:rPr>
        <w:t>х4 - выручка/сумма активов.</w:t>
      </w:r>
    </w:p>
    <w:p w:rsidR="002325B4" w:rsidRPr="00F44343" w:rsidRDefault="002325B4" w:rsidP="002325B4">
      <w:pPr>
        <w:pStyle w:val="a3"/>
        <w:spacing w:line="360" w:lineRule="auto"/>
        <w:rPr>
          <w:sz w:val="28"/>
          <w:szCs w:val="28"/>
        </w:rPr>
      </w:pPr>
      <w:r>
        <w:rPr>
          <w:sz w:val="28"/>
          <w:szCs w:val="28"/>
        </w:rPr>
        <w:tab/>
      </w:r>
      <w:r w:rsidRPr="00F44343">
        <w:rPr>
          <w:sz w:val="28"/>
          <w:szCs w:val="28"/>
        </w:rPr>
        <w:t>Если величина Z-счета больше 0,3, это говорит о том, что у предприятия неплохие долгосрочные перспективы, если величина Z-счета меньше 0,2, то банкротство более чем вероятно. Если 0,2 &lt; Z &lt; 0,3 - вероятность банкротства средняя.</w:t>
      </w:r>
    </w:p>
    <w:p w:rsidR="002325B4" w:rsidRPr="00F44343" w:rsidRDefault="002325B4" w:rsidP="002325B4">
      <w:pPr>
        <w:pStyle w:val="a3"/>
        <w:spacing w:line="360" w:lineRule="auto"/>
        <w:rPr>
          <w:sz w:val="28"/>
          <w:szCs w:val="28"/>
        </w:rPr>
      </w:pPr>
      <w:r>
        <w:rPr>
          <w:sz w:val="28"/>
          <w:szCs w:val="28"/>
        </w:rPr>
        <w:tab/>
      </w:r>
      <w:r w:rsidRPr="00F44343">
        <w:rPr>
          <w:sz w:val="28"/>
          <w:szCs w:val="28"/>
        </w:rPr>
        <w:t>Однако следует отметить, что использование таких моделей требует больших предосторожностей. Тестирование других предприятий по данным моделям показало, что они не в полной мере подходят для оценки риска банкротства отечественных предприятий из-за разной методики отражения инфляционных факторов и разной структуры капитала и различий в законодательной базе.</w:t>
      </w:r>
    </w:p>
    <w:p w:rsidR="002325B4" w:rsidRPr="00F44343" w:rsidRDefault="002325B4" w:rsidP="002325B4">
      <w:pPr>
        <w:spacing w:before="100" w:beforeAutospacing="1" w:after="100" w:afterAutospacing="1" w:line="360" w:lineRule="auto"/>
        <w:rPr>
          <w:sz w:val="28"/>
          <w:szCs w:val="28"/>
        </w:rPr>
      </w:pPr>
      <w:r>
        <w:rPr>
          <w:sz w:val="28"/>
          <w:szCs w:val="28"/>
        </w:rPr>
        <w:tab/>
      </w:r>
      <w:r w:rsidRPr="00F44343">
        <w:rPr>
          <w:sz w:val="28"/>
          <w:szCs w:val="28"/>
        </w:rPr>
        <w:t> В 1997 году Таффлер предложил следующую  формулу:</w:t>
      </w:r>
    </w:p>
    <w:p w:rsidR="002325B4" w:rsidRPr="00F44343" w:rsidRDefault="002325B4" w:rsidP="002325B4">
      <w:pPr>
        <w:spacing w:before="100" w:beforeAutospacing="1" w:after="100" w:afterAutospacing="1" w:line="360" w:lineRule="auto"/>
        <w:rPr>
          <w:sz w:val="28"/>
          <w:szCs w:val="28"/>
        </w:rPr>
      </w:pPr>
      <w:r w:rsidRPr="00F44343">
        <w:rPr>
          <w:sz w:val="28"/>
          <w:szCs w:val="28"/>
        </w:rPr>
        <w:t>         Z = 0,53×К</w:t>
      </w:r>
      <w:r w:rsidRPr="00F44343">
        <w:rPr>
          <w:sz w:val="28"/>
          <w:szCs w:val="28"/>
          <w:vertAlign w:val="subscript"/>
        </w:rPr>
        <w:t>1</w:t>
      </w:r>
      <w:r w:rsidRPr="00F44343">
        <w:rPr>
          <w:sz w:val="28"/>
          <w:szCs w:val="28"/>
        </w:rPr>
        <w:t xml:space="preserve"> + 0,13×2 К</w:t>
      </w:r>
      <w:r w:rsidRPr="00F44343">
        <w:rPr>
          <w:sz w:val="28"/>
          <w:szCs w:val="28"/>
          <w:vertAlign w:val="subscript"/>
        </w:rPr>
        <w:t>2</w:t>
      </w:r>
      <w:r w:rsidRPr="00F44343">
        <w:rPr>
          <w:sz w:val="28"/>
          <w:szCs w:val="28"/>
        </w:rPr>
        <w:t>+ 0,18×К</w:t>
      </w:r>
      <w:r w:rsidRPr="00F44343">
        <w:rPr>
          <w:sz w:val="28"/>
          <w:szCs w:val="28"/>
          <w:vertAlign w:val="subscript"/>
        </w:rPr>
        <w:t>3</w:t>
      </w:r>
      <w:r w:rsidRPr="00F44343">
        <w:rPr>
          <w:sz w:val="28"/>
          <w:szCs w:val="28"/>
        </w:rPr>
        <w:t xml:space="preserve"> + 0,16×К</w:t>
      </w:r>
      <w:r w:rsidRPr="00F44343">
        <w:rPr>
          <w:sz w:val="28"/>
          <w:szCs w:val="28"/>
          <w:vertAlign w:val="subscript"/>
        </w:rPr>
        <w:t>4</w:t>
      </w:r>
      <w:r w:rsidRPr="00F44343">
        <w:rPr>
          <w:sz w:val="28"/>
          <w:szCs w:val="28"/>
        </w:rPr>
        <w:t xml:space="preserve">, </w:t>
      </w:r>
    </w:p>
    <w:tbl>
      <w:tblPr>
        <w:tblW w:w="9225" w:type="dxa"/>
        <w:tblCellSpacing w:w="15" w:type="dxa"/>
        <w:tblInd w:w="-316" w:type="dxa"/>
        <w:tblLayout w:type="fixed"/>
        <w:tblCellMar>
          <w:top w:w="15" w:type="dxa"/>
          <w:left w:w="15" w:type="dxa"/>
          <w:bottom w:w="15" w:type="dxa"/>
          <w:right w:w="15" w:type="dxa"/>
        </w:tblCellMar>
        <w:tblLook w:val="0000" w:firstRow="0" w:lastRow="0" w:firstColumn="0" w:lastColumn="0" w:noHBand="0" w:noVBand="0"/>
      </w:tblPr>
      <w:tblGrid>
        <w:gridCol w:w="2771"/>
        <w:gridCol w:w="874"/>
        <w:gridCol w:w="900"/>
        <w:gridCol w:w="1230"/>
        <w:gridCol w:w="930"/>
        <w:gridCol w:w="900"/>
        <w:gridCol w:w="1620"/>
      </w:tblGrid>
      <w:tr w:rsidR="002325B4" w:rsidRPr="00E70675">
        <w:trPr>
          <w:trHeight w:val="195"/>
          <w:tblCellSpacing w:w="15" w:type="dxa"/>
        </w:trPr>
        <w:tc>
          <w:tcPr>
            <w:tcW w:w="9165" w:type="dxa"/>
            <w:gridSpan w:val="7"/>
          </w:tcPr>
          <w:p w:rsidR="002325B4" w:rsidRPr="00E70675" w:rsidRDefault="002325B4" w:rsidP="002325B4">
            <w:pPr>
              <w:spacing w:line="195" w:lineRule="atLeast"/>
            </w:pPr>
            <w:r w:rsidRPr="00E70675">
              <w:rPr>
                <w:rFonts w:ascii="Arial" w:hAnsi="Arial" w:cs="Arial"/>
                <w:sz w:val="20"/>
                <w:szCs w:val="20"/>
              </w:rPr>
              <w:t xml:space="preserve">Таблица </w:t>
            </w:r>
            <w:r>
              <w:rPr>
                <w:rFonts w:ascii="Arial" w:hAnsi="Arial" w:cs="Arial"/>
                <w:sz w:val="20"/>
                <w:szCs w:val="20"/>
              </w:rPr>
              <w:t>3</w:t>
            </w:r>
          </w:p>
        </w:tc>
      </w:tr>
      <w:tr w:rsidR="002325B4" w:rsidRPr="00E70675">
        <w:trPr>
          <w:trHeight w:val="315"/>
          <w:tblCellSpacing w:w="15" w:type="dxa"/>
        </w:trPr>
        <w:tc>
          <w:tcPr>
            <w:tcW w:w="9165" w:type="dxa"/>
            <w:gridSpan w:val="7"/>
            <w:vAlign w:val="center"/>
          </w:tcPr>
          <w:p w:rsidR="002325B4" w:rsidRPr="00E70675" w:rsidRDefault="002325B4" w:rsidP="002325B4">
            <w:pPr>
              <w:jc w:val="center"/>
            </w:pPr>
            <w:r w:rsidRPr="00E70675">
              <w:rPr>
                <w:rFonts w:ascii="Arial" w:hAnsi="Arial" w:cs="Arial"/>
                <w:b/>
                <w:bCs/>
              </w:rPr>
              <w:t>Четырехфакторная модель Таффлера  (Z=0,53×K</w:t>
            </w:r>
            <w:r w:rsidRPr="00E70675">
              <w:rPr>
                <w:sz w:val="27"/>
                <w:szCs w:val="27"/>
                <w:vertAlign w:val="subscript"/>
              </w:rPr>
              <w:t>1</w:t>
            </w:r>
            <w:r w:rsidRPr="00E70675">
              <w:rPr>
                <w:rFonts w:ascii="Arial" w:hAnsi="Arial" w:cs="Arial"/>
                <w:b/>
                <w:bCs/>
              </w:rPr>
              <w:t>+0,13×K</w:t>
            </w:r>
            <w:r w:rsidRPr="00E70675">
              <w:rPr>
                <w:sz w:val="27"/>
                <w:szCs w:val="27"/>
                <w:vertAlign w:val="subscript"/>
              </w:rPr>
              <w:t>2</w:t>
            </w:r>
            <w:r w:rsidRPr="00E70675">
              <w:rPr>
                <w:rFonts w:ascii="Arial" w:hAnsi="Arial" w:cs="Arial"/>
                <w:b/>
                <w:bCs/>
              </w:rPr>
              <w:t>+0,18×K</w:t>
            </w:r>
            <w:r w:rsidRPr="00E70675">
              <w:rPr>
                <w:sz w:val="27"/>
                <w:szCs w:val="27"/>
                <w:vertAlign w:val="subscript"/>
              </w:rPr>
              <w:t>3</w:t>
            </w:r>
            <w:r w:rsidRPr="00E70675">
              <w:rPr>
                <w:rFonts w:ascii="Arial" w:hAnsi="Arial" w:cs="Arial"/>
                <w:b/>
                <w:bCs/>
              </w:rPr>
              <w:t>+0,16×K</w:t>
            </w:r>
            <w:r w:rsidRPr="00E70675">
              <w:rPr>
                <w:sz w:val="27"/>
                <w:szCs w:val="27"/>
                <w:vertAlign w:val="subscript"/>
              </w:rPr>
              <w:t>4</w:t>
            </w:r>
            <w:r w:rsidRPr="00E70675">
              <w:rPr>
                <w:rFonts w:ascii="Arial" w:hAnsi="Arial" w:cs="Arial"/>
                <w:b/>
                <w:bCs/>
              </w:rPr>
              <w:t>)</w:t>
            </w:r>
          </w:p>
        </w:tc>
      </w:tr>
      <w:tr w:rsidR="002325B4" w:rsidRPr="00E70675">
        <w:trPr>
          <w:trHeight w:val="225"/>
          <w:tblCellSpacing w:w="15" w:type="dxa"/>
        </w:trPr>
        <w:tc>
          <w:tcPr>
            <w:tcW w:w="2726" w:type="dxa"/>
            <w:vAlign w:val="center"/>
          </w:tcPr>
          <w:p w:rsidR="002325B4" w:rsidRPr="00E70675" w:rsidRDefault="002325B4" w:rsidP="002325B4">
            <w:pPr>
              <w:spacing w:line="225" w:lineRule="atLeast"/>
              <w:jc w:val="center"/>
            </w:pPr>
          </w:p>
        </w:tc>
        <w:tc>
          <w:tcPr>
            <w:tcW w:w="844" w:type="dxa"/>
            <w:vAlign w:val="center"/>
          </w:tcPr>
          <w:p w:rsidR="002325B4" w:rsidRPr="00E70675" w:rsidRDefault="002325B4" w:rsidP="002325B4">
            <w:pPr>
              <w:spacing w:line="225" w:lineRule="atLeast"/>
              <w:jc w:val="center"/>
            </w:pPr>
            <w:r w:rsidRPr="00E70675">
              <w:rPr>
                <w:rFonts w:ascii="Arial" w:hAnsi="Arial" w:cs="Arial"/>
                <w:sz w:val="20"/>
                <w:szCs w:val="20"/>
              </w:rPr>
              <w:t>01.01.97</w:t>
            </w:r>
          </w:p>
        </w:tc>
        <w:tc>
          <w:tcPr>
            <w:tcW w:w="870" w:type="dxa"/>
            <w:vAlign w:val="center"/>
          </w:tcPr>
          <w:p w:rsidR="002325B4" w:rsidRPr="00E70675" w:rsidRDefault="002325B4" w:rsidP="002325B4">
            <w:pPr>
              <w:spacing w:line="225" w:lineRule="atLeast"/>
              <w:jc w:val="center"/>
            </w:pPr>
            <w:r w:rsidRPr="00E70675">
              <w:rPr>
                <w:rFonts w:ascii="Arial" w:hAnsi="Arial" w:cs="Arial"/>
                <w:sz w:val="20"/>
                <w:szCs w:val="20"/>
              </w:rPr>
              <w:t>01.01.98</w:t>
            </w:r>
          </w:p>
        </w:tc>
        <w:tc>
          <w:tcPr>
            <w:tcW w:w="1200" w:type="dxa"/>
            <w:vAlign w:val="center"/>
          </w:tcPr>
          <w:p w:rsidR="002325B4" w:rsidRPr="00E70675" w:rsidRDefault="002325B4" w:rsidP="002325B4">
            <w:pPr>
              <w:spacing w:line="225" w:lineRule="atLeast"/>
              <w:jc w:val="center"/>
            </w:pPr>
            <w:r w:rsidRPr="00E70675">
              <w:rPr>
                <w:rFonts w:ascii="Arial" w:hAnsi="Arial" w:cs="Arial"/>
                <w:sz w:val="20"/>
                <w:szCs w:val="20"/>
              </w:rPr>
              <w:t>01.04.98</w:t>
            </w:r>
          </w:p>
        </w:tc>
        <w:tc>
          <w:tcPr>
            <w:tcW w:w="900" w:type="dxa"/>
            <w:vAlign w:val="center"/>
          </w:tcPr>
          <w:p w:rsidR="002325B4" w:rsidRPr="00E70675" w:rsidRDefault="002325B4" w:rsidP="002325B4">
            <w:pPr>
              <w:spacing w:line="225" w:lineRule="atLeast"/>
              <w:jc w:val="center"/>
            </w:pPr>
            <w:r w:rsidRPr="00E70675">
              <w:rPr>
                <w:rFonts w:ascii="Arial" w:hAnsi="Arial" w:cs="Arial"/>
                <w:sz w:val="20"/>
                <w:szCs w:val="20"/>
              </w:rPr>
              <w:t>01.07.98</w:t>
            </w:r>
          </w:p>
        </w:tc>
        <w:tc>
          <w:tcPr>
            <w:tcW w:w="870" w:type="dxa"/>
            <w:vAlign w:val="center"/>
          </w:tcPr>
          <w:p w:rsidR="002325B4" w:rsidRPr="00E70675" w:rsidRDefault="002325B4" w:rsidP="002325B4">
            <w:pPr>
              <w:spacing w:line="225" w:lineRule="atLeast"/>
              <w:jc w:val="center"/>
            </w:pPr>
            <w:r w:rsidRPr="00E70675">
              <w:rPr>
                <w:rFonts w:ascii="Arial" w:hAnsi="Arial" w:cs="Arial"/>
                <w:sz w:val="20"/>
                <w:szCs w:val="20"/>
              </w:rPr>
              <w:t>01.10.98</w:t>
            </w:r>
          </w:p>
        </w:tc>
        <w:tc>
          <w:tcPr>
            <w:tcW w:w="1575" w:type="dxa"/>
            <w:vAlign w:val="center"/>
          </w:tcPr>
          <w:p w:rsidR="002325B4" w:rsidRPr="00E70675" w:rsidRDefault="002325B4" w:rsidP="002325B4">
            <w:pPr>
              <w:spacing w:line="225" w:lineRule="atLeast"/>
              <w:jc w:val="center"/>
            </w:pPr>
            <w:r w:rsidRPr="00E70675">
              <w:rPr>
                <w:rFonts w:ascii="Arial" w:hAnsi="Arial" w:cs="Arial"/>
                <w:sz w:val="20"/>
                <w:szCs w:val="20"/>
              </w:rPr>
              <w:t>01.01.99</w:t>
            </w:r>
          </w:p>
        </w:tc>
      </w:tr>
      <w:tr w:rsidR="002325B4" w:rsidRPr="00E70675">
        <w:trPr>
          <w:trHeight w:val="360"/>
          <w:tblCellSpacing w:w="15" w:type="dxa"/>
        </w:trPr>
        <w:tc>
          <w:tcPr>
            <w:tcW w:w="2726" w:type="dxa"/>
            <w:vAlign w:val="center"/>
          </w:tcPr>
          <w:p w:rsidR="002325B4" w:rsidRPr="00E70675" w:rsidRDefault="002325B4" w:rsidP="002325B4">
            <w:pPr>
              <w:jc w:val="center"/>
            </w:pPr>
            <w:r w:rsidRPr="00E70675">
              <w:rPr>
                <w:rFonts w:ascii="Arial" w:hAnsi="Arial" w:cs="Arial"/>
                <w:sz w:val="20"/>
                <w:szCs w:val="20"/>
              </w:rPr>
              <w:t>К1 - Соотношение  чистой прибыли и краткосрочных  обязательств</w:t>
            </w:r>
          </w:p>
        </w:tc>
        <w:tc>
          <w:tcPr>
            <w:tcW w:w="844" w:type="dxa"/>
            <w:vAlign w:val="center"/>
          </w:tcPr>
          <w:p w:rsidR="002325B4" w:rsidRPr="00E70675" w:rsidRDefault="002325B4" w:rsidP="002325B4">
            <w:pPr>
              <w:jc w:val="center"/>
            </w:pPr>
            <w:r w:rsidRPr="00E70675">
              <w:rPr>
                <w:rFonts w:ascii="Arial" w:hAnsi="Arial" w:cs="Arial"/>
                <w:sz w:val="20"/>
                <w:szCs w:val="20"/>
              </w:rPr>
              <w:t>0,58</w:t>
            </w:r>
          </w:p>
        </w:tc>
        <w:tc>
          <w:tcPr>
            <w:tcW w:w="870" w:type="dxa"/>
            <w:vAlign w:val="center"/>
          </w:tcPr>
          <w:p w:rsidR="002325B4" w:rsidRPr="00E70675" w:rsidRDefault="002325B4" w:rsidP="002325B4">
            <w:pPr>
              <w:jc w:val="center"/>
            </w:pPr>
            <w:r w:rsidRPr="00E70675">
              <w:rPr>
                <w:rFonts w:ascii="Arial" w:hAnsi="Arial" w:cs="Arial"/>
                <w:sz w:val="20"/>
                <w:szCs w:val="20"/>
              </w:rPr>
              <w:t>1,01</w:t>
            </w:r>
          </w:p>
        </w:tc>
        <w:tc>
          <w:tcPr>
            <w:tcW w:w="1200" w:type="dxa"/>
            <w:vAlign w:val="center"/>
          </w:tcPr>
          <w:p w:rsidR="002325B4" w:rsidRPr="00E70675" w:rsidRDefault="002325B4" w:rsidP="002325B4">
            <w:pPr>
              <w:jc w:val="center"/>
            </w:pPr>
            <w:r w:rsidRPr="00E70675">
              <w:rPr>
                <w:rFonts w:ascii="Arial" w:hAnsi="Arial" w:cs="Arial"/>
                <w:sz w:val="20"/>
                <w:szCs w:val="20"/>
              </w:rPr>
              <w:t>0,06</w:t>
            </w:r>
          </w:p>
        </w:tc>
        <w:tc>
          <w:tcPr>
            <w:tcW w:w="900" w:type="dxa"/>
            <w:vAlign w:val="center"/>
          </w:tcPr>
          <w:p w:rsidR="002325B4" w:rsidRPr="00E70675" w:rsidRDefault="002325B4" w:rsidP="002325B4">
            <w:pPr>
              <w:jc w:val="center"/>
            </w:pPr>
            <w:r w:rsidRPr="00E70675">
              <w:rPr>
                <w:rFonts w:ascii="Arial" w:hAnsi="Arial" w:cs="Arial"/>
                <w:sz w:val="20"/>
                <w:szCs w:val="20"/>
              </w:rPr>
              <w:t>0,14</w:t>
            </w:r>
          </w:p>
        </w:tc>
        <w:tc>
          <w:tcPr>
            <w:tcW w:w="870" w:type="dxa"/>
            <w:vAlign w:val="center"/>
          </w:tcPr>
          <w:p w:rsidR="002325B4" w:rsidRPr="00E70675" w:rsidRDefault="002325B4" w:rsidP="002325B4">
            <w:pPr>
              <w:jc w:val="center"/>
            </w:pPr>
            <w:r w:rsidRPr="00E70675">
              <w:rPr>
                <w:rFonts w:ascii="Arial" w:hAnsi="Arial" w:cs="Arial"/>
                <w:sz w:val="20"/>
                <w:szCs w:val="20"/>
              </w:rPr>
              <w:t>0,31</w:t>
            </w:r>
          </w:p>
        </w:tc>
        <w:tc>
          <w:tcPr>
            <w:tcW w:w="1575" w:type="dxa"/>
            <w:vAlign w:val="center"/>
          </w:tcPr>
          <w:p w:rsidR="002325B4" w:rsidRPr="00E70675" w:rsidRDefault="002325B4" w:rsidP="002325B4">
            <w:pPr>
              <w:jc w:val="center"/>
            </w:pPr>
            <w:r w:rsidRPr="00E70675">
              <w:rPr>
                <w:rFonts w:ascii="Arial" w:hAnsi="Arial" w:cs="Arial"/>
                <w:sz w:val="20"/>
                <w:szCs w:val="20"/>
              </w:rPr>
              <w:t>0,34</w:t>
            </w:r>
          </w:p>
        </w:tc>
      </w:tr>
      <w:tr w:rsidR="002325B4" w:rsidRPr="00E70675">
        <w:trPr>
          <w:trHeight w:val="360"/>
          <w:tblCellSpacing w:w="15" w:type="dxa"/>
        </w:trPr>
        <w:tc>
          <w:tcPr>
            <w:tcW w:w="2726" w:type="dxa"/>
            <w:vAlign w:val="center"/>
          </w:tcPr>
          <w:p w:rsidR="002325B4" w:rsidRPr="00E70675" w:rsidRDefault="002325B4" w:rsidP="002325B4">
            <w:pPr>
              <w:jc w:val="center"/>
            </w:pPr>
            <w:r w:rsidRPr="00E70675">
              <w:rPr>
                <w:rFonts w:ascii="Arial" w:hAnsi="Arial" w:cs="Arial"/>
                <w:sz w:val="20"/>
                <w:szCs w:val="20"/>
              </w:rPr>
              <w:t>К2 - Соотношение  оборотных активов с суммой обязательств</w:t>
            </w:r>
          </w:p>
        </w:tc>
        <w:tc>
          <w:tcPr>
            <w:tcW w:w="844" w:type="dxa"/>
            <w:vAlign w:val="center"/>
          </w:tcPr>
          <w:p w:rsidR="002325B4" w:rsidRPr="00E70675" w:rsidRDefault="002325B4" w:rsidP="002325B4">
            <w:pPr>
              <w:jc w:val="center"/>
            </w:pPr>
            <w:r w:rsidRPr="00E70675">
              <w:rPr>
                <w:rFonts w:ascii="Arial" w:hAnsi="Arial" w:cs="Arial"/>
                <w:sz w:val="20"/>
                <w:szCs w:val="20"/>
              </w:rPr>
              <w:t>0,34</w:t>
            </w:r>
          </w:p>
        </w:tc>
        <w:tc>
          <w:tcPr>
            <w:tcW w:w="870" w:type="dxa"/>
            <w:vAlign w:val="center"/>
          </w:tcPr>
          <w:p w:rsidR="002325B4" w:rsidRPr="00E70675" w:rsidRDefault="002325B4" w:rsidP="002325B4">
            <w:pPr>
              <w:jc w:val="center"/>
            </w:pPr>
            <w:r w:rsidRPr="00E70675">
              <w:rPr>
                <w:rFonts w:ascii="Arial" w:hAnsi="Arial" w:cs="Arial"/>
                <w:sz w:val="20"/>
                <w:szCs w:val="20"/>
              </w:rPr>
              <w:t>0,42</w:t>
            </w:r>
          </w:p>
        </w:tc>
        <w:tc>
          <w:tcPr>
            <w:tcW w:w="1200" w:type="dxa"/>
            <w:vAlign w:val="center"/>
          </w:tcPr>
          <w:p w:rsidR="002325B4" w:rsidRPr="00E70675" w:rsidRDefault="002325B4" w:rsidP="002325B4">
            <w:pPr>
              <w:jc w:val="center"/>
            </w:pPr>
            <w:r w:rsidRPr="00E70675">
              <w:rPr>
                <w:rFonts w:ascii="Arial" w:hAnsi="Arial" w:cs="Arial"/>
                <w:sz w:val="20"/>
                <w:szCs w:val="20"/>
              </w:rPr>
              <w:t>0,48</w:t>
            </w:r>
          </w:p>
        </w:tc>
        <w:tc>
          <w:tcPr>
            <w:tcW w:w="900" w:type="dxa"/>
            <w:vAlign w:val="center"/>
          </w:tcPr>
          <w:p w:rsidR="002325B4" w:rsidRPr="00E70675" w:rsidRDefault="002325B4" w:rsidP="002325B4">
            <w:pPr>
              <w:jc w:val="center"/>
            </w:pPr>
            <w:r w:rsidRPr="00E70675">
              <w:rPr>
                <w:rFonts w:ascii="Arial" w:hAnsi="Arial" w:cs="Arial"/>
                <w:sz w:val="20"/>
                <w:szCs w:val="20"/>
              </w:rPr>
              <w:t>0,54</w:t>
            </w:r>
          </w:p>
        </w:tc>
        <w:tc>
          <w:tcPr>
            <w:tcW w:w="870" w:type="dxa"/>
            <w:vAlign w:val="center"/>
          </w:tcPr>
          <w:p w:rsidR="002325B4" w:rsidRPr="00E70675" w:rsidRDefault="002325B4" w:rsidP="002325B4">
            <w:pPr>
              <w:jc w:val="center"/>
            </w:pPr>
            <w:r w:rsidRPr="00E70675">
              <w:rPr>
                <w:rFonts w:ascii="Arial" w:hAnsi="Arial" w:cs="Arial"/>
                <w:sz w:val="20"/>
                <w:szCs w:val="20"/>
              </w:rPr>
              <w:t>0,42</w:t>
            </w:r>
          </w:p>
        </w:tc>
        <w:tc>
          <w:tcPr>
            <w:tcW w:w="1575" w:type="dxa"/>
            <w:vAlign w:val="center"/>
          </w:tcPr>
          <w:p w:rsidR="002325B4" w:rsidRPr="00E70675" w:rsidRDefault="002325B4" w:rsidP="002325B4">
            <w:pPr>
              <w:jc w:val="center"/>
            </w:pPr>
            <w:r w:rsidRPr="00E70675">
              <w:rPr>
                <w:rFonts w:ascii="Arial" w:hAnsi="Arial" w:cs="Arial"/>
                <w:sz w:val="20"/>
                <w:szCs w:val="20"/>
              </w:rPr>
              <w:t>0,54</w:t>
            </w:r>
          </w:p>
        </w:tc>
      </w:tr>
      <w:tr w:rsidR="002325B4" w:rsidRPr="00E70675">
        <w:trPr>
          <w:trHeight w:val="360"/>
          <w:tblCellSpacing w:w="15" w:type="dxa"/>
        </w:trPr>
        <w:tc>
          <w:tcPr>
            <w:tcW w:w="2726" w:type="dxa"/>
            <w:vAlign w:val="center"/>
          </w:tcPr>
          <w:p w:rsidR="002325B4" w:rsidRPr="00E70675" w:rsidRDefault="002325B4" w:rsidP="002325B4">
            <w:pPr>
              <w:jc w:val="center"/>
            </w:pPr>
            <w:r w:rsidRPr="00E70675">
              <w:rPr>
                <w:rFonts w:ascii="Arial" w:hAnsi="Arial" w:cs="Arial"/>
                <w:sz w:val="20"/>
                <w:szCs w:val="20"/>
              </w:rPr>
              <w:t>К3 - Соотношение  краткосрочных обязательств с активами (валютой баланса)</w:t>
            </w:r>
          </w:p>
        </w:tc>
        <w:tc>
          <w:tcPr>
            <w:tcW w:w="844" w:type="dxa"/>
            <w:vAlign w:val="center"/>
          </w:tcPr>
          <w:p w:rsidR="002325B4" w:rsidRPr="00E70675" w:rsidRDefault="002325B4" w:rsidP="002325B4">
            <w:pPr>
              <w:jc w:val="center"/>
            </w:pPr>
            <w:r w:rsidRPr="00E70675">
              <w:rPr>
                <w:rFonts w:ascii="Arial" w:hAnsi="Arial" w:cs="Arial"/>
                <w:sz w:val="20"/>
                <w:szCs w:val="20"/>
              </w:rPr>
              <w:t>0,13</w:t>
            </w:r>
          </w:p>
        </w:tc>
        <w:tc>
          <w:tcPr>
            <w:tcW w:w="870" w:type="dxa"/>
            <w:vAlign w:val="center"/>
          </w:tcPr>
          <w:p w:rsidR="002325B4" w:rsidRPr="00E70675" w:rsidRDefault="002325B4" w:rsidP="002325B4">
            <w:pPr>
              <w:jc w:val="center"/>
            </w:pPr>
            <w:r w:rsidRPr="00E70675">
              <w:rPr>
                <w:rFonts w:ascii="Arial" w:hAnsi="Arial" w:cs="Arial"/>
                <w:sz w:val="20"/>
                <w:szCs w:val="20"/>
              </w:rPr>
              <w:t>0,11</w:t>
            </w:r>
          </w:p>
        </w:tc>
        <w:tc>
          <w:tcPr>
            <w:tcW w:w="1200" w:type="dxa"/>
            <w:vAlign w:val="center"/>
          </w:tcPr>
          <w:p w:rsidR="002325B4" w:rsidRPr="00E70675" w:rsidRDefault="002325B4" w:rsidP="002325B4">
            <w:pPr>
              <w:jc w:val="center"/>
            </w:pPr>
            <w:r w:rsidRPr="00E70675">
              <w:rPr>
                <w:rFonts w:ascii="Arial" w:hAnsi="Arial" w:cs="Arial"/>
                <w:sz w:val="20"/>
                <w:szCs w:val="20"/>
              </w:rPr>
              <w:t>0,14</w:t>
            </w:r>
          </w:p>
        </w:tc>
        <w:tc>
          <w:tcPr>
            <w:tcW w:w="900" w:type="dxa"/>
            <w:vAlign w:val="center"/>
          </w:tcPr>
          <w:p w:rsidR="002325B4" w:rsidRPr="00E70675" w:rsidRDefault="002325B4" w:rsidP="002325B4">
            <w:pPr>
              <w:jc w:val="center"/>
            </w:pPr>
            <w:r w:rsidRPr="00E70675">
              <w:rPr>
                <w:rFonts w:ascii="Arial" w:hAnsi="Arial" w:cs="Arial"/>
                <w:sz w:val="20"/>
                <w:szCs w:val="20"/>
              </w:rPr>
              <w:t>0,17</w:t>
            </w:r>
          </w:p>
        </w:tc>
        <w:tc>
          <w:tcPr>
            <w:tcW w:w="870" w:type="dxa"/>
            <w:vAlign w:val="center"/>
          </w:tcPr>
          <w:p w:rsidR="002325B4" w:rsidRPr="00E70675" w:rsidRDefault="002325B4" w:rsidP="002325B4">
            <w:pPr>
              <w:jc w:val="center"/>
            </w:pPr>
            <w:r w:rsidRPr="00E70675">
              <w:rPr>
                <w:rFonts w:ascii="Arial" w:hAnsi="Arial" w:cs="Arial"/>
                <w:sz w:val="20"/>
                <w:szCs w:val="20"/>
              </w:rPr>
              <w:t>0,16</w:t>
            </w:r>
          </w:p>
        </w:tc>
        <w:tc>
          <w:tcPr>
            <w:tcW w:w="1575" w:type="dxa"/>
            <w:vAlign w:val="center"/>
          </w:tcPr>
          <w:p w:rsidR="002325B4" w:rsidRPr="00E70675" w:rsidRDefault="002325B4" w:rsidP="002325B4">
            <w:pPr>
              <w:jc w:val="center"/>
            </w:pPr>
            <w:r w:rsidRPr="00E70675">
              <w:rPr>
                <w:rFonts w:ascii="Arial" w:hAnsi="Arial" w:cs="Arial"/>
                <w:sz w:val="20"/>
                <w:szCs w:val="20"/>
              </w:rPr>
              <w:t>0,29</w:t>
            </w:r>
          </w:p>
        </w:tc>
      </w:tr>
      <w:tr w:rsidR="002325B4" w:rsidRPr="00E70675">
        <w:trPr>
          <w:trHeight w:val="390"/>
          <w:tblCellSpacing w:w="15" w:type="dxa"/>
        </w:trPr>
        <w:tc>
          <w:tcPr>
            <w:tcW w:w="2726" w:type="dxa"/>
            <w:vAlign w:val="center"/>
          </w:tcPr>
          <w:p w:rsidR="002325B4" w:rsidRPr="00E70675" w:rsidRDefault="002325B4" w:rsidP="002325B4">
            <w:pPr>
              <w:jc w:val="center"/>
            </w:pPr>
            <w:r w:rsidRPr="00E70675">
              <w:rPr>
                <w:rFonts w:ascii="Arial" w:hAnsi="Arial" w:cs="Arial"/>
                <w:sz w:val="20"/>
                <w:szCs w:val="20"/>
              </w:rPr>
              <w:t>К4 - Соотношение  выручки от реализации с суммой активов (валютой баланса)</w:t>
            </w:r>
          </w:p>
        </w:tc>
        <w:tc>
          <w:tcPr>
            <w:tcW w:w="844" w:type="dxa"/>
            <w:vAlign w:val="center"/>
          </w:tcPr>
          <w:p w:rsidR="002325B4" w:rsidRPr="00E70675" w:rsidRDefault="002325B4" w:rsidP="002325B4">
            <w:pPr>
              <w:jc w:val="center"/>
            </w:pPr>
            <w:r w:rsidRPr="00E70675">
              <w:rPr>
                <w:rFonts w:ascii="Arial" w:hAnsi="Arial" w:cs="Arial"/>
                <w:sz w:val="20"/>
                <w:szCs w:val="20"/>
              </w:rPr>
              <w:t>1,49</w:t>
            </w:r>
          </w:p>
        </w:tc>
        <w:tc>
          <w:tcPr>
            <w:tcW w:w="870" w:type="dxa"/>
            <w:vAlign w:val="center"/>
          </w:tcPr>
          <w:p w:rsidR="002325B4" w:rsidRPr="00E70675" w:rsidRDefault="002325B4" w:rsidP="002325B4">
            <w:pPr>
              <w:jc w:val="center"/>
            </w:pPr>
            <w:r w:rsidRPr="00E70675">
              <w:rPr>
                <w:rFonts w:ascii="Arial" w:hAnsi="Arial" w:cs="Arial"/>
                <w:sz w:val="20"/>
                <w:szCs w:val="20"/>
              </w:rPr>
              <w:t>1,84</w:t>
            </w:r>
          </w:p>
        </w:tc>
        <w:tc>
          <w:tcPr>
            <w:tcW w:w="1200" w:type="dxa"/>
            <w:vAlign w:val="center"/>
          </w:tcPr>
          <w:p w:rsidR="002325B4" w:rsidRPr="00E70675" w:rsidRDefault="002325B4" w:rsidP="002325B4">
            <w:pPr>
              <w:jc w:val="center"/>
            </w:pPr>
            <w:r w:rsidRPr="00E70675">
              <w:rPr>
                <w:rFonts w:ascii="Arial" w:hAnsi="Arial" w:cs="Arial"/>
                <w:sz w:val="20"/>
                <w:szCs w:val="20"/>
              </w:rPr>
              <w:t>0,35</w:t>
            </w:r>
          </w:p>
        </w:tc>
        <w:tc>
          <w:tcPr>
            <w:tcW w:w="900" w:type="dxa"/>
            <w:vAlign w:val="center"/>
          </w:tcPr>
          <w:p w:rsidR="002325B4" w:rsidRPr="00E70675" w:rsidRDefault="002325B4" w:rsidP="002325B4">
            <w:pPr>
              <w:jc w:val="center"/>
            </w:pPr>
            <w:r w:rsidRPr="00E70675">
              <w:rPr>
                <w:rFonts w:ascii="Arial" w:hAnsi="Arial" w:cs="Arial"/>
                <w:sz w:val="20"/>
                <w:szCs w:val="20"/>
              </w:rPr>
              <w:t>0,67</w:t>
            </w:r>
          </w:p>
        </w:tc>
        <w:tc>
          <w:tcPr>
            <w:tcW w:w="870" w:type="dxa"/>
            <w:vAlign w:val="center"/>
          </w:tcPr>
          <w:p w:rsidR="002325B4" w:rsidRPr="00E70675" w:rsidRDefault="002325B4" w:rsidP="002325B4">
            <w:pPr>
              <w:jc w:val="center"/>
            </w:pPr>
            <w:r w:rsidRPr="00E70675">
              <w:rPr>
                <w:rFonts w:ascii="Arial" w:hAnsi="Arial" w:cs="Arial"/>
                <w:sz w:val="20"/>
                <w:szCs w:val="20"/>
              </w:rPr>
              <w:t>1,04</w:t>
            </w:r>
          </w:p>
        </w:tc>
        <w:tc>
          <w:tcPr>
            <w:tcW w:w="1575" w:type="dxa"/>
            <w:vAlign w:val="center"/>
          </w:tcPr>
          <w:p w:rsidR="002325B4" w:rsidRPr="00E70675" w:rsidRDefault="002325B4" w:rsidP="002325B4">
            <w:pPr>
              <w:jc w:val="center"/>
            </w:pPr>
            <w:r w:rsidRPr="00E70675">
              <w:rPr>
                <w:rFonts w:ascii="Arial" w:hAnsi="Arial" w:cs="Arial"/>
                <w:sz w:val="20"/>
                <w:szCs w:val="20"/>
              </w:rPr>
              <w:t>1,72</w:t>
            </w:r>
          </w:p>
        </w:tc>
      </w:tr>
      <w:tr w:rsidR="002325B4" w:rsidRPr="00E70675">
        <w:trPr>
          <w:trHeight w:val="225"/>
          <w:tblCellSpacing w:w="15" w:type="dxa"/>
        </w:trPr>
        <w:tc>
          <w:tcPr>
            <w:tcW w:w="2726" w:type="dxa"/>
            <w:vAlign w:val="center"/>
          </w:tcPr>
          <w:p w:rsidR="002325B4" w:rsidRPr="00E70675" w:rsidRDefault="002325B4" w:rsidP="002325B4">
            <w:pPr>
              <w:spacing w:line="225" w:lineRule="atLeast"/>
              <w:jc w:val="center"/>
            </w:pPr>
            <w:r w:rsidRPr="00E70675">
              <w:rPr>
                <w:sz w:val="20"/>
                <w:szCs w:val="20"/>
              </w:rPr>
              <w:t>Значение</w:t>
            </w:r>
            <w:r w:rsidRPr="00E70675">
              <w:rPr>
                <w:rFonts w:ascii="Arial" w:hAnsi="Arial" w:cs="Arial"/>
                <w:sz w:val="20"/>
                <w:szCs w:val="20"/>
              </w:rPr>
              <w:t xml:space="preserve"> Z</w:t>
            </w:r>
          </w:p>
        </w:tc>
        <w:tc>
          <w:tcPr>
            <w:tcW w:w="844" w:type="dxa"/>
            <w:vAlign w:val="center"/>
          </w:tcPr>
          <w:p w:rsidR="002325B4" w:rsidRPr="00E70675" w:rsidRDefault="002325B4" w:rsidP="002325B4">
            <w:pPr>
              <w:spacing w:line="225" w:lineRule="atLeast"/>
              <w:jc w:val="center"/>
            </w:pPr>
            <w:r w:rsidRPr="00E70675">
              <w:rPr>
                <w:rFonts w:ascii="Arial" w:hAnsi="Arial" w:cs="Arial"/>
                <w:sz w:val="20"/>
                <w:szCs w:val="20"/>
              </w:rPr>
              <w:t>0,62</w:t>
            </w:r>
          </w:p>
        </w:tc>
        <w:tc>
          <w:tcPr>
            <w:tcW w:w="870" w:type="dxa"/>
            <w:vAlign w:val="center"/>
          </w:tcPr>
          <w:p w:rsidR="002325B4" w:rsidRPr="00E70675" w:rsidRDefault="002325B4" w:rsidP="002325B4">
            <w:pPr>
              <w:spacing w:line="225" w:lineRule="atLeast"/>
              <w:jc w:val="center"/>
            </w:pPr>
            <w:r w:rsidRPr="00E70675">
              <w:rPr>
                <w:rFonts w:ascii="Arial" w:hAnsi="Arial" w:cs="Arial"/>
                <w:sz w:val="20"/>
                <w:szCs w:val="20"/>
              </w:rPr>
              <w:t>0,91</w:t>
            </w:r>
          </w:p>
        </w:tc>
        <w:tc>
          <w:tcPr>
            <w:tcW w:w="1200" w:type="dxa"/>
            <w:vAlign w:val="center"/>
          </w:tcPr>
          <w:p w:rsidR="002325B4" w:rsidRPr="00E70675" w:rsidRDefault="002325B4" w:rsidP="002325B4">
            <w:pPr>
              <w:spacing w:line="225" w:lineRule="atLeast"/>
              <w:jc w:val="center"/>
            </w:pPr>
            <w:r w:rsidRPr="00E70675">
              <w:rPr>
                <w:rFonts w:ascii="Arial" w:hAnsi="Arial" w:cs="Arial"/>
                <w:sz w:val="20"/>
                <w:szCs w:val="20"/>
              </w:rPr>
              <w:t>0,18</w:t>
            </w:r>
          </w:p>
        </w:tc>
        <w:tc>
          <w:tcPr>
            <w:tcW w:w="900" w:type="dxa"/>
            <w:vAlign w:val="center"/>
          </w:tcPr>
          <w:p w:rsidR="002325B4" w:rsidRPr="00E70675" w:rsidRDefault="002325B4" w:rsidP="002325B4">
            <w:pPr>
              <w:spacing w:line="225" w:lineRule="atLeast"/>
              <w:jc w:val="center"/>
            </w:pPr>
            <w:r w:rsidRPr="00E70675">
              <w:rPr>
                <w:rFonts w:ascii="Arial" w:hAnsi="Arial" w:cs="Arial"/>
                <w:sz w:val="20"/>
                <w:szCs w:val="20"/>
              </w:rPr>
              <w:t>0,28</w:t>
            </w:r>
          </w:p>
        </w:tc>
        <w:tc>
          <w:tcPr>
            <w:tcW w:w="870" w:type="dxa"/>
            <w:vAlign w:val="center"/>
          </w:tcPr>
          <w:p w:rsidR="002325B4" w:rsidRPr="00E70675" w:rsidRDefault="002325B4" w:rsidP="002325B4">
            <w:pPr>
              <w:spacing w:line="225" w:lineRule="atLeast"/>
              <w:jc w:val="center"/>
            </w:pPr>
            <w:r w:rsidRPr="00E70675">
              <w:rPr>
                <w:rFonts w:ascii="Arial" w:hAnsi="Arial" w:cs="Arial"/>
                <w:sz w:val="20"/>
                <w:szCs w:val="20"/>
              </w:rPr>
              <w:t>0,41</w:t>
            </w:r>
          </w:p>
        </w:tc>
        <w:tc>
          <w:tcPr>
            <w:tcW w:w="1575" w:type="dxa"/>
            <w:vAlign w:val="center"/>
          </w:tcPr>
          <w:p w:rsidR="002325B4" w:rsidRPr="00E70675" w:rsidRDefault="002325B4" w:rsidP="002325B4">
            <w:pPr>
              <w:spacing w:line="225" w:lineRule="atLeast"/>
              <w:jc w:val="center"/>
            </w:pPr>
            <w:r w:rsidRPr="00E70675">
              <w:rPr>
                <w:rFonts w:ascii="Arial" w:hAnsi="Arial" w:cs="Arial"/>
                <w:sz w:val="20"/>
                <w:szCs w:val="20"/>
              </w:rPr>
              <w:t>0,58</w:t>
            </w:r>
          </w:p>
        </w:tc>
      </w:tr>
      <w:tr w:rsidR="002325B4" w:rsidRPr="00E70675">
        <w:trPr>
          <w:trHeight w:val="585"/>
          <w:tblCellSpacing w:w="15" w:type="dxa"/>
        </w:trPr>
        <w:tc>
          <w:tcPr>
            <w:tcW w:w="2726" w:type="dxa"/>
            <w:vAlign w:val="center"/>
          </w:tcPr>
          <w:p w:rsidR="002325B4" w:rsidRPr="00E70675" w:rsidRDefault="002325B4" w:rsidP="002325B4">
            <w:pPr>
              <w:jc w:val="center"/>
            </w:pPr>
            <w:r w:rsidRPr="00E70675">
              <w:rPr>
                <w:sz w:val="20"/>
                <w:szCs w:val="20"/>
              </w:rPr>
              <w:t>Вероятность</w:t>
            </w:r>
            <w:r w:rsidRPr="00E70675">
              <w:rPr>
                <w:rFonts w:ascii="Arial" w:hAnsi="Arial" w:cs="Arial"/>
                <w:sz w:val="20"/>
                <w:szCs w:val="20"/>
              </w:rPr>
              <w:t xml:space="preserve"> </w:t>
            </w:r>
            <w:r w:rsidRPr="00E70675">
              <w:rPr>
                <w:sz w:val="20"/>
                <w:szCs w:val="20"/>
              </w:rPr>
              <w:t>банкротства</w:t>
            </w:r>
          </w:p>
        </w:tc>
        <w:tc>
          <w:tcPr>
            <w:tcW w:w="844" w:type="dxa"/>
            <w:vAlign w:val="center"/>
          </w:tcPr>
          <w:p w:rsidR="002325B4" w:rsidRPr="00E70675" w:rsidRDefault="002325B4" w:rsidP="002325B4">
            <w:pPr>
              <w:jc w:val="center"/>
            </w:pPr>
            <w:r w:rsidRPr="00E70675">
              <w:rPr>
                <w:rFonts w:ascii="Arial" w:hAnsi="Arial" w:cs="Arial"/>
                <w:sz w:val="20"/>
                <w:szCs w:val="20"/>
              </w:rPr>
              <w:t>Устойчивое положение</w:t>
            </w:r>
          </w:p>
        </w:tc>
        <w:tc>
          <w:tcPr>
            <w:tcW w:w="870" w:type="dxa"/>
            <w:vAlign w:val="center"/>
          </w:tcPr>
          <w:p w:rsidR="002325B4" w:rsidRPr="00E70675" w:rsidRDefault="002325B4" w:rsidP="002325B4">
            <w:pPr>
              <w:jc w:val="center"/>
            </w:pPr>
            <w:r w:rsidRPr="00E70675">
              <w:rPr>
                <w:rFonts w:ascii="Arial" w:hAnsi="Arial" w:cs="Arial"/>
                <w:sz w:val="20"/>
                <w:szCs w:val="20"/>
              </w:rPr>
              <w:t>Устойчивое положение</w:t>
            </w:r>
          </w:p>
        </w:tc>
        <w:tc>
          <w:tcPr>
            <w:tcW w:w="1200" w:type="dxa"/>
            <w:vAlign w:val="center"/>
          </w:tcPr>
          <w:p w:rsidR="002325B4" w:rsidRPr="00E70675" w:rsidRDefault="002325B4" w:rsidP="002325B4">
            <w:pPr>
              <w:jc w:val="center"/>
            </w:pPr>
            <w:r w:rsidRPr="00E70675">
              <w:rPr>
                <w:rFonts w:ascii="Arial" w:hAnsi="Arial" w:cs="Arial"/>
                <w:sz w:val="20"/>
                <w:szCs w:val="20"/>
              </w:rPr>
              <w:t>Положение неустойчиво</w:t>
            </w:r>
          </w:p>
        </w:tc>
        <w:tc>
          <w:tcPr>
            <w:tcW w:w="900" w:type="dxa"/>
            <w:vAlign w:val="center"/>
          </w:tcPr>
          <w:p w:rsidR="002325B4" w:rsidRPr="00E70675" w:rsidRDefault="002325B4" w:rsidP="002325B4">
            <w:pPr>
              <w:jc w:val="center"/>
            </w:pPr>
            <w:r w:rsidRPr="00E70675">
              <w:rPr>
                <w:rFonts w:ascii="Arial" w:hAnsi="Arial" w:cs="Arial"/>
                <w:sz w:val="20"/>
                <w:szCs w:val="20"/>
              </w:rPr>
              <w:t>Устойчивое положение</w:t>
            </w:r>
          </w:p>
        </w:tc>
        <w:tc>
          <w:tcPr>
            <w:tcW w:w="870" w:type="dxa"/>
            <w:vAlign w:val="center"/>
          </w:tcPr>
          <w:p w:rsidR="002325B4" w:rsidRPr="00E70675" w:rsidRDefault="002325B4" w:rsidP="002325B4">
            <w:pPr>
              <w:jc w:val="center"/>
            </w:pPr>
            <w:r w:rsidRPr="00E70675">
              <w:rPr>
                <w:rFonts w:ascii="Arial" w:hAnsi="Arial" w:cs="Arial"/>
                <w:sz w:val="20"/>
                <w:szCs w:val="20"/>
              </w:rPr>
              <w:t>Устойчивое положение</w:t>
            </w:r>
          </w:p>
        </w:tc>
        <w:tc>
          <w:tcPr>
            <w:tcW w:w="1575" w:type="dxa"/>
            <w:vAlign w:val="center"/>
          </w:tcPr>
          <w:p w:rsidR="002325B4" w:rsidRPr="00E70675" w:rsidRDefault="002325B4" w:rsidP="002325B4">
            <w:pPr>
              <w:jc w:val="center"/>
            </w:pPr>
            <w:r w:rsidRPr="00E70675">
              <w:rPr>
                <w:rFonts w:ascii="Arial" w:hAnsi="Arial" w:cs="Arial"/>
                <w:sz w:val="20"/>
                <w:szCs w:val="20"/>
              </w:rPr>
              <w:t>Устойчивое положение</w:t>
            </w:r>
          </w:p>
        </w:tc>
      </w:tr>
    </w:tbl>
    <w:p w:rsidR="002325B4" w:rsidRDefault="002325B4" w:rsidP="002325B4">
      <w:r>
        <w:t> </w:t>
      </w:r>
    </w:p>
    <w:p w:rsidR="002325B4" w:rsidRPr="00F44343" w:rsidRDefault="002325B4" w:rsidP="002325B4">
      <w:pPr>
        <w:spacing w:before="100" w:beforeAutospacing="1" w:after="100" w:afterAutospacing="1" w:line="360" w:lineRule="auto"/>
        <w:jc w:val="both"/>
        <w:rPr>
          <w:sz w:val="28"/>
          <w:szCs w:val="28"/>
        </w:rPr>
      </w:pPr>
      <w:r>
        <w:tab/>
      </w:r>
      <w:r w:rsidRPr="00F44343">
        <w:rPr>
          <w:sz w:val="28"/>
          <w:szCs w:val="28"/>
        </w:rPr>
        <w:t>Если  величина Z-счета больше 0,3, это говорит о том, что у фирмы неплохие долгосрочные перспективы, если меньше 0,2, то банкротство более чем вероятно.</w:t>
      </w:r>
    </w:p>
    <w:p w:rsidR="002325B4" w:rsidRPr="00F44343" w:rsidRDefault="002325B4" w:rsidP="002325B4">
      <w:pPr>
        <w:spacing w:before="100" w:beforeAutospacing="1" w:after="100" w:afterAutospacing="1" w:line="360" w:lineRule="auto"/>
        <w:jc w:val="both"/>
        <w:rPr>
          <w:sz w:val="28"/>
          <w:szCs w:val="28"/>
        </w:rPr>
      </w:pPr>
      <w:r w:rsidRPr="00F44343">
        <w:rPr>
          <w:sz w:val="28"/>
          <w:szCs w:val="28"/>
        </w:rPr>
        <w:tab/>
        <w:t xml:space="preserve">В заключении необходимо отметить, что  использование таких моделей требует больших предосторожностей. Тестирование ряда предприятий по данным моделям показывает, что они не совсем подходят для оценки риска банкротства наших субъектов хозяйствования, так как не учитывают специфику структуры капитала в различных отраслях. По модели Альтмана несостоятельные предприятия, имеющие высокий уровень четвертого показателя (собственный капитал / заемный капитал), получают очень высокую оценку, что не соответствует действительности. В связи с несовершенством действующей методики переоценки основных фондов, когда старым изношенным фондам придается такое же значение, как и новым, необоснованно увеличивается доля собственного капитала за счет фонда переоценки. В итоге сложилась нереальное соотношение собственного и заемного капитала. Поэтому модели, в которых присутствует данный показатель, могут исказить реальную картину. </w:t>
      </w:r>
    </w:p>
    <w:p w:rsidR="002325B4" w:rsidRPr="00F44343" w:rsidRDefault="002325B4" w:rsidP="002325B4">
      <w:pPr>
        <w:spacing w:before="100" w:beforeAutospacing="1" w:after="100" w:afterAutospacing="1" w:line="360" w:lineRule="auto"/>
        <w:jc w:val="both"/>
        <w:rPr>
          <w:sz w:val="28"/>
          <w:szCs w:val="28"/>
        </w:rPr>
      </w:pPr>
      <w:r w:rsidRPr="00F44343">
        <w:rPr>
          <w:sz w:val="28"/>
          <w:szCs w:val="28"/>
        </w:rPr>
        <w:tab/>
        <w:t xml:space="preserve">Выход из создавшегося положения авторы видят  в разработке собственных общих  универсальных моделей, для ряда схожих по применяемым показателям  отраслей (легкая промышленность, пищевая  и т.п.) по методике дискриминантного анализа, которые бы учитывали специфику нашей действительности. </w:t>
      </w:r>
    </w:p>
    <w:p w:rsidR="002325B4" w:rsidRPr="00F44343" w:rsidRDefault="002325B4" w:rsidP="002325B4">
      <w:pPr>
        <w:spacing w:before="100" w:beforeAutospacing="1" w:after="100" w:afterAutospacing="1" w:line="360" w:lineRule="auto"/>
        <w:jc w:val="both"/>
        <w:rPr>
          <w:sz w:val="28"/>
          <w:szCs w:val="28"/>
        </w:rPr>
      </w:pPr>
      <w:r w:rsidRPr="00F44343">
        <w:rPr>
          <w:sz w:val="28"/>
          <w:szCs w:val="28"/>
        </w:rPr>
        <w:tab/>
        <w:t>Более того, эти функции должны тестироваться каждый год на новых выборках с целью уточнения их дискриминантной силы.</w:t>
      </w:r>
    </w:p>
    <w:p w:rsidR="002325B4" w:rsidRDefault="002325B4" w:rsidP="002325B4">
      <w:pPr>
        <w:spacing w:before="100" w:beforeAutospacing="1" w:after="100" w:afterAutospacing="1" w:line="360" w:lineRule="auto"/>
        <w:jc w:val="both"/>
      </w:pPr>
      <w:r w:rsidRPr="00F44343">
        <w:rPr>
          <w:sz w:val="28"/>
          <w:szCs w:val="28"/>
        </w:rPr>
        <w:tab/>
        <w:t>Приведем  также еще одну альтернативную методику прогнозирования вероятности банкротства, применяемую аналитиками. Модель является в некоем смысле упрощенным Z-анализом Альтмана.  </w:t>
      </w:r>
      <w:r w:rsidRPr="00F44343">
        <w:rPr>
          <w:sz w:val="28"/>
          <w:szCs w:val="28"/>
        </w:rPr>
        <w:br/>
        <w:t> </w:t>
      </w:r>
      <w:r w:rsidRPr="00F44343">
        <w:rPr>
          <w:sz w:val="28"/>
          <w:szCs w:val="28"/>
        </w:rPr>
        <w:br/>
      </w:r>
      <w:r>
        <w:t> </w:t>
      </w:r>
    </w:p>
    <w:tbl>
      <w:tblPr>
        <w:tblpPr w:leftFromText="180" w:rightFromText="180" w:vertAnchor="text" w:horzAnchor="margin" w:tblpY="-455"/>
        <w:tblW w:w="9765" w:type="dxa"/>
        <w:tblCellSpacing w:w="15" w:type="dxa"/>
        <w:tblLayout w:type="fixed"/>
        <w:tblCellMar>
          <w:top w:w="15" w:type="dxa"/>
          <w:left w:w="15" w:type="dxa"/>
          <w:bottom w:w="15" w:type="dxa"/>
          <w:right w:w="15" w:type="dxa"/>
        </w:tblCellMar>
        <w:tblLook w:val="0000" w:firstRow="0" w:lastRow="0" w:firstColumn="0" w:lastColumn="0" w:noHBand="0" w:noVBand="0"/>
      </w:tblPr>
      <w:tblGrid>
        <w:gridCol w:w="2205"/>
        <w:gridCol w:w="1260"/>
        <w:gridCol w:w="1260"/>
        <w:gridCol w:w="1260"/>
        <w:gridCol w:w="1260"/>
        <w:gridCol w:w="1260"/>
        <w:gridCol w:w="1260"/>
      </w:tblGrid>
      <w:tr w:rsidR="002325B4" w:rsidRPr="00E70675">
        <w:trPr>
          <w:trHeight w:val="225"/>
          <w:tblCellSpacing w:w="15" w:type="dxa"/>
        </w:trPr>
        <w:tc>
          <w:tcPr>
            <w:tcW w:w="9705" w:type="dxa"/>
            <w:gridSpan w:val="7"/>
          </w:tcPr>
          <w:p w:rsidR="002325B4" w:rsidRPr="00E70675" w:rsidRDefault="002325B4" w:rsidP="002325B4">
            <w:pPr>
              <w:spacing w:line="225" w:lineRule="atLeast"/>
            </w:pPr>
            <w:r w:rsidRPr="00E70675">
              <w:rPr>
                <w:rFonts w:ascii="Arial" w:hAnsi="Arial" w:cs="Arial"/>
                <w:sz w:val="20"/>
                <w:szCs w:val="20"/>
              </w:rPr>
              <w:t>Таблица</w:t>
            </w:r>
            <w:r>
              <w:rPr>
                <w:rFonts w:ascii="Arial" w:hAnsi="Arial" w:cs="Arial"/>
                <w:sz w:val="20"/>
                <w:szCs w:val="20"/>
              </w:rPr>
              <w:t>4</w:t>
            </w:r>
          </w:p>
        </w:tc>
      </w:tr>
      <w:tr w:rsidR="002325B4" w:rsidRPr="00E70675">
        <w:trPr>
          <w:trHeight w:val="285"/>
          <w:tblCellSpacing w:w="15" w:type="dxa"/>
        </w:trPr>
        <w:tc>
          <w:tcPr>
            <w:tcW w:w="9705" w:type="dxa"/>
            <w:gridSpan w:val="7"/>
            <w:vAlign w:val="center"/>
          </w:tcPr>
          <w:p w:rsidR="002325B4" w:rsidRPr="00E70675" w:rsidRDefault="002325B4" w:rsidP="002325B4">
            <w:pPr>
              <w:jc w:val="center"/>
            </w:pPr>
            <w:r w:rsidRPr="00E70675">
              <w:rPr>
                <w:rFonts w:ascii="Arial" w:hAnsi="Arial" w:cs="Arial"/>
                <w:b/>
                <w:bCs/>
              </w:rPr>
              <w:t>Двухфакторная Z-модель (Z=-0,3877-1,0736×K</w:t>
            </w:r>
            <w:r w:rsidRPr="00E70675">
              <w:rPr>
                <w:sz w:val="27"/>
                <w:szCs w:val="27"/>
                <w:vertAlign w:val="subscript"/>
              </w:rPr>
              <w:t>1</w:t>
            </w:r>
            <w:r w:rsidRPr="00E70675">
              <w:rPr>
                <w:rFonts w:ascii="Arial" w:hAnsi="Arial" w:cs="Arial"/>
                <w:b/>
                <w:bCs/>
              </w:rPr>
              <w:t>+0,0579×K</w:t>
            </w:r>
            <w:r w:rsidRPr="00E70675">
              <w:rPr>
                <w:sz w:val="27"/>
                <w:szCs w:val="27"/>
                <w:vertAlign w:val="subscript"/>
              </w:rPr>
              <w:t>2</w:t>
            </w:r>
            <w:r w:rsidRPr="00E70675">
              <w:rPr>
                <w:rFonts w:ascii="Arial" w:hAnsi="Arial" w:cs="Arial"/>
                <w:b/>
                <w:bCs/>
              </w:rPr>
              <w:t>)</w:t>
            </w:r>
          </w:p>
        </w:tc>
      </w:tr>
      <w:tr w:rsidR="002325B4" w:rsidRPr="00E70675">
        <w:trPr>
          <w:trHeight w:val="225"/>
          <w:tblCellSpacing w:w="15" w:type="dxa"/>
        </w:trPr>
        <w:tc>
          <w:tcPr>
            <w:tcW w:w="2160" w:type="dxa"/>
            <w:vAlign w:val="center"/>
          </w:tcPr>
          <w:p w:rsidR="002325B4" w:rsidRPr="00E70675" w:rsidRDefault="002325B4" w:rsidP="002325B4">
            <w:pPr>
              <w:spacing w:line="225" w:lineRule="atLeast"/>
              <w:ind w:right="-30"/>
              <w:jc w:val="center"/>
            </w:pPr>
          </w:p>
        </w:tc>
        <w:tc>
          <w:tcPr>
            <w:tcW w:w="1230" w:type="dxa"/>
            <w:vAlign w:val="center"/>
          </w:tcPr>
          <w:p w:rsidR="002325B4" w:rsidRPr="00E70675" w:rsidRDefault="002325B4" w:rsidP="002325B4">
            <w:pPr>
              <w:spacing w:line="225" w:lineRule="atLeast"/>
              <w:jc w:val="center"/>
            </w:pPr>
            <w:r w:rsidRPr="00E70675">
              <w:rPr>
                <w:rFonts w:ascii="Arial" w:hAnsi="Arial" w:cs="Arial"/>
                <w:sz w:val="20"/>
                <w:szCs w:val="20"/>
              </w:rPr>
              <w:t>01.01.97</w:t>
            </w:r>
          </w:p>
        </w:tc>
        <w:tc>
          <w:tcPr>
            <w:tcW w:w="1230" w:type="dxa"/>
            <w:vAlign w:val="center"/>
          </w:tcPr>
          <w:p w:rsidR="002325B4" w:rsidRPr="00E70675" w:rsidRDefault="002325B4" w:rsidP="002325B4">
            <w:pPr>
              <w:spacing w:line="225" w:lineRule="atLeast"/>
              <w:jc w:val="center"/>
            </w:pPr>
            <w:r w:rsidRPr="00E70675">
              <w:rPr>
                <w:rFonts w:ascii="Arial" w:hAnsi="Arial" w:cs="Arial"/>
                <w:sz w:val="20"/>
                <w:szCs w:val="20"/>
              </w:rPr>
              <w:t>01.01.98</w:t>
            </w:r>
          </w:p>
        </w:tc>
        <w:tc>
          <w:tcPr>
            <w:tcW w:w="1230" w:type="dxa"/>
            <w:vAlign w:val="center"/>
          </w:tcPr>
          <w:p w:rsidR="002325B4" w:rsidRPr="00E70675" w:rsidRDefault="002325B4" w:rsidP="002325B4">
            <w:pPr>
              <w:spacing w:line="225" w:lineRule="atLeast"/>
              <w:jc w:val="center"/>
            </w:pPr>
            <w:r w:rsidRPr="00E70675">
              <w:rPr>
                <w:rFonts w:ascii="Arial" w:hAnsi="Arial" w:cs="Arial"/>
                <w:sz w:val="20"/>
                <w:szCs w:val="20"/>
              </w:rPr>
              <w:t>01.04.98</w:t>
            </w:r>
          </w:p>
        </w:tc>
        <w:tc>
          <w:tcPr>
            <w:tcW w:w="1230" w:type="dxa"/>
            <w:vAlign w:val="center"/>
          </w:tcPr>
          <w:p w:rsidR="002325B4" w:rsidRPr="00E70675" w:rsidRDefault="002325B4" w:rsidP="002325B4">
            <w:pPr>
              <w:spacing w:line="225" w:lineRule="atLeast"/>
              <w:jc w:val="center"/>
            </w:pPr>
            <w:r w:rsidRPr="00E70675">
              <w:rPr>
                <w:rFonts w:ascii="Arial" w:hAnsi="Arial" w:cs="Arial"/>
                <w:sz w:val="20"/>
                <w:szCs w:val="20"/>
              </w:rPr>
              <w:t>01.07.98</w:t>
            </w:r>
          </w:p>
        </w:tc>
        <w:tc>
          <w:tcPr>
            <w:tcW w:w="1230" w:type="dxa"/>
            <w:vAlign w:val="center"/>
          </w:tcPr>
          <w:p w:rsidR="002325B4" w:rsidRPr="00E70675" w:rsidRDefault="002325B4" w:rsidP="002325B4">
            <w:pPr>
              <w:spacing w:line="225" w:lineRule="atLeast"/>
              <w:jc w:val="center"/>
            </w:pPr>
            <w:r w:rsidRPr="00E70675">
              <w:rPr>
                <w:rFonts w:ascii="Arial" w:hAnsi="Arial" w:cs="Arial"/>
                <w:sz w:val="20"/>
                <w:szCs w:val="20"/>
              </w:rPr>
              <w:t>01.10.98</w:t>
            </w:r>
          </w:p>
        </w:tc>
        <w:tc>
          <w:tcPr>
            <w:tcW w:w="1215" w:type="dxa"/>
            <w:vAlign w:val="center"/>
          </w:tcPr>
          <w:p w:rsidR="002325B4" w:rsidRPr="00E70675" w:rsidRDefault="002325B4" w:rsidP="002325B4">
            <w:pPr>
              <w:spacing w:line="225" w:lineRule="atLeast"/>
              <w:jc w:val="center"/>
            </w:pPr>
            <w:r w:rsidRPr="00E70675">
              <w:rPr>
                <w:rFonts w:ascii="Arial" w:hAnsi="Arial" w:cs="Arial"/>
                <w:sz w:val="20"/>
                <w:szCs w:val="20"/>
              </w:rPr>
              <w:t>01.01.99</w:t>
            </w:r>
          </w:p>
        </w:tc>
      </w:tr>
      <w:tr w:rsidR="002325B4" w:rsidRPr="00E70675">
        <w:trPr>
          <w:trHeight w:val="720"/>
          <w:tblCellSpacing w:w="15" w:type="dxa"/>
        </w:trPr>
        <w:tc>
          <w:tcPr>
            <w:tcW w:w="2160" w:type="dxa"/>
            <w:vAlign w:val="center"/>
          </w:tcPr>
          <w:p w:rsidR="002325B4" w:rsidRPr="00E70675" w:rsidRDefault="002325B4" w:rsidP="002325B4">
            <w:r w:rsidRPr="00E70675">
              <w:rPr>
                <w:sz w:val="20"/>
                <w:szCs w:val="20"/>
              </w:rPr>
              <w:t>К</w:t>
            </w:r>
            <w:r w:rsidRPr="00E70675">
              <w:rPr>
                <w:rFonts w:ascii="Arial" w:hAnsi="Arial" w:cs="Arial"/>
                <w:sz w:val="20"/>
                <w:szCs w:val="20"/>
              </w:rPr>
              <w:t xml:space="preserve">1 - </w:t>
            </w:r>
            <w:r w:rsidRPr="00E70675">
              <w:rPr>
                <w:sz w:val="20"/>
                <w:szCs w:val="20"/>
              </w:rPr>
              <w:t>общий</w:t>
            </w:r>
            <w:r w:rsidRPr="00E70675">
              <w:rPr>
                <w:rFonts w:ascii="Arial" w:hAnsi="Arial" w:cs="Arial"/>
                <w:sz w:val="20"/>
                <w:szCs w:val="20"/>
              </w:rPr>
              <w:t xml:space="preserve"> </w:t>
            </w:r>
            <w:r w:rsidRPr="00E70675">
              <w:rPr>
                <w:sz w:val="20"/>
                <w:szCs w:val="20"/>
              </w:rPr>
              <w:t>коэффициент</w:t>
            </w:r>
            <w:r w:rsidRPr="00E70675">
              <w:rPr>
                <w:rFonts w:ascii="Arial" w:hAnsi="Arial" w:cs="Arial"/>
                <w:sz w:val="20"/>
                <w:szCs w:val="20"/>
              </w:rPr>
              <w:t xml:space="preserve"> </w:t>
            </w:r>
            <w:r w:rsidRPr="00E70675">
              <w:rPr>
                <w:sz w:val="20"/>
                <w:szCs w:val="20"/>
              </w:rPr>
              <w:t>покрытия</w:t>
            </w:r>
            <w:r w:rsidRPr="00E70675">
              <w:rPr>
                <w:rFonts w:ascii="Arial" w:hAnsi="Arial" w:cs="Arial"/>
                <w:sz w:val="20"/>
                <w:szCs w:val="20"/>
              </w:rPr>
              <w:t xml:space="preserve"> (II </w:t>
            </w:r>
            <w:r w:rsidRPr="00E70675">
              <w:rPr>
                <w:sz w:val="20"/>
                <w:szCs w:val="20"/>
              </w:rPr>
              <w:t>раздел</w:t>
            </w:r>
            <w:r w:rsidRPr="00E70675">
              <w:rPr>
                <w:rFonts w:ascii="Arial" w:hAnsi="Arial" w:cs="Arial"/>
                <w:sz w:val="20"/>
                <w:szCs w:val="20"/>
              </w:rPr>
              <w:t xml:space="preserve"> </w:t>
            </w:r>
            <w:r w:rsidRPr="00E70675">
              <w:rPr>
                <w:sz w:val="20"/>
                <w:szCs w:val="20"/>
              </w:rPr>
              <w:t>А</w:t>
            </w:r>
            <w:r w:rsidRPr="00E70675">
              <w:rPr>
                <w:rFonts w:ascii="Arial" w:hAnsi="Arial" w:cs="Arial"/>
                <w:sz w:val="20"/>
                <w:szCs w:val="20"/>
              </w:rPr>
              <w:t>-</w:t>
            </w:r>
            <w:r w:rsidRPr="00E70675">
              <w:rPr>
                <w:sz w:val="20"/>
                <w:szCs w:val="20"/>
              </w:rPr>
              <w:t>РБП</w:t>
            </w:r>
            <w:r w:rsidRPr="00E70675">
              <w:rPr>
                <w:rFonts w:ascii="Arial" w:hAnsi="Arial" w:cs="Arial"/>
                <w:sz w:val="20"/>
                <w:szCs w:val="20"/>
              </w:rPr>
              <w:t xml:space="preserve">)/(VI </w:t>
            </w:r>
            <w:r w:rsidRPr="00E70675">
              <w:rPr>
                <w:sz w:val="20"/>
                <w:szCs w:val="20"/>
              </w:rPr>
              <w:t>раздел</w:t>
            </w:r>
            <w:r w:rsidRPr="00E70675">
              <w:rPr>
                <w:rFonts w:ascii="Arial" w:hAnsi="Arial" w:cs="Arial"/>
                <w:sz w:val="20"/>
                <w:szCs w:val="20"/>
              </w:rPr>
              <w:t xml:space="preserve"> </w:t>
            </w:r>
            <w:r w:rsidRPr="00E70675">
              <w:rPr>
                <w:sz w:val="20"/>
                <w:szCs w:val="20"/>
              </w:rPr>
              <w:t>П</w:t>
            </w:r>
            <w:r w:rsidRPr="00E70675">
              <w:rPr>
                <w:rFonts w:ascii="Arial" w:hAnsi="Arial" w:cs="Arial"/>
                <w:sz w:val="20"/>
                <w:szCs w:val="20"/>
              </w:rPr>
              <w:t>-</w:t>
            </w:r>
            <w:r w:rsidRPr="00E70675">
              <w:rPr>
                <w:sz w:val="20"/>
                <w:szCs w:val="20"/>
              </w:rPr>
              <w:t>фонды</w:t>
            </w:r>
            <w:r w:rsidRPr="00E70675">
              <w:rPr>
                <w:rFonts w:ascii="Arial" w:hAnsi="Arial" w:cs="Arial"/>
                <w:sz w:val="20"/>
                <w:szCs w:val="20"/>
              </w:rPr>
              <w:t xml:space="preserve"> </w:t>
            </w:r>
            <w:r w:rsidRPr="00E70675">
              <w:rPr>
                <w:sz w:val="20"/>
                <w:szCs w:val="20"/>
              </w:rPr>
              <w:t>потребления</w:t>
            </w:r>
            <w:r w:rsidRPr="00E70675">
              <w:rPr>
                <w:rFonts w:ascii="Arial" w:hAnsi="Arial" w:cs="Arial"/>
                <w:sz w:val="20"/>
                <w:szCs w:val="20"/>
              </w:rPr>
              <w:t>-</w:t>
            </w:r>
            <w:r w:rsidRPr="00E70675">
              <w:rPr>
                <w:sz w:val="20"/>
                <w:szCs w:val="20"/>
              </w:rPr>
              <w:t>ДБП</w:t>
            </w:r>
            <w:r w:rsidRPr="00E70675">
              <w:rPr>
                <w:rFonts w:ascii="Arial" w:hAnsi="Arial" w:cs="Arial"/>
                <w:sz w:val="20"/>
                <w:szCs w:val="20"/>
              </w:rPr>
              <w:t>-</w:t>
            </w:r>
            <w:r w:rsidRPr="00E70675">
              <w:rPr>
                <w:sz w:val="20"/>
                <w:szCs w:val="20"/>
              </w:rPr>
              <w:t>РПРП</w:t>
            </w:r>
            <w:r w:rsidRPr="00E70675">
              <w:rPr>
                <w:rFonts w:ascii="Arial" w:hAnsi="Arial" w:cs="Arial"/>
                <w:sz w:val="20"/>
                <w:szCs w:val="20"/>
              </w:rPr>
              <w:t>);</w:t>
            </w:r>
          </w:p>
        </w:tc>
        <w:tc>
          <w:tcPr>
            <w:tcW w:w="1230" w:type="dxa"/>
            <w:vAlign w:val="center"/>
          </w:tcPr>
          <w:p w:rsidR="002325B4" w:rsidRPr="00E70675" w:rsidRDefault="002325B4" w:rsidP="002325B4">
            <w:pPr>
              <w:jc w:val="center"/>
            </w:pPr>
            <w:r w:rsidRPr="00E70675">
              <w:rPr>
                <w:rFonts w:ascii="Arial" w:hAnsi="Arial" w:cs="Arial"/>
                <w:sz w:val="20"/>
                <w:szCs w:val="20"/>
              </w:rPr>
              <w:t>2,90</w:t>
            </w:r>
          </w:p>
        </w:tc>
        <w:tc>
          <w:tcPr>
            <w:tcW w:w="1230" w:type="dxa"/>
            <w:vAlign w:val="center"/>
          </w:tcPr>
          <w:p w:rsidR="002325B4" w:rsidRPr="00E70675" w:rsidRDefault="002325B4" w:rsidP="002325B4">
            <w:pPr>
              <w:jc w:val="center"/>
            </w:pPr>
            <w:r w:rsidRPr="00E70675">
              <w:rPr>
                <w:rFonts w:ascii="Arial" w:hAnsi="Arial" w:cs="Arial"/>
                <w:sz w:val="20"/>
                <w:szCs w:val="20"/>
              </w:rPr>
              <w:t>4,94</w:t>
            </w:r>
          </w:p>
        </w:tc>
        <w:tc>
          <w:tcPr>
            <w:tcW w:w="1230" w:type="dxa"/>
            <w:vAlign w:val="center"/>
          </w:tcPr>
          <w:p w:rsidR="002325B4" w:rsidRPr="00E70675" w:rsidRDefault="002325B4" w:rsidP="002325B4">
            <w:pPr>
              <w:jc w:val="center"/>
            </w:pPr>
            <w:r w:rsidRPr="00E70675">
              <w:rPr>
                <w:rFonts w:ascii="Arial" w:hAnsi="Arial" w:cs="Arial"/>
                <w:sz w:val="20"/>
                <w:szCs w:val="20"/>
              </w:rPr>
              <w:t>3,97</w:t>
            </w:r>
          </w:p>
        </w:tc>
        <w:tc>
          <w:tcPr>
            <w:tcW w:w="1230" w:type="dxa"/>
            <w:vAlign w:val="center"/>
          </w:tcPr>
          <w:p w:rsidR="002325B4" w:rsidRPr="00E70675" w:rsidRDefault="002325B4" w:rsidP="002325B4">
            <w:pPr>
              <w:jc w:val="center"/>
            </w:pPr>
            <w:r w:rsidRPr="00E70675">
              <w:rPr>
                <w:rFonts w:ascii="Arial" w:hAnsi="Arial" w:cs="Arial"/>
                <w:sz w:val="20"/>
                <w:szCs w:val="20"/>
              </w:rPr>
              <w:t>3,72</w:t>
            </w:r>
          </w:p>
        </w:tc>
        <w:tc>
          <w:tcPr>
            <w:tcW w:w="1230" w:type="dxa"/>
            <w:vAlign w:val="center"/>
          </w:tcPr>
          <w:p w:rsidR="002325B4" w:rsidRPr="00E70675" w:rsidRDefault="002325B4" w:rsidP="002325B4">
            <w:pPr>
              <w:jc w:val="center"/>
            </w:pPr>
            <w:r w:rsidRPr="00E70675">
              <w:rPr>
                <w:rFonts w:ascii="Arial" w:hAnsi="Arial" w:cs="Arial"/>
                <w:sz w:val="20"/>
                <w:szCs w:val="20"/>
              </w:rPr>
              <w:t>2,99</w:t>
            </w:r>
          </w:p>
        </w:tc>
        <w:tc>
          <w:tcPr>
            <w:tcW w:w="1215" w:type="dxa"/>
            <w:vAlign w:val="center"/>
          </w:tcPr>
          <w:p w:rsidR="002325B4" w:rsidRPr="00E70675" w:rsidRDefault="002325B4" w:rsidP="002325B4">
            <w:pPr>
              <w:jc w:val="center"/>
            </w:pPr>
            <w:r w:rsidRPr="00E70675">
              <w:rPr>
                <w:rFonts w:ascii="Arial" w:hAnsi="Arial" w:cs="Arial"/>
                <w:sz w:val="20"/>
                <w:szCs w:val="20"/>
              </w:rPr>
              <w:t>2,05</w:t>
            </w:r>
          </w:p>
        </w:tc>
      </w:tr>
      <w:tr w:rsidR="002325B4" w:rsidRPr="00E70675">
        <w:trPr>
          <w:trHeight w:val="750"/>
          <w:tblCellSpacing w:w="15" w:type="dxa"/>
        </w:trPr>
        <w:tc>
          <w:tcPr>
            <w:tcW w:w="2160" w:type="dxa"/>
            <w:vAlign w:val="center"/>
          </w:tcPr>
          <w:p w:rsidR="002325B4" w:rsidRPr="00E70675" w:rsidRDefault="002325B4" w:rsidP="002325B4">
            <w:r w:rsidRPr="00E70675">
              <w:rPr>
                <w:rFonts w:ascii="Arial" w:hAnsi="Arial" w:cs="Arial"/>
                <w:sz w:val="20"/>
                <w:szCs w:val="20"/>
              </w:rPr>
              <w:t>К2 - коэффициент  финансовой зависимости (Соотношение  долговых обязательств и всех активов: (2 и 3 разделы П-фонды)/Валюта баланса)</w:t>
            </w:r>
          </w:p>
        </w:tc>
        <w:tc>
          <w:tcPr>
            <w:tcW w:w="1230" w:type="dxa"/>
            <w:vAlign w:val="center"/>
          </w:tcPr>
          <w:p w:rsidR="002325B4" w:rsidRPr="00E70675" w:rsidRDefault="002325B4" w:rsidP="002325B4">
            <w:pPr>
              <w:jc w:val="center"/>
            </w:pPr>
            <w:r w:rsidRPr="00E70675">
              <w:rPr>
                <w:rFonts w:ascii="Arial" w:hAnsi="Arial" w:cs="Arial"/>
                <w:sz w:val="20"/>
                <w:szCs w:val="20"/>
              </w:rPr>
              <w:t>0,12</w:t>
            </w:r>
          </w:p>
        </w:tc>
        <w:tc>
          <w:tcPr>
            <w:tcW w:w="1230" w:type="dxa"/>
            <w:vAlign w:val="center"/>
          </w:tcPr>
          <w:p w:rsidR="002325B4" w:rsidRPr="00E70675" w:rsidRDefault="002325B4" w:rsidP="002325B4">
            <w:pPr>
              <w:jc w:val="center"/>
            </w:pPr>
            <w:r w:rsidRPr="00E70675">
              <w:rPr>
                <w:rFonts w:ascii="Arial" w:hAnsi="Arial" w:cs="Arial"/>
                <w:sz w:val="20"/>
                <w:szCs w:val="20"/>
              </w:rPr>
              <w:t>0,09</w:t>
            </w:r>
          </w:p>
        </w:tc>
        <w:tc>
          <w:tcPr>
            <w:tcW w:w="1230" w:type="dxa"/>
            <w:vAlign w:val="center"/>
          </w:tcPr>
          <w:p w:rsidR="002325B4" w:rsidRPr="00E70675" w:rsidRDefault="002325B4" w:rsidP="002325B4">
            <w:pPr>
              <w:jc w:val="center"/>
            </w:pPr>
            <w:r w:rsidRPr="00E70675">
              <w:rPr>
                <w:rFonts w:ascii="Arial" w:hAnsi="Arial" w:cs="Arial"/>
                <w:sz w:val="20"/>
                <w:szCs w:val="20"/>
              </w:rPr>
              <w:t>0,12</w:t>
            </w:r>
          </w:p>
        </w:tc>
        <w:tc>
          <w:tcPr>
            <w:tcW w:w="1230" w:type="dxa"/>
            <w:vAlign w:val="center"/>
          </w:tcPr>
          <w:p w:rsidR="002325B4" w:rsidRPr="00E70675" w:rsidRDefault="002325B4" w:rsidP="002325B4">
            <w:pPr>
              <w:jc w:val="center"/>
            </w:pPr>
            <w:r w:rsidRPr="00E70675">
              <w:rPr>
                <w:rFonts w:ascii="Arial" w:hAnsi="Arial" w:cs="Arial"/>
                <w:sz w:val="20"/>
                <w:szCs w:val="20"/>
              </w:rPr>
              <w:t>0,14</w:t>
            </w:r>
          </w:p>
        </w:tc>
        <w:tc>
          <w:tcPr>
            <w:tcW w:w="1230" w:type="dxa"/>
            <w:vAlign w:val="center"/>
          </w:tcPr>
          <w:p w:rsidR="002325B4" w:rsidRPr="00E70675" w:rsidRDefault="002325B4" w:rsidP="002325B4">
            <w:pPr>
              <w:jc w:val="center"/>
            </w:pPr>
            <w:r w:rsidRPr="00E70675">
              <w:rPr>
                <w:rFonts w:ascii="Arial" w:hAnsi="Arial" w:cs="Arial"/>
                <w:sz w:val="20"/>
                <w:szCs w:val="20"/>
              </w:rPr>
              <w:t>0,14</w:t>
            </w:r>
          </w:p>
        </w:tc>
        <w:tc>
          <w:tcPr>
            <w:tcW w:w="1215" w:type="dxa"/>
            <w:vAlign w:val="center"/>
          </w:tcPr>
          <w:p w:rsidR="002325B4" w:rsidRPr="00E70675" w:rsidRDefault="002325B4" w:rsidP="002325B4">
            <w:pPr>
              <w:jc w:val="center"/>
            </w:pPr>
            <w:r w:rsidRPr="00E70675">
              <w:rPr>
                <w:rFonts w:ascii="Arial" w:hAnsi="Arial" w:cs="Arial"/>
                <w:sz w:val="20"/>
                <w:szCs w:val="20"/>
              </w:rPr>
              <w:t>0,26</w:t>
            </w:r>
          </w:p>
        </w:tc>
      </w:tr>
      <w:tr w:rsidR="002325B4" w:rsidRPr="00E70675">
        <w:trPr>
          <w:trHeight w:val="225"/>
          <w:tblCellSpacing w:w="15" w:type="dxa"/>
        </w:trPr>
        <w:tc>
          <w:tcPr>
            <w:tcW w:w="2160" w:type="dxa"/>
            <w:vAlign w:val="center"/>
          </w:tcPr>
          <w:p w:rsidR="002325B4" w:rsidRPr="00E70675" w:rsidRDefault="002325B4" w:rsidP="002325B4">
            <w:pPr>
              <w:spacing w:line="225" w:lineRule="atLeast"/>
            </w:pPr>
            <w:r w:rsidRPr="00E70675">
              <w:rPr>
                <w:rFonts w:ascii="Arial" w:hAnsi="Arial" w:cs="Arial"/>
                <w:sz w:val="20"/>
                <w:szCs w:val="20"/>
              </w:rPr>
              <w:t>Значение Z</w:t>
            </w:r>
          </w:p>
        </w:tc>
        <w:tc>
          <w:tcPr>
            <w:tcW w:w="1230" w:type="dxa"/>
            <w:vAlign w:val="center"/>
          </w:tcPr>
          <w:p w:rsidR="002325B4" w:rsidRPr="00E70675" w:rsidRDefault="002325B4" w:rsidP="002325B4">
            <w:pPr>
              <w:spacing w:line="225" w:lineRule="atLeast"/>
              <w:jc w:val="center"/>
            </w:pPr>
            <w:r w:rsidRPr="00E70675">
              <w:rPr>
                <w:rFonts w:ascii="Arial" w:hAnsi="Arial" w:cs="Arial"/>
                <w:sz w:val="20"/>
                <w:szCs w:val="20"/>
              </w:rPr>
              <w:t>-3,49</w:t>
            </w:r>
          </w:p>
        </w:tc>
        <w:tc>
          <w:tcPr>
            <w:tcW w:w="1230" w:type="dxa"/>
            <w:vAlign w:val="center"/>
          </w:tcPr>
          <w:p w:rsidR="002325B4" w:rsidRPr="00E70675" w:rsidRDefault="002325B4" w:rsidP="002325B4">
            <w:pPr>
              <w:spacing w:line="225" w:lineRule="atLeast"/>
              <w:jc w:val="center"/>
            </w:pPr>
            <w:r w:rsidRPr="00E70675">
              <w:rPr>
                <w:rFonts w:ascii="Arial" w:hAnsi="Arial" w:cs="Arial"/>
                <w:sz w:val="20"/>
                <w:szCs w:val="20"/>
              </w:rPr>
              <w:t>-5,69</w:t>
            </w:r>
          </w:p>
        </w:tc>
        <w:tc>
          <w:tcPr>
            <w:tcW w:w="1230" w:type="dxa"/>
            <w:vAlign w:val="center"/>
          </w:tcPr>
          <w:p w:rsidR="002325B4" w:rsidRPr="00E70675" w:rsidRDefault="002325B4" w:rsidP="002325B4">
            <w:pPr>
              <w:spacing w:line="225" w:lineRule="atLeast"/>
              <w:jc w:val="center"/>
            </w:pPr>
            <w:r w:rsidRPr="00E70675">
              <w:rPr>
                <w:rFonts w:ascii="Arial" w:hAnsi="Arial" w:cs="Arial"/>
                <w:sz w:val="20"/>
                <w:szCs w:val="20"/>
              </w:rPr>
              <w:t>-4,64</w:t>
            </w:r>
          </w:p>
        </w:tc>
        <w:tc>
          <w:tcPr>
            <w:tcW w:w="1230" w:type="dxa"/>
            <w:vAlign w:val="center"/>
          </w:tcPr>
          <w:p w:rsidR="002325B4" w:rsidRPr="00E70675" w:rsidRDefault="002325B4" w:rsidP="002325B4">
            <w:pPr>
              <w:spacing w:line="225" w:lineRule="atLeast"/>
              <w:jc w:val="center"/>
            </w:pPr>
            <w:r w:rsidRPr="00E70675">
              <w:rPr>
                <w:rFonts w:ascii="Arial" w:hAnsi="Arial" w:cs="Arial"/>
                <w:sz w:val="20"/>
                <w:szCs w:val="20"/>
              </w:rPr>
              <w:t>-4,37</w:t>
            </w:r>
          </w:p>
        </w:tc>
        <w:tc>
          <w:tcPr>
            <w:tcW w:w="1230" w:type="dxa"/>
            <w:vAlign w:val="center"/>
          </w:tcPr>
          <w:p w:rsidR="002325B4" w:rsidRPr="00E70675" w:rsidRDefault="002325B4" w:rsidP="002325B4">
            <w:pPr>
              <w:spacing w:line="225" w:lineRule="atLeast"/>
              <w:jc w:val="center"/>
            </w:pPr>
            <w:r w:rsidRPr="00E70675">
              <w:rPr>
                <w:rFonts w:ascii="Arial" w:hAnsi="Arial" w:cs="Arial"/>
                <w:sz w:val="20"/>
                <w:szCs w:val="20"/>
              </w:rPr>
              <w:t>-3,59</w:t>
            </w:r>
          </w:p>
        </w:tc>
        <w:tc>
          <w:tcPr>
            <w:tcW w:w="1215" w:type="dxa"/>
            <w:vAlign w:val="center"/>
          </w:tcPr>
          <w:p w:rsidR="002325B4" w:rsidRPr="00E70675" w:rsidRDefault="002325B4" w:rsidP="002325B4">
            <w:pPr>
              <w:spacing w:line="225" w:lineRule="atLeast"/>
              <w:jc w:val="center"/>
            </w:pPr>
            <w:r w:rsidRPr="00E70675">
              <w:rPr>
                <w:rFonts w:ascii="Arial" w:hAnsi="Arial" w:cs="Arial"/>
                <w:sz w:val="20"/>
                <w:szCs w:val="20"/>
              </w:rPr>
              <w:t>-2,57</w:t>
            </w:r>
          </w:p>
        </w:tc>
      </w:tr>
      <w:tr w:rsidR="002325B4" w:rsidRPr="00E70675">
        <w:trPr>
          <w:trHeight w:val="585"/>
          <w:tblCellSpacing w:w="15" w:type="dxa"/>
        </w:trPr>
        <w:tc>
          <w:tcPr>
            <w:tcW w:w="2160" w:type="dxa"/>
            <w:vAlign w:val="center"/>
          </w:tcPr>
          <w:p w:rsidR="002325B4" w:rsidRPr="00E70675" w:rsidRDefault="002325B4" w:rsidP="002325B4">
            <w:r w:rsidRPr="00E70675">
              <w:rPr>
                <w:rFonts w:ascii="Arial" w:hAnsi="Arial" w:cs="Arial"/>
                <w:sz w:val="20"/>
                <w:szCs w:val="20"/>
              </w:rPr>
              <w:t>Вероятность банкротства</w:t>
            </w:r>
          </w:p>
        </w:tc>
        <w:tc>
          <w:tcPr>
            <w:tcW w:w="1230" w:type="dxa"/>
            <w:vAlign w:val="center"/>
          </w:tcPr>
          <w:p w:rsidR="002325B4" w:rsidRPr="00E70675" w:rsidRDefault="002325B4" w:rsidP="002325B4">
            <w:pPr>
              <w:jc w:val="center"/>
            </w:pPr>
            <w:r w:rsidRPr="00E70675">
              <w:rPr>
                <w:rFonts w:ascii="Arial" w:hAnsi="Arial" w:cs="Arial"/>
                <w:sz w:val="20"/>
                <w:szCs w:val="20"/>
              </w:rPr>
              <w:t>Вероятность банкротства  невелика</w:t>
            </w:r>
          </w:p>
        </w:tc>
        <w:tc>
          <w:tcPr>
            <w:tcW w:w="1230" w:type="dxa"/>
            <w:vAlign w:val="center"/>
          </w:tcPr>
          <w:p w:rsidR="002325B4" w:rsidRPr="00E70675" w:rsidRDefault="002325B4" w:rsidP="002325B4">
            <w:pPr>
              <w:jc w:val="center"/>
            </w:pPr>
            <w:r w:rsidRPr="00E70675">
              <w:rPr>
                <w:rFonts w:ascii="Arial" w:hAnsi="Arial" w:cs="Arial"/>
                <w:sz w:val="20"/>
                <w:szCs w:val="20"/>
              </w:rPr>
              <w:t>Вероятность банкротства  невелика</w:t>
            </w:r>
          </w:p>
        </w:tc>
        <w:tc>
          <w:tcPr>
            <w:tcW w:w="1230" w:type="dxa"/>
            <w:vAlign w:val="center"/>
          </w:tcPr>
          <w:p w:rsidR="002325B4" w:rsidRPr="00E70675" w:rsidRDefault="002325B4" w:rsidP="002325B4">
            <w:pPr>
              <w:jc w:val="center"/>
            </w:pPr>
            <w:r w:rsidRPr="00E70675">
              <w:rPr>
                <w:rFonts w:ascii="Arial" w:hAnsi="Arial" w:cs="Arial"/>
                <w:sz w:val="20"/>
                <w:szCs w:val="20"/>
              </w:rPr>
              <w:t>Вероятность банкротства  невелика</w:t>
            </w:r>
          </w:p>
        </w:tc>
        <w:tc>
          <w:tcPr>
            <w:tcW w:w="1230" w:type="dxa"/>
            <w:vAlign w:val="center"/>
          </w:tcPr>
          <w:p w:rsidR="002325B4" w:rsidRPr="00E70675" w:rsidRDefault="002325B4" w:rsidP="002325B4">
            <w:pPr>
              <w:jc w:val="center"/>
            </w:pPr>
            <w:r w:rsidRPr="00E70675">
              <w:rPr>
                <w:rFonts w:ascii="Arial" w:hAnsi="Arial" w:cs="Arial"/>
                <w:sz w:val="20"/>
                <w:szCs w:val="20"/>
              </w:rPr>
              <w:t>Вероятность банкротства невелика</w:t>
            </w:r>
          </w:p>
        </w:tc>
        <w:tc>
          <w:tcPr>
            <w:tcW w:w="1230" w:type="dxa"/>
            <w:vAlign w:val="center"/>
          </w:tcPr>
          <w:p w:rsidR="002325B4" w:rsidRPr="00E70675" w:rsidRDefault="002325B4" w:rsidP="002325B4">
            <w:pPr>
              <w:jc w:val="center"/>
            </w:pPr>
            <w:r w:rsidRPr="00E70675">
              <w:rPr>
                <w:rFonts w:ascii="Arial" w:hAnsi="Arial" w:cs="Arial"/>
                <w:sz w:val="20"/>
                <w:szCs w:val="20"/>
              </w:rPr>
              <w:t>Вероятность банкротства  невелика</w:t>
            </w:r>
          </w:p>
        </w:tc>
        <w:tc>
          <w:tcPr>
            <w:tcW w:w="1215" w:type="dxa"/>
            <w:vAlign w:val="center"/>
          </w:tcPr>
          <w:p w:rsidR="002325B4" w:rsidRPr="00E70675" w:rsidRDefault="002325B4" w:rsidP="002325B4">
            <w:pPr>
              <w:jc w:val="center"/>
            </w:pPr>
            <w:r w:rsidRPr="00E70675">
              <w:rPr>
                <w:rFonts w:ascii="Arial" w:hAnsi="Arial" w:cs="Arial"/>
                <w:sz w:val="20"/>
                <w:szCs w:val="20"/>
              </w:rPr>
              <w:t>Вероятность банкротства  невелика</w:t>
            </w:r>
          </w:p>
        </w:tc>
      </w:tr>
    </w:tbl>
    <w:p w:rsidR="002325B4" w:rsidRDefault="002325B4" w:rsidP="002325B4"/>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Pr="00DC5CC8" w:rsidRDefault="002325B4" w:rsidP="002325B4">
      <w:pPr>
        <w:spacing w:line="360" w:lineRule="auto"/>
        <w:jc w:val="both"/>
        <w:rPr>
          <w:sz w:val="28"/>
          <w:szCs w:val="28"/>
        </w:rPr>
      </w:pPr>
    </w:p>
    <w:p w:rsidR="002325B4" w:rsidRDefault="002325B4" w:rsidP="002325B4">
      <w:pPr>
        <w:spacing w:line="360" w:lineRule="auto"/>
        <w:jc w:val="both"/>
        <w:rPr>
          <w:sz w:val="28"/>
          <w:szCs w:val="28"/>
        </w:rPr>
      </w:pPr>
    </w:p>
    <w:p w:rsidR="002325B4" w:rsidRDefault="002325B4" w:rsidP="002325B4">
      <w:pPr>
        <w:spacing w:line="360" w:lineRule="auto"/>
        <w:jc w:val="both"/>
        <w:rPr>
          <w:sz w:val="28"/>
          <w:szCs w:val="28"/>
        </w:rPr>
      </w:pPr>
    </w:p>
    <w:p w:rsidR="002325B4" w:rsidRPr="00AC62BD" w:rsidRDefault="002325B4" w:rsidP="002325B4">
      <w:pPr>
        <w:spacing w:line="360" w:lineRule="auto"/>
        <w:jc w:val="both"/>
        <w:rPr>
          <w:b/>
          <w:sz w:val="28"/>
          <w:szCs w:val="28"/>
        </w:rPr>
      </w:pPr>
      <w:r w:rsidRPr="00AC62BD">
        <w:rPr>
          <w:b/>
          <w:sz w:val="28"/>
          <w:szCs w:val="28"/>
        </w:rPr>
        <w:t>Заключение</w:t>
      </w:r>
    </w:p>
    <w:p w:rsidR="002325B4" w:rsidRDefault="002325B4" w:rsidP="002325B4">
      <w:pPr>
        <w:spacing w:line="360" w:lineRule="auto"/>
        <w:jc w:val="both"/>
        <w:rPr>
          <w:sz w:val="28"/>
          <w:szCs w:val="28"/>
        </w:rPr>
      </w:pPr>
      <w:r>
        <w:rPr>
          <w:sz w:val="28"/>
          <w:szCs w:val="28"/>
        </w:rPr>
        <w:tab/>
        <w:t>Таким образом, данные методики дают возможность определить вероятность приближения лишь стадии кризиса или банкротства коммерческой организации и не позволяют прогнозировать наступление фазы роста и других фаз ее жизненного цикла.</w:t>
      </w:r>
    </w:p>
    <w:p w:rsidR="002325B4" w:rsidRDefault="002325B4" w:rsidP="002325B4">
      <w:pPr>
        <w:spacing w:line="360" w:lineRule="auto"/>
        <w:jc w:val="both"/>
        <w:rPr>
          <w:sz w:val="28"/>
          <w:szCs w:val="28"/>
        </w:rPr>
      </w:pPr>
      <w:r>
        <w:rPr>
          <w:sz w:val="28"/>
          <w:szCs w:val="28"/>
        </w:rPr>
        <w:tab/>
        <w:t>Помимо этих трех методик оценки предкризисного состояния организации существуют, и другие, с помощью которых антикризисный (арбитражный) управляющий или финансовый директор тоже может определить вероятность приближения стадии кризиса или банкротства.</w:t>
      </w:r>
    </w:p>
    <w:p w:rsidR="002325B4" w:rsidRDefault="002325B4" w:rsidP="002325B4">
      <w:pPr>
        <w:spacing w:line="360" w:lineRule="auto"/>
        <w:jc w:val="both"/>
        <w:rPr>
          <w:sz w:val="28"/>
          <w:szCs w:val="28"/>
        </w:rPr>
      </w:pPr>
    </w:p>
    <w:p w:rsidR="002325B4" w:rsidRDefault="002325B4" w:rsidP="002325B4">
      <w:pPr>
        <w:spacing w:line="360" w:lineRule="auto"/>
        <w:jc w:val="both"/>
        <w:rPr>
          <w:sz w:val="28"/>
          <w:szCs w:val="28"/>
        </w:rPr>
      </w:pPr>
    </w:p>
    <w:p w:rsidR="002325B4" w:rsidRDefault="002325B4" w:rsidP="002325B4">
      <w:pPr>
        <w:spacing w:line="360" w:lineRule="auto"/>
        <w:jc w:val="both"/>
        <w:rPr>
          <w:sz w:val="28"/>
          <w:szCs w:val="28"/>
        </w:rPr>
      </w:pPr>
    </w:p>
    <w:p w:rsidR="002325B4" w:rsidRDefault="002325B4" w:rsidP="002325B4">
      <w:pPr>
        <w:spacing w:line="360" w:lineRule="auto"/>
        <w:jc w:val="both"/>
        <w:rPr>
          <w:sz w:val="28"/>
          <w:szCs w:val="28"/>
        </w:rPr>
      </w:pPr>
    </w:p>
    <w:p w:rsidR="002325B4" w:rsidRDefault="002325B4" w:rsidP="002325B4">
      <w:pPr>
        <w:spacing w:line="360" w:lineRule="auto"/>
        <w:jc w:val="both"/>
        <w:rPr>
          <w:sz w:val="28"/>
          <w:szCs w:val="28"/>
        </w:rPr>
      </w:pPr>
    </w:p>
    <w:p w:rsidR="002325B4" w:rsidRDefault="002325B4" w:rsidP="002325B4">
      <w:pPr>
        <w:spacing w:line="360" w:lineRule="auto"/>
        <w:jc w:val="both"/>
        <w:rPr>
          <w:sz w:val="28"/>
          <w:szCs w:val="28"/>
        </w:rPr>
      </w:pPr>
    </w:p>
    <w:p w:rsidR="002325B4" w:rsidRDefault="002325B4" w:rsidP="002325B4">
      <w:pPr>
        <w:spacing w:line="360" w:lineRule="auto"/>
        <w:jc w:val="both"/>
        <w:rPr>
          <w:sz w:val="28"/>
          <w:szCs w:val="28"/>
        </w:rPr>
      </w:pPr>
    </w:p>
    <w:p w:rsidR="002325B4" w:rsidRDefault="002325B4" w:rsidP="002325B4">
      <w:pPr>
        <w:spacing w:line="360" w:lineRule="auto"/>
        <w:jc w:val="both"/>
        <w:rPr>
          <w:sz w:val="28"/>
          <w:szCs w:val="28"/>
        </w:rPr>
      </w:pPr>
    </w:p>
    <w:p w:rsidR="002325B4" w:rsidRDefault="002325B4" w:rsidP="002325B4">
      <w:pPr>
        <w:spacing w:line="360" w:lineRule="auto"/>
        <w:jc w:val="both"/>
        <w:rPr>
          <w:sz w:val="28"/>
          <w:szCs w:val="28"/>
        </w:rPr>
      </w:pPr>
    </w:p>
    <w:p w:rsidR="002325B4" w:rsidRDefault="002325B4" w:rsidP="002325B4">
      <w:pPr>
        <w:spacing w:line="360" w:lineRule="auto"/>
        <w:jc w:val="both"/>
        <w:rPr>
          <w:sz w:val="28"/>
          <w:szCs w:val="28"/>
        </w:rPr>
      </w:pPr>
    </w:p>
    <w:p w:rsidR="002325B4" w:rsidRDefault="002325B4" w:rsidP="002325B4">
      <w:pPr>
        <w:spacing w:line="360" w:lineRule="auto"/>
        <w:jc w:val="both"/>
        <w:rPr>
          <w:sz w:val="28"/>
          <w:szCs w:val="28"/>
        </w:rPr>
      </w:pPr>
    </w:p>
    <w:p w:rsidR="002325B4" w:rsidRDefault="002325B4" w:rsidP="002325B4">
      <w:pPr>
        <w:spacing w:line="360" w:lineRule="auto"/>
        <w:jc w:val="both"/>
        <w:rPr>
          <w:sz w:val="28"/>
          <w:szCs w:val="28"/>
        </w:rPr>
      </w:pPr>
    </w:p>
    <w:p w:rsidR="002325B4" w:rsidRDefault="002325B4" w:rsidP="002325B4">
      <w:pPr>
        <w:spacing w:line="360" w:lineRule="auto"/>
        <w:jc w:val="both"/>
        <w:rPr>
          <w:sz w:val="28"/>
          <w:szCs w:val="28"/>
        </w:rPr>
      </w:pPr>
    </w:p>
    <w:p w:rsidR="002325B4" w:rsidRDefault="002325B4" w:rsidP="002325B4">
      <w:pPr>
        <w:spacing w:line="360" w:lineRule="auto"/>
        <w:jc w:val="both"/>
        <w:rPr>
          <w:sz w:val="28"/>
          <w:szCs w:val="28"/>
        </w:rPr>
      </w:pPr>
    </w:p>
    <w:p w:rsidR="002325B4" w:rsidRDefault="002325B4" w:rsidP="002325B4">
      <w:pPr>
        <w:spacing w:line="360" w:lineRule="auto"/>
        <w:jc w:val="both"/>
        <w:rPr>
          <w:sz w:val="28"/>
          <w:szCs w:val="28"/>
        </w:rPr>
      </w:pPr>
    </w:p>
    <w:p w:rsidR="002325B4" w:rsidRDefault="002325B4" w:rsidP="002325B4">
      <w:pPr>
        <w:spacing w:line="360" w:lineRule="auto"/>
        <w:jc w:val="both"/>
        <w:rPr>
          <w:sz w:val="28"/>
          <w:szCs w:val="28"/>
        </w:rPr>
      </w:pPr>
    </w:p>
    <w:p w:rsidR="002325B4" w:rsidRDefault="002325B4" w:rsidP="002325B4">
      <w:pPr>
        <w:spacing w:line="360" w:lineRule="auto"/>
        <w:jc w:val="both"/>
        <w:rPr>
          <w:sz w:val="28"/>
          <w:szCs w:val="28"/>
        </w:rPr>
      </w:pPr>
    </w:p>
    <w:p w:rsidR="002325B4" w:rsidRDefault="002325B4" w:rsidP="002325B4">
      <w:pPr>
        <w:spacing w:line="360" w:lineRule="auto"/>
        <w:jc w:val="both"/>
        <w:rPr>
          <w:sz w:val="28"/>
          <w:szCs w:val="28"/>
        </w:rPr>
      </w:pPr>
    </w:p>
    <w:p w:rsidR="002325B4" w:rsidRDefault="002325B4" w:rsidP="002325B4">
      <w:pPr>
        <w:spacing w:line="360" w:lineRule="auto"/>
        <w:jc w:val="both"/>
        <w:rPr>
          <w:sz w:val="28"/>
          <w:szCs w:val="28"/>
        </w:rPr>
      </w:pPr>
    </w:p>
    <w:p w:rsidR="002325B4" w:rsidRDefault="002325B4" w:rsidP="002325B4">
      <w:pPr>
        <w:spacing w:line="360" w:lineRule="auto"/>
        <w:jc w:val="both"/>
        <w:rPr>
          <w:sz w:val="28"/>
          <w:szCs w:val="28"/>
        </w:rPr>
      </w:pPr>
    </w:p>
    <w:p w:rsidR="002325B4" w:rsidRDefault="002325B4" w:rsidP="002325B4">
      <w:pPr>
        <w:spacing w:line="360" w:lineRule="auto"/>
        <w:jc w:val="both"/>
        <w:rPr>
          <w:sz w:val="28"/>
          <w:szCs w:val="28"/>
        </w:rPr>
      </w:pPr>
    </w:p>
    <w:p w:rsidR="002325B4" w:rsidRPr="00046FA9" w:rsidRDefault="002325B4" w:rsidP="002325B4">
      <w:pPr>
        <w:spacing w:line="360" w:lineRule="auto"/>
        <w:jc w:val="both"/>
        <w:rPr>
          <w:b/>
          <w:sz w:val="28"/>
          <w:szCs w:val="28"/>
        </w:rPr>
      </w:pPr>
      <w:r w:rsidRPr="00046FA9">
        <w:rPr>
          <w:b/>
          <w:sz w:val="28"/>
          <w:szCs w:val="28"/>
        </w:rPr>
        <w:t>Список используемой литературы</w:t>
      </w:r>
    </w:p>
    <w:p w:rsidR="002325B4" w:rsidRPr="00046FA9" w:rsidRDefault="002325B4" w:rsidP="002325B4">
      <w:pPr>
        <w:pStyle w:val="a3"/>
        <w:spacing w:line="360" w:lineRule="auto"/>
        <w:rPr>
          <w:sz w:val="28"/>
          <w:szCs w:val="28"/>
        </w:rPr>
      </w:pPr>
      <w:r w:rsidRPr="00046FA9">
        <w:rPr>
          <w:sz w:val="28"/>
          <w:szCs w:val="28"/>
        </w:rPr>
        <w:t xml:space="preserve">1. Панагушина В.П. — М.: Приор, </w:t>
      </w:r>
      <w:r>
        <w:rPr>
          <w:sz w:val="28"/>
          <w:szCs w:val="28"/>
        </w:rPr>
        <w:t>2005</w:t>
      </w:r>
      <w:r w:rsidRPr="00046FA9">
        <w:rPr>
          <w:sz w:val="28"/>
          <w:szCs w:val="28"/>
        </w:rPr>
        <w:t xml:space="preserve">. </w:t>
      </w:r>
    </w:p>
    <w:p w:rsidR="002325B4" w:rsidRPr="00046FA9" w:rsidRDefault="002325B4" w:rsidP="002325B4">
      <w:pPr>
        <w:pStyle w:val="a3"/>
        <w:spacing w:line="360" w:lineRule="auto"/>
        <w:rPr>
          <w:sz w:val="28"/>
          <w:szCs w:val="28"/>
        </w:rPr>
      </w:pPr>
      <w:r w:rsidRPr="00046FA9">
        <w:rPr>
          <w:sz w:val="28"/>
          <w:szCs w:val="28"/>
        </w:rPr>
        <w:t xml:space="preserve">2. Бригхен Ю., Гапенски Л. Финансовый менеджмент: Полный курс. В 2-х т./Пер. с англ. — СПб.: Экономическая школа, </w:t>
      </w:r>
      <w:r>
        <w:rPr>
          <w:sz w:val="28"/>
          <w:szCs w:val="28"/>
        </w:rPr>
        <w:t>2006</w:t>
      </w:r>
      <w:r w:rsidRPr="00046FA9">
        <w:rPr>
          <w:sz w:val="28"/>
          <w:szCs w:val="28"/>
        </w:rPr>
        <w:t xml:space="preserve">. </w:t>
      </w:r>
    </w:p>
    <w:p w:rsidR="002325B4" w:rsidRPr="00046FA9" w:rsidRDefault="002325B4" w:rsidP="002325B4">
      <w:pPr>
        <w:pStyle w:val="a3"/>
        <w:spacing w:line="360" w:lineRule="auto"/>
        <w:rPr>
          <w:sz w:val="28"/>
          <w:szCs w:val="28"/>
        </w:rPr>
      </w:pPr>
      <w:r w:rsidRPr="00046FA9">
        <w:rPr>
          <w:sz w:val="28"/>
          <w:szCs w:val="28"/>
        </w:rPr>
        <w:t xml:space="preserve">3. Журавлёв В. Формула выживания.//Деловой мир. — </w:t>
      </w:r>
      <w:r>
        <w:rPr>
          <w:sz w:val="28"/>
          <w:szCs w:val="28"/>
        </w:rPr>
        <w:t>2006</w:t>
      </w:r>
      <w:r w:rsidRPr="00046FA9">
        <w:rPr>
          <w:sz w:val="28"/>
          <w:szCs w:val="28"/>
        </w:rPr>
        <w:t xml:space="preserve">. — март. — № 11. </w:t>
      </w:r>
    </w:p>
    <w:p w:rsidR="002325B4" w:rsidRPr="00046FA9" w:rsidRDefault="002325B4" w:rsidP="002325B4">
      <w:pPr>
        <w:pStyle w:val="a3"/>
        <w:spacing w:line="360" w:lineRule="auto"/>
        <w:rPr>
          <w:sz w:val="28"/>
          <w:szCs w:val="28"/>
        </w:rPr>
      </w:pPr>
      <w:r w:rsidRPr="00046FA9">
        <w:rPr>
          <w:sz w:val="28"/>
          <w:szCs w:val="28"/>
        </w:rPr>
        <w:t xml:space="preserve">4. Зайцева О.П. Антикризисный менеджмент в российской фирме.//Аваль. (Сибирская финансовая школа). — </w:t>
      </w:r>
      <w:r>
        <w:rPr>
          <w:sz w:val="28"/>
          <w:szCs w:val="28"/>
        </w:rPr>
        <w:t>2006</w:t>
      </w:r>
      <w:r w:rsidRPr="00046FA9">
        <w:rPr>
          <w:sz w:val="28"/>
          <w:szCs w:val="28"/>
        </w:rPr>
        <w:t xml:space="preserve">. — № 11-12. </w:t>
      </w:r>
    </w:p>
    <w:p w:rsidR="002325B4" w:rsidRPr="00046FA9" w:rsidRDefault="002325B4" w:rsidP="002325B4">
      <w:pPr>
        <w:pStyle w:val="a3"/>
        <w:spacing w:line="360" w:lineRule="auto"/>
        <w:rPr>
          <w:sz w:val="28"/>
          <w:szCs w:val="28"/>
        </w:rPr>
      </w:pPr>
      <w:r w:rsidRPr="00046FA9">
        <w:rPr>
          <w:sz w:val="28"/>
          <w:szCs w:val="28"/>
        </w:rPr>
        <w:t xml:space="preserve">5. Касаткин Г. Рынок акций нефтегазовых компаний.//Экономика и жизнь. — </w:t>
      </w:r>
      <w:r>
        <w:rPr>
          <w:sz w:val="28"/>
          <w:szCs w:val="28"/>
        </w:rPr>
        <w:t>2006</w:t>
      </w:r>
      <w:r w:rsidRPr="00046FA9">
        <w:rPr>
          <w:sz w:val="28"/>
          <w:szCs w:val="28"/>
        </w:rPr>
        <w:t xml:space="preserve">. — № 2. </w:t>
      </w:r>
    </w:p>
    <w:p w:rsidR="002325B4" w:rsidRPr="00046FA9" w:rsidRDefault="002325B4" w:rsidP="002325B4">
      <w:pPr>
        <w:pStyle w:val="a3"/>
        <w:spacing w:line="360" w:lineRule="auto"/>
        <w:rPr>
          <w:sz w:val="28"/>
          <w:szCs w:val="28"/>
        </w:rPr>
      </w:pPr>
      <w:r w:rsidRPr="00046FA9">
        <w:rPr>
          <w:sz w:val="28"/>
          <w:szCs w:val="28"/>
        </w:rPr>
        <w:t>6. Ковалёв В.В. Введение в финансовый менеджмент. — М.: Финансы и статистика, 200</w:t>
      </w:r>
      <w:r>
        <w:rPr>
          <w:sz w:val="28"/>
          <w:szCs w:val="28"/>
        </w:rPr>
        <w:t>9</w:t>
      </w:r>
      <w:r w:rsidRPr="00046FA9">
        <w:rPr>
          <w:sz w:val="28"/>
          <w:szCs w:val="28"/>
        </w:rPr>
        <w:t xml:space="preserve">. </w:t>
      </w:r>
    </w:p>
    <w:p w:rsidR="002325B4" w:rsidRPr="00046FA9" w:rsidRDefault="002325B4" w:rsidP="002325B4">
      <w:pPr>
        <w:spacing w:line="360" w:lineRule="auto"/>
        <w:jc w:val="both"/>
        <w:rPr>
          <w:sz w:val="28"/>
          <w:szCs w:val="28"/>
        </w:rPr>
      </w:pPr>
    </w:p>
    <w:p w:rsidR="00420C0A" w:rsidRDefault="00420C0A">
      <w:bookmarkStart w:id="0" w:name="_GoBack"/>
      <w:bookmarkEnd w:id="0"/>
    </w:p>
    <w:sectPr w:rsidR="00420C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15211"/>
    <w:multiLevelType w:val="hybridMultilevel"/>
    <w:tmpl w:val="D3003E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25B4"/>
    <w:rsid w:val="0003430F"/>
    <w:rsid w:val="002325B4"/>
    <w:rsid w:val="00420C0A"/>
    <w:rsid w:val="00732520"/>
    <w:rsid w:val="008603AE"/>
    <w:rsid w:val="0092581C"/>
    <w:rsid w:val="009F1D66"/>
    <w:rsid w:val="00C43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7C580C-357B-4F8F-8EF6-ADFD182D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5B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325B4"/>
    <w:pPr>
      <w:spacing w:after="168"/>
    </w:pPr>
  </w:style>
  <w:style w:type="character" w:styleId="a4">
    <w:name w:val="Strong"/>
    <w:basedOn w:val="a0"/>
    <w:qFormat/>
    <w:rsid w:val="002325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1569</Words>
  <Characters>8944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Семья</Company>
  <LinksUpToDate>false</LinksUpToDate>
  <CharactersWithSpaces>10493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Семья</dc:creator>
  <cp:keywords/>
  <dc:description/>
  <cp:lastModifiedBy>Irina</cp:lastModifiedBy>
  <cp:revision>2</cp:revision>
  <dcterms:created xsi:type="dcterms:W3CDTF">2014-08-26T14:17:00Z</dcterms:created>
  <dcterms:modified xsi:type="dcterms:W3CDTF">2014-08-26T14:17:00Z</dcterms:modified>
</cp:coreProperties>
</file>