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C85" w:rsidRDefault="004E0C85" w:rsidP="00F819F1">
      <w:pPr>
        <w:jc w:val="center"/>
        <w:rPr>
          <w:caps/>
        </w:rPr>
      </w:pPr>
    </w:p>
    <w:p w:rsidR="00F819F1" w:rsidRPr="00F819F1" w:rsidRDefault="00F819F1" w:rsidP="00F819F1">
      <w:pPr>
        <w:jc w:val="center"/>
        <w:rPr>
          <w:caps/>
        </w:rPr>
      </w:pPr>
      <w:r w:rsidRPr="00F819F1">
        <w:rPr>
          <w:caps/>
        </w:rPr>
        <w:t xml:space="preserve">СОДЕРЖАНИЕ </w:t>
      </w:r>
    </w:p>
    <w:p w:rsidR="00F819F1" w:rsidRPr="00F819F1" w:rsidRDefault="00F819F1" w:rsidP="00F819F1">
      <w:pPr>
        <w:jc w:val="center"/>
        <w:rPr>
          <w:caps/>
        </w:rPr>
      </w:pPr>
    </w:p>
    <w:p w:rsidR="00F819F1" w:rsidRPr="00F819F1" w:rsidRDefault="00F819F1" w:rsidP="00F819F1">
      <w:r w:rsidRPr="00F819F1">
        <w:t>Ведени</w:t>
      </w:r>
      <w:r w:rsidR="000A5D0C">
        <w:t>е…………………………………………………………………………..</w:t>
      </w:r>
      <w:r w:rsidR="00DA1A60">
        <w:t>3</w:t>
      </w:r>
    </w:p>
    <w:p w:rsidR="00F819F1" w:rsidRPr="000A5D0C" w:rsidRDefault="000A5D0C" w:rsidP="00F819F1">
      <w:r>
        <w:rPr>
          <w:caps/>
        </w:rPr>
        <w:t xml:space="preserve">1. </w:t>
      </w:r>
      <w:r w:rsidR="00F819F1" w:rsidRPr="00F819F1">
        <w:rPr>
          <w:caps/>
        </w:rPr>
        <w:t>Г</w:t>
      </w:r>
      <w:r w:rsidR="00F819F1" w:rsidRPr="00F819F1">
        <w:t>альваническое про</w:t>
      </w:r>
      <w:r>
        <w:t>изводство……………………………...………………..</w:t>
      </w:r>
      <w:r w:rsidR="00DA1A60">
        <w:t>4</w:t>
      </w:r>
    </w:p>
    <w:p w:rsidR="00F819F1" w:rsidRPr="00F819F1" w:rsidRDefault="00F819F1" w:rsidP="000A5D0C">
      <w:pPr>
        <w:widowControl w:val="0"/>
      </w:pPr>
      <w:r w:rsidRPr="00F819F1">
        <w:t>2</w:t>
      </w:r>
      <w:r w:rsidR="000A5D0C">
        <w:t xml:space="preserve">.Выбор и </w:t>
      </w:r>
      <w:r w:rsidRPr="00F819F1">
        <w:t>обоснование способов очи</w:t>
      </w:r>
      <w:r w:rsidR="00DA1A60">
        <w:t>стки сточных вод .…………...………11</w:t>
      </w:r>
    </w:p>
    <w:p w:rsidR="00F819F1" w:rsidRPr="00F819F1" w:rsidRDefault="00F819F1" w:rsidP="00F819F1">
      <w:r w:rsidRPr="00F819F1">
        <w:t>3</w:t>
      </w:r>
      <w:r w:rsidR="00DA1A60">
        <w:t>.</w:t>
      </w:r>
      <w:r w:rsidRPr="00F819F1">
        <w:t xml:space="preserve"> Оптимальный метод</w:t>
      </w:r>
      <w:r w:rsidR="00DA1A60">
        <w:t xml:space="preserve"> очистки……………………………………………….20</w:t>
      </w:r>
    </w:p>
    <w:p w:rsidR="00F819F1" w:rsidRPr="00F819F1" w:rsidRDefault="00F819F1" w:rsidP="00F819F1">
      <w:r w:rsidRPr="00F819F1">
        <w:t>Заключение</w:t>
      </w:r>
      <w:r w:rsidR="00DA1A60">
        <w:t>………………………………………………………..……………26</w:t>
      </w:r>
    </w:p>
    <w:p w:rsidR="00F819F1" w:rsidRPr="00F819F1" w:rsidRDefault="00DA1A60" w:rsidP="00F819F1">
      <w:pPr>
        <w:tabs>
          <w:tab w:val="left" w:pos="0"/>
        </w:tabs>
      </w:pPr>
      <w:r>
        <w:t>Список использованной литературы……………………………..…………...27</w:t>
      </w:r>
    </w:p>
    <w:p w:rsidR="00F819F1" w:rsidRPr="00F819F1" w:rsidRDefault="00F819F1" w:rsidP="00F819F1">
      <w:pPr>
        <w:tabs>
          <w:tab w:val="left" w:pos="0"/>
        </w:tabs>
      </w:pPr>
    </w:p>
    <w:p w:rsidR="00F819F1" w:rsidRPr="00F819F1" w:rsidRDefault="00F819F1" w:rsidP="00F819F1">
      <w:pPr>
        <w:tabs>
          <w:tab w:val="left" w:pos="0"/>
        </w:tabs>
      </w:pPr>
    </w:p>
    <w:p w:rsidR="00F819F1" w:rsidRPr="00F819F1" w:rsidRDefault="00F819F1" w:rsidP="00F819F1">
      <w:pPr>
        <w:tabs>
          <w:tab w:val="left" w:pos="0"/>
        </w:tabs>
      </w:pPr>
    </w:p>
    <w:p w:rsidR="00F819F1" w:rsidRPr="00F819F1" w:rsidRDefault="00F819F1" w:rsidP="00F819F1">
      <w:pPr>
        <w:tabs>
          <w:tab w:val="left" w:pos="0"/>
        </w:tabs>
        <w:rPr>
          <w:b/>
          <w:bCs/>
        </w:rPr>
      </w:pPr>
    </w:p>
    <w:p w:rsidR="00F819F1" w:rsidRDefault="00F819F1"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Default="000A5D0C" w:rsidP="00F819F1">
      <w:pPr>
        <w:tabs>
          <w:tab w:val="left" w:pos="0"/>
        </w:tabs>
        <w:rPr>
          <w:b/>
          <w:bCs/>
        </w:rPr>
      </w:pPr>
    </w:p>
    <w:p w:rsidR="000A5D0C" w:rsidRPr="00F819F1" w:rsidRDefault="000A5D0C" w:rsidP="00F819F1">
      <w:pPr>
        <w:tabs>
          <w:tab w:val="left" w:pos="0"/>
        </w:tabs>
        <w:rPr>
          <w:b/>
          <w:bCs/>
        </w:rPr>
      </w:pPr>
    </w:p>
    <w:p w:rsidR="00F819F1" w:rsidRDefault="00EE0E40" w:rsidP="00F819F1">
      <w:pPr>
        <w:tabs>
          <w:tab w:val="left" w:pos="0"/>
        </w:tabs>
        <w:outlineLvl w:val="0"/>
        <w:rPr>
          <w:b/>
          <w:bCs/>
        </w:rPr>
      </w:pPr>
      <w:r>
        <w:rPr>
          <w:b/>
          <w:bCs/>
        </w:rPr>
        <w:t xml:space="preserve">                                                     </w:t>
      </w:r>
      <w:r w:rsidR="00F819F1" w:rsidRPr="00F819F1">
        <w:rPr>
          <w:b/>
          <w:bCs/>
        </w:rPr>
        <w:t xml:space="preserve">Введение </w:t>
      </w:r>
    </w:p>
    <w:p w:rsidR="00F819F1" w:rsidRPr="00F819F1" w:rsidRDefault="00F819F1" w:rsidP="00F819F1">
      <w:pPr>
        <w:ind w:firstLine="426"/>
      </w:pPr>
      <w:r w:rsidRPr="00F819F1">
        <w:t>Очистка сточных вод - обработка сточных вод с целью разрушения или удаления из них вредных веществ. Освобождение сточных вод от загрязнения - сложное производство. В нем, как и в любом другом производстве имеется сырье (сточные воды) и готовая продукция (очищенная вода).</w:t>
      </w:r>
      <w:r w:rsidRPr="00F819F1">
        <w:br/>
        <w:t xml:space="preserve">      Методы очистки сточных вод можно разделить на механические, химические, физико-химические и биологические, когда же они применяются вместе, то метод очистки и обезвреживания сточных вод называется комбинированным. Применение того или иного метода в каждом конкретном случае определяется характером загрязнения и степенью вредности примесей.</w:t>
      </w:r>
    </w:p>
    <w:p w:rsidR="00F819F1" w:rsidRDefault="00F819F1" w:rsidP="00F819F1">
      <w:pPr>
        <w:pStyle w:val="a3"/>
        <w:spacing w:line="360" w:lineRule="auto"/>
        <w:ind w:firstLine="426"/>
        <w:rPr>
          <w:rFonts w:ascii="Times New Roman" w:hAnsi="Times New Roman" w:cs="Times New Roman"/>
          <w:color w:val="auto"/>
          <w:sz w:val="28"/>
          <w:szCs w:val="28"/>
        </w:rPr>
      </w:pPr>
      <w:r w:rsidRPr="00F819F1">
        <w:rPr>
          <w:rFonts w:ascii="Times New Roman" w:hAnsi="Times New Roman" w:cs="Times New Roman"/>
          <w:color w:val="auto"/>
          <w:sz w:val="28"/>
          <w:szCs w:val="28"/>
        </w:rPr>
        <w:t>Гальванотехника – одно из производств, серьезно влияющих на загрязнение окружающей среды, в частности ионами тяжелых металлов, наиболее опасных для биосферы. Главным поставщиком токсикантов в гальванике (в то же время и основным потребителем воды и главным источником сточных вод) являются промывные воды. Объем сточных вод очень велик из-за несовершенного способа промывки деталей, который требует большого расхода воды (до 2 м</w:t>
      </w:r>
      <w:r w:rsidRPr="00F819F1">
        <w:rPr>
          <w:rFonts w:ascii="Times New Roman" w:hAnsi="Times New Roman" w:cs="Times New Roman"/>
          <w:color w:val="auto"/>
          <w:sz w:val="28"/>
          <w:szCs w:val="28"/>
        </w:rPr>
        <w:softHyphen/>
      </w:r>
      <w:r w:rsidRPr="00F819F1">
        <w:rPr>
          <w:rFonts w:ascii="Times New Roman" w:hAnsi="Times New Roman" w:cs="Times New Roman"/>
          <w:color w:val="auto"/>
          <w:sz w:val="28"/>
          <w:szCs w:val="28"/>
          <w:vertAlign w:val="subscript"/>
        </w:rPr>
        <w:softHyphen/>
      </w:r>
      <w:r w:rsidRPr="00F819F1">
        <w:rPr>
          <w:rFonts w:ascii="Times New Roman" w:hAnsi="Times New Roman" w:cs="Times New Roman"/>
          <w:color w:val="auto"/>
          <w:sz w:val="28"/>
          <w:szCs w:val="28"/>
        </w:rPr>
        <w:softHyphen/>
      </w:r>
      <w:r w:rsidRPr="00F819F1">
        <w:rPr>
          <w:rFonts w:ascii="Times New Roman" w:hAnsi="Times New Roman" w:cs="Times New Roman"/>
          <w:color w:val="auto"/>
          <w:sz w:val="28"/>
          <w:szCs w:val="28"/>
        </w:rPr>
        <w:softHyphen/>
      </w:r>
      <w:r w:rsidRPr="00F819F1">
        <w:rPr>
          <w:rFonts w:ascii="Times New Roman" w:hAnsi="Times New Roman" w:cs="Times New Roman"/>
          <w:color w:val="auto"/>
          <w:sz w:val="28"/>
          <w:szCs w:val="28"/>
          <w:vertAlign w:val="superscript"/>
        </w:rPr>
        <w:t>3</w:t>
      </w:r>
      <w:r w:rsidRPr="00F819F1">
        <w:rPr>
          <w:rFonts w:ascii="Times New Roman" w:hAnsi="Times New Roman" w:cs="Times New Roman"/>
          <w:color w:val="auto"/>
          <w:sz w:val="28"/>
          <w:szCs w:val="28"/>
        </w:rPr>
        <w:t xml:space="preserve"> и более на </w:t>
      </w:r>
      <w:smartTag w:uri="urn:schemas-microsoft-com:office:smarttags" w:element="metricconverter">
        <w:smartTagPr>
          <w:attr w:name="ProductID" w:val="1 м2"/>
        </w:smartTagPr>
        <w:r w:rsidRPr="00F819F1">
          <w:rPr>
            <w:rFonts w:ascii="Times New Roman" w:hAnsi="Times New Roman" w:cs="Times New Roman"/>
            <w:color w:val="auto"/>
            <w:sz w:val="28"/>
            <w:szCs w:val="28"/>
          </w:rPr>
          <w:t>1 м</w:t>
        </w:r>
        <w:r w:rsidRPr="00F819F1">
          <w:rPr>
            <w:rFonts w:ascii="Times New Roman" w:hAnsi="Times New Roman" w:cs="Times New Roman"/>
            <w:color w:val="auto"/>
            <w:sz w:val="28"/>
            <w:szCs w:val="28"/>
            <w:vertAlign w:val="superscript"/>
          </w:rPr>
          <w:t>2</w:t>
        </w:r>
      </w:smartTag>
      <w:r w:rsidRPr="00F819F1">
        <w:rPr>
          <w:rFonts w:ascii="Times New Roman" w:hAnsi="Times New Roman" w:cs="Times New Roman"/>
          <w:color w:val="auto"/>
          <w:sz w:val="28"/>
          <w:szCs w:val="28"/>
        </w:rPr>
        <w:t xml:space="preserve"> поверхности деталей).Целью работы является изучение методов очистки сточных вод гальванического производства от хрома.</w:t>
      </w:r>
    </w:p>
    <w:p w:rsidR="00F819F1" w:rsidRDefault="00F819F1" w:rsidP="00F819F1">
      <w:pPr>
        <w:pStyle w:val="a3"/>
        <w:spacing w:line="360" w:lineRule="auto"/>
        <w:ind w:firstLine="426"/>
        <w:rPr>
          <w:rFonts w:ascii="Times New Roman" w:hAnsi="Times New Roman" w:cs="Times New Roman"/>
          <w:color w:val="auto"/>
          <w:sz w:val="28"/>
          <w:szCs w:val="28"/>
        </w:rPr>
      </w:pPr>
    </w:p>
    <w:p w:rsidR="00F819F1" w:rsidRDefault="00F819F1" w:rsidP="00F819F1">
      <w:pPr>
        <w:pStyle w:val="a3"/>
        <w:spacing w:line="360" w:lineRule="auto"/>
        <w:ind w:firstLine="426"/>
        <w:rPr>
          <w:rFonts w:ascii="Times New Roman" w:hAnsi="Times New Roman" w:cs="Times New Roman"/>
          <w:color w:val="auto"/>
          <w:sz w:val="28"/>
          <w:szCs w:val="28"/>
        </w:rPr>
      </w:pPr>
    </w:p>
    <w:p w:rsidR="00F819F1" w:rsidRDefault="00F819F1" w:rsidP="00F819F1">
      <w:pPr>
        <w:pStyle w:val="a3"/>
        <w:spacing w:line="360" w:lineRule="auto"/>
        <w:ind w:firstLine="426"/>
        <w:rPr>
          <w:rFonts w:ascii="Times New Roman" w:hAnsi="Times New Roman" w:cs="Times New Roman"/>
          <w:color w:val="auto"/>
          <w:sz w:val="28"/>
          <w:szCs w:val="28"/>
        </w:rPr>
      </w:pPr>
    </w:p>
    <w:p w:rsidR="00F819F1" w:rsidRDefault="00F819F1" w:rsidP="00F819F1">
      <w:pPr>
        <w:pStyle w:val="a3"/>
        <w:spacing w:line="360" w:lineRule="auto"/>
        <w:ind w:firstLine="426"/>
        <w:rPr>
          <w:rFonts w:ascii="Times New Roman" w:hAnsi="Times New Roman" w:cs="Times New Roman"/>
          <w:color w:val="auto"/>
          <w:sz w:val="28"/>
          <w:szCs w:val="28"/>
        </w:rPr>
      </w:pPr>
    </w:p>
    <w:p w:rsidR="00F819F1" w:rsidRDefault="00F819F1" w:rsidP="00F819F1">
      <w:pPr>
        <w:pStyle w:val="a3"/>
        <w:spacing w:line="360" w:lineRule="auto"/>
        <w:ind w:firstLine="426"/>
        <w:rPr>
          <w:rFonts w:ascii="Times New Roman" w:hAnsi="Times New Roman" w:cs="Times New Roman"/>
          <w:color w:val="auto"/>
          <w:sz w:val="28"/>
          <w:szCs w:val="28"/>
        </w:rPr>
      </w:pPr>
    </w:p>
    <w:p w:rsidR="00F819F1" w:rsidRDefault="00F819F1" w:rsidP="00F819F1">
      <w:pPr>
        <w:pStyle w:val="a3"/>
        <w:spacing w:line="360" w:lineRule="auto"/>
        <w:ind w:firstLine="426"/>
        <w:rPr>
          <w:rFonts w:ascii="Times New Roman" w:hAnsi="Times New Roman" w:cs="Times New Roman"/>
          <w:color w:val="auto"/>
          <w:sz w:val="28"/>
          <w:szCs w:val="28"/>
        </w:rPr>
      </w:pPr>
    </w:p>
    <w:p w:rsidR="00DA1A60" w:rsidRDefault="00DA1A60" w:rsidP="00F819F1">
      <w:pPr>
        <w:pStyle w:val="a3"/>
        <w:spacing w:line="360" w:lineRule="auto"/>
        <w:ind w:firstLine="426"/>
        <w:rPr>
          <w:rFonts w:ascii="Times New Roman" w:hAnsi="Times New Roman" w:cs="Times New Roman"/>
          <w:color w:val="auto"/>
          <w:sz w:val="28"/>
          <w:szCs w:val="28"/>
        </w:rPr>
      </w:pPr>
    </w:p>
    <w:p w:rsidR="00F819F1" w:rsidRPr="00F819F1" w:rsidRDefault="00EE0E40" w:rsidP="00F819F1">
      <w:pPr>
        <w:pStyle w:val="a3"/>
        <w:spacing w:line="36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F819F1" w:rsidRPr="00F819F1">
        <w:rPr>
          <w:rFonts w:ascii="Times New Roman" w:hAnsi="Times New Roman" w:cs="Times New Roman"/>
          <w:b/>
          <w:bCs/>
          <w:color w:val="auto"/>
          <w:sz w:val="28"/>
          <w:szCs w:val="28"/>
        </w:rPr>
        <w:t>1.Гальваническое производство.</w:t>
      </w:r>
    </w:p>
    <w:p w:rsidR="00F819F1" w:rsidRPr="00EE0E40" w:rsidRDefault="00EE0E40" w:rsidP="00EE0E40">
      <w:pPr>
        <w:pStyle w:val="a3"/>
        <w:spacing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sidR="00F819F1" w:rsidRPr="00F819F1">
        <w:rPr>
          <w:rFonts w:ascii="Times New Roman" w:hAnsi="Times New Roman" w:cs="Times New Roman"/>
          <w:color w:val="auto"/>
          <w:sz w:val="28"/>
          <w:szCs w:val="28"/>
        </w:rPr>
        <w:t>Гальваника - электролитическое осаждение тонкого слоя металла на поверхности какого-либо металлического предмета для защиты его от коррозии, повышения износоустойчивости, предохранения от цементации, в декоративных целях и т. д. Получаемые гальванические покрытия  должны быть плотными, а по структуре мелкозернистыми. Чтобы достигнуть мелкозернистого строения осадков, необходимо выбрать соответствующие состав электролита, температурный режим и плотность тока.</w:t>
      </w:r>
    </w:p>
    <w:p w:rsidR="00F819F1" w:rsidRPr="00F819F1" w:rsidRDefault="00F819F1" w:rsidP="00F819F1">
      <w:pPr>
        <w:pStyle w:val="a3"/>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Гальваническое покрытие металла - это прекрасный способ избежания многих проблем и увеличить срок службы оборудования, агрегатов и прочих устройств. Нанесение гальванических покрытий методом хромирования или никелирования требует специального производственного процесса и квалифицированного персонала.</w:t>
      </w:r>
    </w:p>
    <w:p w:rsidR="00F819F1" w:rsidRPr="00F819F1" w:rsidRDefault="00F819F1" w:rsidP="00F819F1">
      <w:pPr>
        <w:pStyle w:val="a3"/>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Нанесение гальванических покрытий представляет собой электрохимический процесс, при котором происходит осаждение слоя металла на поверхности изделия. В качестве электролита используется раствор солей наносимого металла. Само изделие является катодом, анод - металлическая пластина. При прохождении тока через электролит соли металла распадаются на ионы. Положительно заряженные ионы металла направляются к катоду, в результате чего происходит электроосаждение металла.</w:t>
      </w:r>
    </w:p>
    <w:p w:rsidR="00F819F1" w:rsidRPr="00F819F1" w:rsidRDefault="00F819F1" w:rsidP="00F819F1">
      <w:pPr>
        <w:pStyle w:val="a3"/>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Толщина, плотность, структура гальванических покрытий могут быть разными в зависимости от состава электролита и условий протекания процесса - температура, плотность тока. Так, например, варьируя соотношением этих двух параметров можно получить блестящее или матовое хромовое покрытие, для блестящего никелирования в электролит добавляют блескообразователи - сульфосоединения.</w:t>
      </w:r>
    </w:p>
    <w:p w:rsidR="00F819F1" w:rsidRPr="00F819F1" w:rsidRDefault="00F819F1" w:rsidP="00F819F1">
      <w:pPr>
        <w:pStyle w:val="a3"/>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Декоративные покрытия имеют небольшую толщину, мелкозернистую структуру и достаточную плотность. Для обеспечения прочности сцепления покрытия с изделием необходимо проводить тщательную подготовку поверхности, которая включает механическую обработку (шлифовка и полировка), удаление окислов и обезжиривание поверхности. После нанесения покрытия изделие промывают и нейтрализуют в щелочном растворе.</w:t>
      </w:r>
    </w:p>
    <w:p w:rsidR="00F819F1" w:rsidRPr="00F819F1" w:rsidRDefault="00F819F1" w:rsidP="00F819F1">
      <w:pPr>
        <w:pStyle w:val="a3"/>
        <w:spacing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sidRPr="00F819F1">
        <w:rPr>
          <w:rFonts w:ascii="Times New Roman" w:hAnsi="Times New Roman" w:cs="Times New Roman"/>
          <w:bCs/>
          <w:color w:val="auto"/>
          <w:sz w:val="28"/>
          <w:szCs w:val="28"/>
        </w:rPr>
        <w:t xml:space="preserve"> Характеристика гальванического оборудования</w:t>
      </w:r>
    </w:p>
    <w:p w:rsidR="00F819F1" w:rsidRPr="00F819F1" w:rsidRDefault="00F819F1" w:rsidP="00F819F1">
      <w:pPr>
        <w:pStyle w:val="a3"/>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 xml:space="preserve">Гальванические ванны - емкости, содержащие рабочие растворы, в которых выполняются подготовительные, основные (процессы нанесения покрытий) и заключительные операции химической или гальванической (электрохимической) обработки поверхности деталей, являются основным видом оборудования гальванических цехов и участков. </w:t>
      </w:r>
    </w:p>
    <w:p w:rsidR="00F819F1" w:rsidRPr="00F819F1" w:rsidRDefault="00F819F1" w:rsidP="00F819F1">
      <w:pPr>
        <w:shd w:val="clear" w:color="auto" w:fill="FFFFFF"/>
        <w:ind w:firstLine="708"/>
      </w:pPr>
      <w:r w:rsidRPr="00F819F1">
        <w:t xml:space="preserve">Несмотря на чрезвычайное разнообразие применяемых гальванических ванн, к ним предъявляется ряд общих требований: герметичность, химическая инертность материала ванны к содержащемуся в ней раствору, возможность создания и поддержания заданного теплового режима; удобство и безопасность обслуживания. </w:t>
      </w:r>
    </w:p>
    <w:p w:rsidR="00F819F1" w:rsidRPr="00F819F1" w:rsidRDefault="00F819F1" w:rsidP="00F819F1">
      <w:pPr>
        <w:shd w:val="clear" w:color="auto" w:fill="FFFFFF"/>
        <w:ind w:firstLine="708"/>
      </w:pPr>
      <w:r w:rsidRPr="00F819F1">
        <w:t>Различие в конструкции гальванических ванн определяется прежде всего особенностями технологического процесса, требующими подогрева или охлаждения электролита, перемешивания, качания штанг, непрерывной фильтрации, наложения различных физических факторов (ультразвука, магнитного поля, протока электролита и т.п.). Кроме того, для электрохимических ванн необходим также подвод электрического тока требуемой полярности и силы с возможно большей равномерностью распределения тока по поверхности деталей и меньшими потерями электрического напряжения.</w:t>
      </w:r>
    </w:p>
    <w:p w:rsidR="00F819F1" w:rsidRPr="00F819F1" w:rsidRDefault="00F819F1" w:rsidP="00F819F1">
      <w:pPr>
        <w:shd w:val="clear" w:color="auto" w:fill="FFFFFF"/>
        <w:ind w:firstLine="708"/>
      </w:pPr>
      <w:r w:rsidRPr="00F819F1">
        <w:t xml:space="preserve">Полипропилен - наиболее перспективный материал, обладающий высокой химической стойкостью, износостойкостью, термостойкостью (до 130 °С без механических нагрузок), высоким сопротивлением ударным нагрузкам, удовлетворительной механической прочностью, низким водопоглощением, низкой водо- и паропроницаемостью, высокими диэлектрическими свойствами. Полипропилен устойчив к воздействию водных растворов неорганических соединений (солей) и к воздействию почти всех кислот и щелочей, даже при высокой их концентрации и температуре выше 60 °С. </w:t>
      </w:r>
    </w:p>
    <w:p w:rsidR="00F819F1" w:rsidRPr="00F819F1" w:rsidRDefault="00F819F1" w:rsidP="00F819F1">
      <w:pPr>
        <w:shd w:val="clear" w:color="auto" w:fill="FFFFFF"/>
        <w:ind w:firstLine="708"/>
      </w:pPr>
      <w:r w:rsidRPr="00F819F1">
        <w:t xml:space="preserve">Представляют они собой емкости различного объема. Их наполняют агрессивными растворами кислоты. В эти растворы опускают металлические конструкции для обработки. Находясь в такой среде, поверхность любого изделия полностью очищается. После этого на нее можно наносить олово, цинк, хром никель и другие металлы. Ложась на подготовленную поверхность, такое покрытие на долгие годы обеспечит ей надежную защиту и эстетичный внешний вид. </w:t>
      </w:r>
    </w:p>
    <w:p w:rsidR="00F819F1" w:rsidRPr="00F819F1" w:rsidRDefault="00F819F1" w:rsidP="00F819F1">
      <w:pPr>
        <w:shd w:val="clear" w:color="auto" w:fill="FFFFFF"/>
        <w:ind w:firstLine="708"/>
        <w:rPr>
          <w:rStyle w:val="a4"/>
          <w:b w:val="0"/>
          <w:bCs w:val="0"/>
        </w:rPr>
      </w:pPr>
      <w:r w:rsidRPr="00F819F1">
        <w:t>Говоря о промывочных, операционных и травильных ваннах в гальваническом производстве, нужно подчеркнуть их особенности. Их изготавливают из материалов, которые могут длительное время переносить воздействие кислот и щелочей. Как правило это винипласт и пропилен.</w:t>
      </w:r>
    </w:p>
    <w:p w:rsidR="00F819F1" w:rsidRPr="00F819F1" w:rsidRDefault="00F819F1" w:rsidP="00F819F1">
      <w:pPr>
        <w:ind w:firstLine="708"/>
        <w:rPr>
          <w:b/>
          <w:bCs/>
        </w:rPr>
      </w:pPr>
      <w:r w:rsidRPr="00F819F1">
        <w:rPr>
          <w:rStyle w:val="a4"/>
          <w:b w:val="0"/>
          <w:bCs w:val="0"/>
        </w:rPr>
        <w:t>Гальваническое хромирование деталей</w:t>
      </w:r>
      <w:r w:rsidRPr="00F819F1">
        <w:t xml:space="preserve"> проводится для того, чтобы защитить поверхность металла от коррозийных процессов, а также для придания им приятного блеска. Особенно актуально хромирование при обновлении потертых и слишком старых поверхностей.</w:t>
      </w:r>
    </w:p>
    <w:p w:rsidR="00F819F1" w:rsidRPr="00F819F1" w:rsidRDefault="00F819F1" w:rsidP="00F819F1">
      <w:pPr>
        <w:pStyle w:val="a3"/>
        <w:shd w:val="clear" w:color="auto" w:fill="FFFFFF"/>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Хромирование в несколько слоев способствует защите поверхностей от условий повышенной влажности резких температурных колебаний.  Кроме того, нанесение хрома на поверхность металла увеличивает его твердость, что продлевает срок его использования.</w:t>
      </w:r>
    </w:p>
    <w:p w:rsidR="00F819F1" w:rsidRPr="00F819F1" w:rsidRDefault="00F819F1" w:rsidP="00F819F1">
      <w:pPr>
        <w:pStyle w:val="a3"/>
        <w:shd w:val="clear" w:color="auto" w:fill="FFFFFF"/>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 xml:space="preserve">Хромирование деталей позволяет им приобрести светоотражающие свойства и декоративный внешний вид. </w:t>
      </w:r>
    </w:p>
    <w:p w:rsidR="00F819F1" w:rsidRPr="00F819F1" w:rsidRDefault="00F819F1" w:rsidP="00F819F1">
      <w:pPr>
        <w:pStyle w:val="a3"/>
        <w:shd w:val="clear" w:color="auto" w:fill="FFFFFF"/>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 xml:space="preserve">Хромирование гальваническим методом представляет собой нанесение на деталь слоя гальванического покрытия с оттенком стали. Если точнее, то блестящий зеркальный вид поверхности достигается сочетанием использующихся элементов хром-медь-никель. </w:t>
      </w:r>
    </w:p>
    <w:p w:rsidR="00F819F1" w:rsidRPr="00F819F1" w:rsidRDefault="00F819F1" w:rsidP="00F819F1">
      <w:pPr>
        <w:pStyle w:val="a3"/>
        <w:shd w:val="clear" w:color="auto" w:fill="FFFFFF"/>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 xml:space="preserve">На сегодняшний день выделяют два типа хромирования в гальваническом производстве: твердое хромирование и гальваническое хромирование. </w:t>
      </w:r>
    </w:p>
    <w:p w:rsidR="00F819F1" w:rsidRPr="00F819F1" w:rsidRDefault="00F819F1" w:rsidP="00F819F1">
      <w:pPr>
        <w:pStyle w:val="a3"/>
        <w:shd w:val="clear" w:color="auto" w:fill="FFFFFF"/>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Оба эти метода осуществляются при помощи резервуаров и являются отличным способом придания деталям высокой твердости, прочности и устойчивости к коррозии.</w:t>
      </w:r>
    </w:p>
    <w:p w:rsidR="00F819F1" w:rsidRPr="00F819F1" w:rsidRDefault="00F819F1" w:rsidP="00F819F1">
      <w:pPr>
        <w:pStyle w:val="a3"/>
        <w:shd w:val="clear" w:color="auto" w:fill="FFFFFF"/>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 xml:space="preserve">К тому же, технология гальванического хромирования позволяет придать изделию декоративный и более товарный вид, что в последнее время значительно способствовало повышению спроса на хромированные детали. </w:t>
      </w:r>
    </w:p>
    <w:p w:rsidR="00F819F1" w:rsidRPr="00F819F1" w:rsidRDefault="00F819F1" w:rsidP="00F819F1">
      <w:pPr>
        <w:pStyle w:val="a3"/>
        <w:shd w:val="clear" w:color="auto" w:fill="FFFFFF"/>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 xml:space="preserve">В последнее время гальваническое хромирование деталей широко используется  в обработке наружных автомобильных запчастей, в предметах и аксессуарах сантехники, мебели, деталях интерьера, сувенирах и многом другом. </w:t>
      </w:r>
    </w:p>
    <w:p w:rsidR="00F819F1" w:rsidRDefault="00F819F1" w:rsidP="00F819F1">
      <w:pPr>
        <w:pStyle w:val="a3"/>
        <w:shd w:val="clear" w:color="auto" w:fill="FFFFFF"/>
        <w:spacing w:line="360" w:lineRule="auto"/>
        <w:ind w:firstLine="708"/>
        <w:rPr>
          <w:rFonts w:ascii="Times New Roman" w:hAnsi="Times New Roman" w:cs="Times New Roman"/>
          <w:color w:val="auto"/>
          <w:sz w:val="28"/>
          <w:szCs w:val="28"/>
        </w:rPr>
      </w:pPr>
      <w:r w:rsidRPr="00F819F1">
        <w:rPr>
          <w:rFonts w:ascii="Times New Roman" w:hAnsi="Times New Roman" w:cs="Times New Roman"/>
          <w:color w:val="auto"/>
          <w:sz w:val="28"/>
          <w:szCs w:val="28"/>
        </w:rPr>
        <w:t>Декоративные и защитные свойства никеля и хрома имеют также огромное значение при восстановлении исходного размера деталей, утративших свои исходные параметры в процессе эксплуатации. Коэффициент светоотражения может быть при необходимости снижен, благодаря использованию черного хрома. При этом возникает большой объем сточных вод. Состав  сточных вод представлен в таблице 2.В таблице 1 приведены показатели исходной технической воды для промывки изделий.</w:t>
      </w:r>
    </w:p>
    <w:p w:rsidR="00F819F1" w:rsidRPr="00F819F1" w:rsidRDefault="00F819F1" w:rsidP="00F819F1">
      <w:pPr>
        <w:pStyle w:val="a3"/>
        <w:shd w:val="clear" w:color="auto" w:fill="FFFFFF"/>
        <w:spacing w:line="360" w:lineRule="auto"/>
        <w:ind w:firstLine="708"/>
        <w:rPr>
          <w:rFonts w:ascii="Times New Roman" w:hAnsi="Times New Roman" w:cs="Times New Roman"/>
          <w:color w:val="auto"/>
          <w:sz w:val="28"/>
          <w:szCs w:val="28"/>
        </w:rPr>
      </w:pPr>
    </w:p>
    <w:p w:rsidR="00F819F1" w:rsidRPr="00F819F1" w:rsidRDefault="00F819F1" w:rsidP="00F819F1">
      <w:pPr>
        <w:spacing w:before="100" w:beforeAutospacing="1" w:after="100" w:afterAutospacing="1"/>
      </w:pPr>
      <w:r w:rsidRPr="00F819F1">
        <w:t>Таблица 1 - показатели исходной технической воды для промывки изделий.</w:t>
      </w:r>
      <w:r w:rsidRPr="00F819F1">
        <w:rPr>
          <w:rStyle w:val="a8"/>
        </w:rPr>
        <w:footnoteReference w:id="1"/>
      </w:r>
    </w:p>
    <w:tbl>
      <w:tblPr>
        <w:tblW w:w="0" w:type="auto"/>
        <w:tblCellSpacing w:w="15" w:type="dxa"/>
        <w:tblInd w:w="-73"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A0" w:firstRow="1" w:lastRow="0" w:firstColumn="1" w:lastColumn="0" w:noHBand="0" w:noVBand="0"/>
      </w:tblPr>
      <w:tblGrid>
        <w:gridCol w:w="6704"/>
        <w:gridCol w:w="983"/>
        <w:gridCol w:w="983"/>
        <w:gridCol w:w="998"/>
      </w:tblGrid>
      <w:tr w:rsidR="00F819F1" w:rsidRPr="00F819F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Наименование показателя</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Норма для категории</w:t>
            </w:r>
          </w:p>
        </w:tc>
      </w:tr>
      <w:tr w:rsidR="00F819F1" w:rsidRPr="00F819F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1</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2</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3</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Водородный показатель pH</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6,0-9,0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6,5-8,5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5,4-6,6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Cухой остаток,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1000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400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5,0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Жесткость общая, мг-экв/дм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7,0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6,0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0,35</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Мутность по стандартной шкале,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Сульфаты(SO</w:t>
            </w:r>
            <w:r w:rsidRPr="00F819F1">
              <w:rPr>
                <w:vertAlign w:val="subscript"/>
              </w:rPr>
              <w:t>4</w:t>
            </w:r>
            <w:r w:rsidRPr="00F819F1">
              <w:rPr>
                <w:vertAlign w:val="superscript"/>
              </w:rPr>
              <w:t>2-</w:t>
            </w:r>
            <w:r w:rsidRPr="00F819F1">
              <w:t>),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500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0,5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Хлориды(Cl</w:t>
            </w:r>
            <w:r w:rsidRPr="00F819F1">
              <w:rPr>
                <w:vertAlign w:val="superscript"/>
              </w:rPr>
              <w:t>-</w:t>
            </w:r>
            <w:r w:rsidRPr="00F819F1">
              <w:t>),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350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35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0,02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Нитраты(NO</w:t>
            </w:r>
            <w:r w:rsidRPr="00F819F1">
              <w:rPr>
                <w:vertAlign w:val="subscript"/>
              </w:rPr>
              <w:t>3</w:t>
            </w:r>
            <w:r w:rsidRPr="00F819F1">
              <w:rPr>
                <w:vertAlign w:val="superscript"/>
              </w:rPr>
              <w:t>-</w:t>
            </w:r>
            <w:r w:rsidRPr="00F819F1">
              <w:t>),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45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0,2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Фосфаты(PO</w:t>
            </w:r>
            <w:r w:rsidRPr="00F819F1">
              <w:rPr>
                <w:vertAlign w:val="subscript"/>
              </w:rPr>
              <w:t>4</w:t>
            </w:r>
            <w:r w:rsidRPr="00F819F1">
              <w:rPr>
                <w:vertAlign w:val="superscript"/>
              </w:rPr>
              <w:t>3-</w:t>
            </w:r>
            <w:r w:rsidRPr="00F819F1">
              <w:t>),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3,5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1,0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Аммиак,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0,02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 xml:space="preserve">Нефтепродукты, суммарно, мг/л, не более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0,3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Химическая потребность в кислороде,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150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Остаточный хлор,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1,7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1,7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Поверхностно-активные вещества (ПАВ),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Ионы тяжелых металлов, мг/дм</w:t>
            </w:r>
            <w:r w:rsidRPr="00F819F1">
              <w:rPr>
                <w:vertAlign w:val="superscript"/>
              </w:rPr>
              <w:t>3</w:t>
            </w:r>
            <w:r w:rsidRPr="00F819F1">
              <w:t>, не более:</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0,4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      железо</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0,3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0,1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0,05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      медь</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0,3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0,3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0,02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      никель</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0,1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      цинк</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1,5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0,2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      хром трехвалентный</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0,01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0,5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 xml:space="preserve">- </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 xml:space="preserve">Удельная электропроводность, См/м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2*10</w:t>
            </w:r>
            <w:r w:rsidRPr="00F819F1">
              <w:rPr>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1*10</w:t>
            </w:r>
            <w:r w:rsidRPr="00F819F1">
              <w:rPr>
                <w:vertAlign w:val="superscript"/>
              </w:rPr>
              <w:t>-3</w:t>
            </w:r>
            <w:r w:rsidRPr="00F819F1">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5*10</w:t>
            </w:r>
            <w:r w:rsidRPr="00F819F1">
              <w:rPr>
                <w:vertAlign w:val="superscript"/>
              </w:rPr>
              <w:t>-4</w:t>
            </w:r>
            <w:r w:rsidRPr="00F819F1">
              <w:t xml:space="preserve"> </w:t>
            </w:r>
          </w:p>
        </w:tc>
      </w:tr>
    </w:tbl>
    <w:p w:rsidR="00F819F1" w:rsidRPr="00F819F1" w:rsidRDefault="00F819F1" w:rsidP="00F819F1">
      <w:pPr>
        <w:pStyle w:val="HTML"/>
        <w:spacing w:line="360" w:lineRule="auto"/>
        <w:rPr>
          <w:rFonts w:ascii="Times New Roman" w:hAnsi="Times New Roman" w:cs="Times New Roman"/>
          <w:snapToGrid w:val="0"/>
          <w:sz w:val="28"/>
          <w:szCs w:val="28"/>
        </w:rPr>
      </w:pPr>
    </w:p>
    <w:p w:rsidR="00F819F1" w:rsidRPr="00F819F1" w:rsidRDefault="00F819F1" w:rsidP="00F819F1">
      <w:pPr>
        <w:spacing w:before="100" w:beforeAutospacing="1" w:after="100" w:afterAutospacing="1"/>
      </w:pPr>
      <w:r w:rsidRPr="00F819F1">
        <w:t xml:space="preserve">Примечание. В системах многократного использования воды допускается содержание вредных ингредиентов в очищенной воде выше, чем в табл. 1. но не выше допустимых значений в промывной ванне после операции промывки </w:t>
      </w:r>
    </w:p>
    <w:p w:rsidR="00F819F1" w:rsidRPr="00F819F1" w:rsidRDefault="00F819F1" w:rsidP="00F819F1">
      <w:pPr>
        <w:spacing w:before="100" w:beforeAutospacing="1" w:after="100" w:afterAutospacing="1"/>
      </w:pPr>
      <w:r w:rsidRPr="00F819F1">
        <w:t>Таблица 2. Концентрации основных ингредиентов в воде на выходе из гальванического производства.</w:t>
      </w:r>
      <w:r w:rsidRPr="00F819F1">
        <w:rPr>
          <w:rStyle w:val="a8"/>
        </w:rPr>
        <w:footnoteReference w:id="2"/>
      </w:r>
    </w:p>
    <w:tbl>
      <w:tblPr>
        <w:tblW w:w="0" w:type="auto"/>
        <w:tblCellSpacing w:w="15" w:type="dxa"/>
        <w:tblInd w:w="-73"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A0" w:firstRow="1" w:lastRow="0" w:firstColumn="1" w:lastColumn="0" w:noHBand="0" w:noVBand="0"/>
      </w:tblPr>
      <w:tblGrid>
        <w:gridCol w:w="3535"/>
        <w:gridCol w:w="5822"/>
      </w:tblGrid>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Наименование ингредиента</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Концентрация основных вредных игредиентов</w:t>
            </w:r>
            <w:r w:rsidRPr="00F819F1">
              <w:br/>
              <w:t xml:space="preserve">в воде на выходе из гальванического цеха, </w:t>
            </w:r>
            <w:r w:rsidRPr="00F819F1">
              <w:br/>
              <w:t>мг/л, не более</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Хром шестивалентный</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1000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Медь</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30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Никель</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50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Цинк</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50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Кадмий</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15</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Свинец</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10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Олово</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10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Хлориды (Cl</w:t>
            </w:r>
            <w:r w:rsidRPr="00F819F1">
              <w:rPr>
                <w:vertAlign w:val="superscript"/>
              </w:rPr>
              <w:t>-</w:t>
            </w:r>
            <w:r w:rsidRPr="00F819F1">
              <w:t>)</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500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Сульфаты (SO</w:t>
            </w:r>
            <w:r w:rsidRPr="00F819F1">
              <w:rPr>
                <w:vertAlign w:val="subscript"/>
              </w:rPr>
              <w:t>4</w:t>
            </w:r>
            <w:r w:rsidRPr="00F819F1">
              <w:rPr>
                <w:vertAlign w:val="superscript"/>
              </w:rPr>
              <w:t>2-</w:t>
            </w:r>
            <w:r w:rsidRPr="00F819F1">
              <w:t>)</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1000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Цианиды (CN</w:t>
            </w:r>
            <w:r w:rsidRPr="00F819F1">
              <w:rPr>
                <w:vertAlign w:val="superscript"/>
              </w:rPr>
              <w:t>-</w:t>
            </w:r>
            <w:r w:rsidRPr="00F819F1">
              <w:t>)</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30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Нитраты (NO</w:t>
            </w:r>
            <w:r w:rsidRPr="00F819F1">
              <w:rPr>
                <w:vertAlign w:val="subscript"/>
              </w:rPr>
              <w:t>3</w:t>
            </w:r>
            <w:r w:rsidRPr="00F819F1">
              <w:rPr>
                <w:vertAlign w:val="superscript"/>
              </w:rPr>
              <w:t>-</w:t>
            </w:r>
            <w:r w:rsidRPr="00F819F1">
              <w:t>)</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60</w:t>
            </w:r>
          </w:p>
        </w:tc>
      </w:tr>
      <w:tr w:rsidR="00F819F1" w:rsidRPr="00F819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r w:rsidRPr="00F819F1">
              <w:t>Аммиак</w:t>
            </w:r>
          </w:p>
        </w:tc>
        <w:tc>
          <w:tcPr>
            <w:tcW w:w="0" w:type="auto"/>
            <w:tcBorders>
              <w:top w:val="outset" w:sz="6" w:space="0" w:color="auto"/>
              <w:left w:val="outset" w:sz="6" w:space="0" w:color="auto"/>
              <w:bottom w:val="outset" w:sz="6" w:space="0" w:color="auto"/>
              <w:right w:val="outset" w:sz="6" w:space="0" w:color="auto"/>
            </w:tcBorders>
            <w:vAlign w:val="center"/>
          </w:tcPr>
          <w:p w:rsidR="00F819F1" w:rsidRPr="00F819F1" w:rsidRDefault="00F819F1" w:rsidP="00F819F1">
            <w:pPr>
              <w:jc w:val="center"/>
            </w:pPr>
            <w:r w:rsidRPr="00F819F1">
              <w:t>15</w:t>
            </w:r>
          </w:p>
        </w:tc>
      </w:tr>
    </w:tbl>
    <w:p w:rsidR="00F819F1" w:rsidRPr="00F819F1" w:rsidRDefault="00F819F1" w:rsidP="00F819F1">
      <w:pPr>
        <w:pStyle w:val="HTML"/>
        <w:spacing w:line="360" w:lineRule="auto"/>
        <w:rPr>
          <w:rFonts w:ascii="Times New Roman" w:hAnsi="Times New Roman" w:cs="Times New Roman"/>
          <w:snapToGrid w:val="0"/>
          <w:sz w:val="28"/>
          <w:szCs w:val="28"/>
        </w:rPr>
      </w:pPr>
    </w:p>
    <w:p w:rsidR="00F819F1" w:rsidRDefault="00F819F1" w:rsidP="00F819F1">
      <w:pPr>
        <w:pStyle w:val="a3"/>
        <w:shd w:val="clear" w:color="auto" w:fill="FFFFFF"/>
        <w:spacing w:line="360" w:lineRule="auto"/>
        <w:rPr>
          <w:rFonts w:ascii="Times New Roman" w:hAnsi="Times New Roman" w:cs="Times New Roman"/>
          <w:color w:val="auto"/>
          <w:sz w:val="28"/>
          <w:szCs w:val="28"/>
        </w:rPr>
      </w:pPr>
      <w:r w:rsidRPr="00EE0E40">
        <w:rPr>
          <w:rFonts w:ascii="Times New Roman" w:hAnsi="Times New Roman" w:cs="Times New Roman"/>
          <w:bCs/>
          <w:color w:val="auto"/>
          <w:sz w:val="28"/>
          <w:szCs w:val="28"/>
        </w:rPr>
        <w:t>Безопасность и экологичность</w:t>
      </w:r>
      <w:r w:rsidR="00EE0E40">
        <w:rPr>
          <w:rFonts w:ascii="Times New Roman" w:hAnsi="Times New Roman" w:cs="Times New Roman"/>
          <w:bCs/>
          <w:color w:val="auto"/>
          <w:sz w:val="28"/>
          <w:szCs w:val="28"/>
        </w:rPr>
        <w:t>:</w:t>
      </w:r>
      <w:r w:rsidRPr="00F819F1">
        <w:rPr>
          <w:rFonts w:ascii="Times New Roman" w:hAnsi="Times New Roman" w:cs="Times New Roman"/>
          <w:color w:val="auto"/>
          <w:sz w:val="28"/>
          <w:szCs w:val="28"/>
        </w:rPr>
        <w:br/>
        <w:t xml:space="preserve">            Общетоксическое действие сказывается в поражении печени, почек, желудочно-кишечного тракта, сердечно-сосудистой системы. Независимо от пути введения в первую очередь поражаются почки.</w:t>
      </w:r>
      <w:r w:rsidRPr="00F819F1">
        <w:rPr>
          <w:rFonts w:ascii="Times New Roman" w:hAnsi="Times New Roman" w:cs="Times New Roman"/>
          <w:color w:val="auto"/>
          <w:sz w:val="28"/>
          <w:szCs w:val="28"/>
        </w:rPr>
        <w:br/>
        <w:t xml:space="preserve">При попадании на кожу растворимых соединений хрома (хроматов,бихроматов и др.) развиваются хромовые дерматиты, сыпь, аллергии. Попадание на поврежденную кожу ведет к образованию плохо заживающих язв. </w:t>
      </w:r>
      <w:r w:rsidRPr="00F819F1">
        <w:rPr>
          <w:rFonts w:ascii="Times New Roman" w:hAnsi="Times New Roman" w:cs="Times New Roman"/>
          <w:color w:val="auto"/>
          <w:sz w:val="28"/>
          <w:szCs w:val="28"/>
        </w:rPr>
        <w:br/>
        <w:t xml:space="preserve">          При попадании в желудок – от поражения желудочно-кишечного тракта, слизистой до гастрита и язвенной болезни двенадцатиперстной кишки. При вдыхании – поражение органов дыхания, кашель.</w:t>
      </w:r>
      <w:r w:rsidRPr="00F819F1">
        <w:rPr>
          <w:rFonts w:ascii="Times New Roman" w:hAnsi="Times New Roman" w:cs="Times New Roman"/>
          <w:color w:val="auto"/>
          <w:sz w:val="28"/>
          <w:szCs w:val="28"/>
        </w:rPr>
        <w:br/>
        <w:t>К работе допускаются лица не моложе восемнадцати лет, прошедшие</w:t>
      </w:r>
      <w:r w:rsidRPr="00F819F1">
        <w:rPr>
          <w:rFonts w:ascii="Times New Roman" w:hAnsi="Times New Roman" w:cs="Times New Roman"/>
          <w:color w:val="auto"/>
          <w:sz w:val="28"/>
          <w:szCs w:val="28"/>
        </w:rPr>
        <w:br/>
        <w:t>медицинский осмотр, не имеющие противопоказаний к выполнению работ с реагентами, прошедшие инструктаж по безопасности труда.</w:t>
      </w:r>
    </w:p>
    <w:p w:rsidR="00F819F1" w:rsidRDefault="00F819F1" w:rsidP="00F819F1">
      <w:pPr>
        <w:pStyle w:val="a3"/>
        <w:shd w:val="clear" w:color="auto" w:fill="FFFFFF"/>
        <w:spacing w:line="360" w:lineRule="auto"/>
        <w:rPr>
          <w:rFonts w:ascii="Times New Roman" w:hAnsi="Times New Roman" w:cs="Times New Roman"/>
          <w:color w:val="auto"/>
          <w:sz w:val="28"/>
          <w:szCs w:val="28"/>
        </w:rPr>
      </w:pPr>
    </w:p>
    <w:p w:rsidR="00F819F1" w:rsidRDefault="00F819F1" w:rsidP="00F819F1">
      <w:pPr>
        <w:pStyle w:val="a3"/>
        <w:shd w:val="clear" w:color="auto" w:fill="FFFFFF"/>
        <w:spacing w:line="360" w:lineRule="auto"/>
        <w:rPr>
          <w:rFonts w:ascii="Times New Roman" w:hAnsi="Times New Roman" w:cs="Times New Roman"/>
          <w:color w:val="auto"/>
          <w:sz w:val="28"/>
          <w:szCs w:val="28"/>
        </w:rPr>
      </w:pPr>
    </w:p>
    <w:p w:rsidR="00F819F1" w:rsidRDefault="00F819F1" w:rsidP="00F819F1">
      <w:pPr>
        <w:pStyle w:val="a3"/>
        <w:shd w:val="clear" w:color="auto" w:fill="FFFFFF"/>
        <w:spacing w:line="360" w:lineRule="auto"/>
        <w:rPr>
          <w:rFonts w:ascii="Times New Roman" w:hAnsi="Times New Roman" w:cs="Times New Roman"/>
          <w:color w:val="auto"/>
          <w:sz w:val="28"/>
          <w:szCs w:val="28"/>
        </w:rPr>
      </w:pPr>
    </w:p>
    <w:p w:rsidR="00F819F1" w:rsidRPr="00F819F1" w:rsidRDefault="00F819F1" w:rsidP="00F819F1">
      <w:pPr>
        <w:pStyle w:val="a3"/>
        <w:shd w:val="clear" w:color="auto" w:fill="FFFFFF"/>
        <w:spacing w:line="360" w:lineRule="auto"/>
        <w:rPr>
          <w:rFonts w:ascii="Times New Roman" w:hAnsi="Times New Roman" w:cs="Times New Roman"/>
          <w:color w:val="auto"/>
          <w:sz w:val="28"/>
          <w:szCs w:val="28"/>
        </w:rPr>
      </w:pPr>
    </w:p>
    <w:p w:rsidR="00F819F1" w:rsidRPr="00F819F1" w:rsidRDefault="00EE0E40" w:rsidP="00F819F1">
      <w:pPr>
        <w:pStyle w:val="a3"/>
        <w:shd w:val="clear" w:color="auto" w:fill="FFFFFF"/>
        <w:spacing w:line="36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0A5D0C">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 </w:t>
      </w:r>
      <w:r w:rsidR="00F819F1">
        <w:rPr>
          <w:rFonts w:ascii="Times New Roman" w:hAnsi="Times New Roman" w:cs="Times New Roman"/>
          <w:b/>
          <w:bCs/>
          <w:color w:val="auto"/>
          <w:sz w:val="28"/>
          <w:szCs w:val="28"/>
        </w:rPr>
        <w:t>2</w:t>
      </w:r>
      <w:r w:rsidR="000A5D0C">
        <w:rPr>
          <w:rFonts w:ascii="Times New Roman" w:hAnsi="Times New Roman" w:cs="Times New Roman"/>
          <w:b/>
          <w:bCs/>
          <w:color w:val="auto"/>
          <w:sz w:val="28"/>
          <w:szCs w:val="28"/>
        </w:rPr>
        <w:t>.</w:t>
      </w:r>
      <w:r w:rsidR="00F819F1" w:rsidRPr="00F819F1">
        <w:rPr>
          <w:rFonts w:ascii="Times New Roman" w:hAnsi="Times New Roman" w:cs="Times New Roman"/>
          <w:b/>
          <w:bCs/>
          <w:color w:val="auto"/>
          <w:sz w:val="28"/>
          <w:szCs w:val="28"/>
        </w:rPr>
        <w:t xml:space="preserve"> Выбор и обоснование способов очистки сточных вод</w:t>
      </w:r>
    </w:p>
    <w:p w:rsidR="00F819F1" w:rsidRPr="00F819F1" w:rsidRDefault="00F819F1" w:rsidP="00F819F1">
      <w:r w:rsidRPr="00F819F1">
        <w:rPr>
          <w:b/>
          <w:bCs/>
        </w:rPr>
        <w:tab/>
      </w:r>
      <w:r w:rsidRPr="00F819F1">
        <w:t>Известно большое количество методов извлечения цветных металлов из сточных вод гальванопроизводства. Наиболее используемые методы подразделяются:</w:t>
      </w:r>
      <w:r w:rsidRPr="00F819F1">
        <w:br/>
        <w:t>-реагентные,</w:t>
      </w:r>
      <w:r w:rsidRPr="00F819F1">
        <w:br/>
        <w:t>-биохимические,</w:t>
      </w:r>
      <w:r w:rsidRPr="00F819F1">
        <w:br/>
        <w:t>-электрохимические,</w:t>
      </w:r>
      <w:r w:rsidRPr="00F819F1">
        <w:br/>
        <w:t>-мембранные,</w:t>
      </w:r>
      <w:r w:rsidRPr="00F819F1">
        <w:br/>
        <w:t>-сорбционные,</w:t>
      </w:r>
      <w:r w:rsidRPr="00F819F1">
        <w:br/>
        <w:t>-комбинированные.</w:t>
      </w:r>
    </w:p>
    <w:p w:rsidR="00F819F1" w:rsidRPr="00F819F1" w:rsidRDefault="00F819F1" w:rsidP="00F819F1">
      <w:pPr>
        <w:jc w:val="left"/>
        <w:rPr>
          <w:bCs/>
        </w:rPr>
      </w:pPr>
      <w:r>
        <w:rPr>
          <w:bCs/>
        </w:rPr>
        <w:t xml:space="preserve">  </w:t>
      </w:r>
      <w:r w:rsidRPr="00F819F1">
        <w:rPr>
          <w:bCs/>
        </w:rPr>
        <w:t xml:space="preserve">  Реагентный метод</w:t>
      </w:r>
      <w:r>
        <w:rPr>
          <w:bCs/>
        </w:rPr>
        <w:t>:</w:t>
      </w:r>
    </w:p>
    <w:p w:rsidR="00F819F1" w:rsidRPr="00F819F1" w:rsidRDefault="00F819F1" w:rsidP="00F819F1">
      <w:pPr>
        <w:ind w:firstLine="708"/>
        <w:jc w:val="left"/>
      </w:pPr>
      <w:r w:rsidRPr="00F819F1">
        <w:t>Метод, заключающийся в переводе растворимых веществ в нерастворимые при добавлении различных реагентов с последующим отделением их в виде осадков.</w:t>
      </w:r>
      <w:r w:rsidRPr="00F819F1">
        <w:br/>
        <w:t xml:space="preserve">           В качестве реагентов используют гидроксиды кальция и</w:t>
      </w:r>
      <w:r w:rsidRPr="00F819F1">
        <w:br/>
        <w:t>натрия, сульфиды натрия, феррохромовый шлак, сульфат железа(II), пирит. Наиболее широко для осаждения металлов используется гидроксид кальция, который осаждает ионы металла в виде гидроксидов:</w:t>
      </w:r>
      <w:r w:rsidRPr="00F819F1">
        <w:br/>
        <w:t xml:space="preserve">Me </w:t>
      </w:r>
      <w:r w:rsidRPr="00F819F1">
        <w:rPr>
          <w:vertAlign w:val="superscript"/>
        </w:rPr>
        <w:t>n+</w:t>
      </w:r>
      <w:r w:rsidRPr="00F819F1">
        <w:t xml:space="preserve"> + nOH </w:t>
      </w:r>
      <w:r w:rsidRPr="00F819F1">
        <w:rPr>
          <w:vertAlign w:val="superscript"/>
        </w:rPr>
        <w:t>-</w:t>
      </w:r>
      <w:r w:rsidRPr="00F819F1">
        <w:t xml:space="preserve"> = Me(OH)n</w:t>
      </w:r>
      <w:r w:rsidRPr="00F819F1">
        <w:br/>
        <w:t xml:space="preserve">           Наиболее эффективным для извлечения цветных металлов</w:t>
      </w:r>
      <w:r w:rsidRPr="00F819F1">
        <w:br/>
        <w:t>является сульфид натрия, т.к. растворимость сульфидов тяжелых металлов значительно ниже растворимости других труднорастворимых соединений - гидроксидов и карбонатов. Процесс извлечения металлов сульфидом натрия выглядит так:</w:t>
      </w:r>
      <w:r w:rsidRPr="00F819F1">
        <w:br/>
        <w:t xml:space="preserve">Me </w:t>
      </w:r>
      <w:r w:rsidRPr="00F819F1">
        <w:rPr>
          <w:vertAlign w:val="superscript"/>
        </w:rPr>
        <w:t>2+</w:t>
      </w:r>
      <w:r w:rsidRPr="00F819F1">
        <w:t xml:space="preserve"> +S </w:t>
      </w:r>
      <w:r w:rsidRPr="00F819F1">
        <w:rPr>
          <w:vertAlign w:val="superscript"/>
        </w:rPr>
        <w:t>2-</w:t>
      </w:r>
      <w:r w:rsidRPr="00F819F1">
        <w:t xml:space="preserve"> =MeS ;</w:t>
      </w:r>
      <w:r w:rsidRPr="00F819F1">
        <w:br/>
        <w:t xml:space="preserve">Me </w:t>
      </w:r>
      <w:r w:rsidRPr="00F819F1">
        <w:rPr>
          <w:vertAlign w:val="superscript"/>
        </w:rPr>
        <w:t>3+</w:t>
      </w:r>
      <w:r w:rsidRPr="00F819F1">
        <w:t xml:space="preserve"> +S </w:t>
      </w:r>
      <w:r w:rsidRPr="00F819F1">
        <w:rPr>
          <w:vertAlign w:val="superscript"/>
        </w:rPr>
        <w:t>2-</w:t>
      </w:r>
      <w:r w:rsidRPr="00F819F1">
        <w:t xml:space="preserve"> =Me</w:t>
      </w:r>
      <w:r w:rsidRPr="00F819F1">
        <w:rPr>
          <w:vertAlign w:val="subscript"/>
        </w:rPr>
        <w:t>2</w:t>
      </w:r>
      <w:r w:rsidRPr="00F819F1">
        <w:t>S</w:t>
      </w:r>
      <w:r w:rsidRPr="00F819F1">
        <w:rPr>
          <w:vertAlign w:val="subscript"/>
        </w:rPr>
        <w:t>3</w:t>
      </w:r>
      <w:r w:rsidRPr="00F819F1">
        <w:t xml:space="preserve"> .</w:t>
      </w:r>
    </w:p>
    <w:p w:rsidR="00F819F1" w:rsidRPr="00F819F1" w:rsidRDefault="00F819F1" w:rsidP="00F819F1">
      <w:pPr>
        <w:jc w:val="left"/>
      </w:pPr>
      <w:r w:rsidRPr="00F819F1">
        <w:t>Достоинства метода:</w:t>
      </w:r>
      <w:r w:rsidRPr="00F819F1">
        <w:br/>
        <w:t>1) Широкий интервал начальных концентраций ИТМ.</w:t>
      </w:r>
      <w:r w:rsidRPr="00F819F1">
        <w:br/>
        <w:t>2) Универсальность.</w:t>
      </w:r>
      <w:r w:rsidRPr="00F819F1">
        <w:br/>
        <w:t>3) Простота эксплуатации.</w:t>
      </w:r>
      <w:r w:rsidRPr="00F819F1">
        <w:br/>
        <w:t>4) Отсутствует необходимость в разделении промывных вод</w:t>
      </w:r>
      <w:r w:rsidRPr="00F819F1">
        <w:br/>
        <w:t>и концентратов.</w:t>
      </w:r>
      <w:r w:rsidRPr="00F819F1">
        <w:br/>
        <w:t>Недостатки метода:</w:t>
      </w:r>
      <w:r w:rsidRPr="00F819F1">
        <w:br/>
        <w:t>1) Не обеспечивается ПДК для рыбохозяйственных водоемов.</w:t>
      </w:r>
      <w:r w:rsidRPr="00F819F1">
        <w:br/>
        <w:t>2) Громоздкость оборудования.</w:t>
      </w:r>
      <w:r w:rsidRPr="00F819F1">
        <w:br/>
        <w:t>3) Значительный расход реагентов.</w:t>
      </w:r>
      <w:r w:rsidRPr="00F819F1">
        <w:br/>
        <w:t>4) Дополнительное загрязнение сточных вод.</w:t>
      </w:r>
      <w:r w:rsidRPr="00F819F1">
        <w:br/>
        <w:t>5) Невозможность возврата в оборотный цикл очищенной</w:t>
      </w:r>
      <w:r w:rsidRPr="00F819F1">
        <w:br/>
        <w:t>воды из-за повышенного солесодержания.</w:t>
      </w:r>
      <w:r w:rsidRPr="00F819F1">
        <w:br/>
        <w:t>6) Затрудненность извлечения из шлама тяжелых металлов</w:t>
      </w:r>
      <w:r w:rsidRPr="00F819F1">
        <w:br/>
        <w:t>для утилизации.</w:t>
      </w:r>
      <w:r w:rsidRPr="00F819F1">
        <w:br/>
        <w:t>7) Потребность в значительных площадях для шламоотвалов.</w:t>
      </w:r>
    </w:p>
    <w:p w:rsidR="00F819F1" w:rsidRPr="00F819F1" w:rsidRDefault="00F819F1" w:rsidP="00F819F1">
      <w:pPr>
        <w:jc w:val="left"/>
      </w:pPr>
    </w:p>
    <w:p w:rsidR="00F819F1" w:rsidRPr="00F819F1" w:rsidRDefault="00F819F1" w:rsidP="00F819F1">
      <w:pPr>
        <w:jc w:val="left"/>
      </w:pPr>
      <w:r w:rsidRPr="00F819F1">
        <w:rPr>
          <w:bCs/>
        </w:rPr>
        <w:t xml:space="preserve">  Биохимический метод</w:t>
      </w:r>
      <w:r>
        <w:rPr>
          <w:bCs/>
        </w:rPr>
        <w:t>:</w:t>
      </w:r>
      <w:r w:rsidRPr="00F819F1">
        <w:br/>
        <w:t xml:space="preserve">             В последнее время у нас в стране и за рубежом увеличились масштабы проводимых исследований по разработке технологии выделения тяжелых цветных металлов из сточных вод гальванопроизводств биохимическим методом сульфатовосстанавливающими бактериями (СВБ). Однако достигнутое при этом снижение концентраций ионов тяжелых металлов, в частности таких, как хром, составило только 100 мг/л, что нельзя признать оптимальным, исходя из реальных концентраций ионов шестивалентного хрома (200 - 300 мг/л).</w:t>
      </w:r>
    </w:p>
    <w:p w:rsidR="00F819F1" w:rsidRPr="00F819F1" w:rsidRDefault="00F819F1" w:rsidP="00F819F1">
      <w:pPr>
        <w:pStyle w:val="a3"/>
        <w:shd w:val="clear" w:color="auto" w:fill="FFFFFF"/>
        <w:spacing w:line="360" w:lineRule="auto"/>
        <w:rPr>
          <w:rFonts w:ascii="Times New Roman" w:hAnsi="Times New Roman" w:cs="Times New Roman"/>
          <w:bCs/>
          <w:color w:val="auto"/>
          <w:sz w:val="28"/>
          <w:szCs w:val="28"/>
        </w:rPr>
      </w:pPr>
      <w:r w:rsidRPr="00F819F1">
        <w:rPr>
          <w:rFonts w:ascii="Times New Roman" w:hAnsi="Times New Roman" w:cs="Times New Roman"/>
          <w:bCs/>
          <w:sz w:val="28"/>
          <w:szCs w:val="28"/>
        </w:rPr>
        <w:t>Электрохимические методы</w:t>
      </w:r>
      <w:r>
        <w:rPr>
          <w:rFonts w:ascii="Times New Roman" w:hAnsi="Times New Roman" w:cs="Times New Roman"/>
          <w:bCs/>
          <w:sz w:val="28"/>
          <w:szCs w:val="28"/>
        </w:rPr>
        <w:t>:</w:t>
      </w:r>
    </w:p>
    <w:p w:rsidR="00F819F1" w:rsidRPr="00F819F1" w:rsidRDefault="00F819F1" w:rsidP="00F819F1">
      <w:pPr>
        <w:ind w:firstLine="708"/>
        <w:jc w:val="left"/>
      </w:pPr>
      <w:r w:rsidRPr="00F819F1">
        <w:t>Метод наиболее пригоден для выделения хрома. Сущность метода заключается в восстановлении Cr(VI) до Cr(III) в процессе электролиза с использованием растворимых стальных электродов. При прохождении растворов через межэлектродное пространство происходит электролиз воды, поляризация частиц, электрофорез, окислительно-восстановительные процессы, взаимодействие продуктов электролиза друг с другом.</w:t>
      </w:r>
      <w:r w:rsidRPr="00F819F1">
        <w:br/>
        <w:t>Суть протекающих при этом процессов заключается в</w:t>
      </w:r>
      <w:r w:rsidRPr="00F819F1">
        <w:br/>
        <w:t>следующем: при протекании постоянного электрического тока через хромсодержащие растворы гальваношламов, анод подвергается электролитическому растворению с образованием ионов Fe, которые, с одной стороны, являются эффективными восстановителями для ионов хрома (VI), с другой - коагулянтами:</w:t>
      </w:r>
      <w:r w:rsidRPr="00F819F1">
        <w:br/>
        <w:t xml:space="preserve">Cr </w:t>
      </w:r>
      <w:r w:rsidRPr="00F819F1">
        <w:rPr>
          <w:vertAlign w:val="subscript"/>
        </w:rPr>
        <w:t>2</w:t>
      </w:r>
      <w:r w:rsidRPr="00F819F1">
        <w:t>O</w:t>
      </w:r>
      <w:r w:rsidRPr="00F819F1">
        <w:rPr>
          <w:vertAlign w:val="subscript"/>
        </w:rPr>
        <w:t>7</w:t>
      </w:r>
      <w:r w:rsidRPr="00F819F1">
        <w:t xml:space="preserve"> </w:t>
      </w:r>
      <w:r w:rsidRPr="00F819F1">
        <w:rPr>
          <w:vertAlign w:val="superscript"/>
        </w:rPr>
        <w:t>2-</w:t>
      </w:r>
      <w:r w:rsidRPr="00F819F1">
        <w:t xml:space="preserve"> + 6Fe </w:t>
      </w:r>
      <w:r w:rsidRPr="00F819F1">
        <w:rPr>
          <w:vertAlign w:val="superscript"/>
        </w:rPr>
        <w:t xml:space="preserve">2+  </w:t>
      </w:r>
      <w:r w:rsidRPr="00F819F1">
        <w:t>--&gt;</w:t>
      </w:r>
      <w:r w:rsidRPr="00F819F1">
        <w:rPr>
          <w:vertAlign w:val="superscript"/>
        </w:rPr>
        <w:t xml:space="preserve">  </w:t>
      </w:r>
      <w:r w:rsidRPr="00F819F1">
        <w:t xml:space="preserve">6Fe </w:t>
      </w:r>
      <w:r w:rsidRPr="00F819F1">
        <w:rPr>
          <w:vertAlign w:val="superscript"/>
        </w:rPr>
        <w:t>2+</w:t>
      </w:r>
      <w:r w:rsidRPr="00F819F1">
        <w:t xml:space="preserve"> + 2Cr</w:t>
      </w:r>
      <w:r w:rsidRPr="00F819F1">
        <w:rPr>
          <w:vertAlign w:val="superscript"/>
        </w:rPr>
        <w:t>3+</w:t>
      </w:r>
      <w:r w:rsidRPr="00F819F1">
        <w:br/>
        <w:t>На катоде выделяется газообразный водород, что ведет к</w:t>
      </w:r>
      <w:r w:rsidRPr="00F819F1">
        <w:br/>
        <w:t>выщелачиванию раствора и созданию таким образом условий для выделения гидроксидов примесных металлов,также происходит процесс электрохимического восстановления.</w:t>
      </w:r>
    </w:p>
    <w:p w:rsidR="00F819F1" w:rsidRPr="00F819F1" w:rsidRDefault="00F819F1" w:rsidP="00F819F1">
      <w:pPr>
        <w:jc w:val="left"/>
      </w:pPr>
      <w:r w:rsidRPr="00F819F1">
        <w:t xml:space="preserve">Достоинства метода </w:t>
      </w:r>
      <w:r w:rsidRPr="00F819F1">
        <w:br/>
        <w:t>1) Очистка до требований ПДК от соединений Cr (VI).</w:t>
      </w:r>
      <w:r w:rsidRPr="00F819F1">
        <w:br/>
        <w:t>2) Высокая производительность.</w:t>
      </w:r>
      <w:r w:rsidRPr="00F819F1">
        <w:br/>
        <w:t>3) Простота эксплуатации.</w:t>
      </w:r>
      <w:r w:rsidRPr="00F819F1">
        <w:br/>
        <w:t>4) Малые занимаемые площади.</w:t>
      </w:r>
      <w:r w:rsidRPr="00F819F1">
        <w:br/>
        <w:t>5) Малая чувствительность к изменениям параметров</w:t>
      </w:r>
      <w:r w:rsidRPr="00F819F1">
        <w:br/>
        <w:t>процесса.</w:t>
      </w:r>
      <w:r w:rsidRPr="00F819F1">
        <w:br/>
        <w:t>6) Получение шлама с хорошими структурно-механическими</w:t>
      </w:r>
      <w:r w:rsidRPr="00F819F1">
        <w:br/>
        <w:t>свойствами.</w:t>
      </w:r>
      <w:r w:rsidRPr="00F819F1">
        <w:br/>
        <w:t xml:space="preserve">Недостатки метода </w:t>
      </w:r>
      <w:r w:rsidRPr="00F819F1">
        <w:br/>
        <w:t>1) Не достигается ПДК при сбросе в водоемы рыбохозяйственного назначения.</w:t>
      </w:r>
      <w:r w:rsidRPr="00F819F1">
        <w:br/>
        <w:t>2) Значительный расход электроэнергии.</w:t>
      </w:r>
      <w:r w:rsidRPr="00F819F1">
        <w:br/>
        <w:t>3) Значительный расход металлических растворимых</w:t>
      </w:r>
      <w:r w:rsidRPr="00F819F1">
        <w:br/>
        <w:t>анодов.</w:t>
      </w:r>
      <w:r w:rsidRPr="00F819F1">
        <w:br/>
        <w:t>4) Пассивация анодов.</w:t>
      </w:r>
      <w:r w:rsidRPr="00F819F1">
        <w:br/>
        <w:t>5) Невозможность извлечения из шлама тяжелых</w:t>
      </w:r>
      <w:r w:rsidRPr="00F819F1">
        <w:br/>
        <w:t>металлов из-за высокого содержания железа.</w:t>
      </w:r>
      <w:r w:rsidRPr="00F819F1">
        <w:br/>
        <w:t>6) Невозможность возврата воды в оборотный цикл</w:t>
      </w:r>
      <w:r w:rsidRPr="00F819F1">
        <w:br/>
        <w:t>из-за повышенного солесодержания.</w:t>
      </w:r>
      <w:r w:rsidRPr="00F819F1">
        <w:br/>
        <w:t>7) Потребность в значительных площадях для шламоотвалов.</w:t>
      </w:r>
      <w:r w:rsidRPr="00F819F1">
        <w:br/>
        <w:t>8) Необходимость предварительного разбавления стоков до</w:t>
      </w:r>
      <w:r w:rsidRPr="00F819F1">
        <w:br/>
        <w:t>суммарной концентрации ионов тяжелых металлов 100 мг/л.</w:t>
      </w:r>
    </w:p>
    <w:p w:rsidR="00F819F1" w:rsidRPr="00F819F1" w:rsidRDefault="00F819F1" w:rsidP="00F819F1">
      <w:pPr>
        <w:jc w:val="left"/>
      </w:pPr>
    </w:p>
    <w:p w:rsidR="0092647B" w:rsidRDefault="00F819F1" w:rsidP="00F819F1">
      <w:pPr>
        <w:jc w:val="left"/>
        <w:rPr>
          <w:b/>
          <w:bCs/>
        </w:rPr>
      </w:pPr>
      <w:r w:rsidRPr="0092647B">
        <w:rPr>
          <w:bCs/>
        </w:rPr>
        <w:t xml:space="preserve">  Метод электрофлотации</w:t>
      </w:r>
      <w:r w:rsidR="0092647B">
        <w:rPr>
          <w:bCs/>
        </w:rPr>
        <w:t>:</w:t>
      </w:r>
      <w:r w:rsidRPr="00F819F1">
        <w:rPr>
          <w:b/>
          <w:bCs/>
        </w:rPr>
        <w:br/>
      </w:r>
      <w:r w:rsidRPr="00F819F1">
        <w:t xml:space="preserve">              Позволяют очищенную сточную воду вернуть в производство и рекуперировать ценные компоненты. В этом процессе очистка сточных вод от взвешенных частиц происходит при помощи пузырьков газа, образующихся при электролизе воды и использовании растворимых электродов. На аноде возникают пузырьки кислорода,на катоде - водород. Поднимаясь в сточной воде, пузырьки флотируют взвешенные частицы.</w:t>
      </w:r>
      <w:r w:rsidRPr="00F819F1">
        <w:br/>
        <w:t>Достоинства метода</w:t>
      </w:r>
      <w:r w:rsidRPr="00F819F1">
        <w:br/>
        <w:t>1) Очистка до требований ПДК.</w:t>
      </w:r>
      <w:r w:rsidRPr="00F819F1">
        <w:br/>
        <w:t>2) Незначительный расход реагентов.</w:t>
      </w:r>
      <w:r w:rsidRPr="00F819F1">
        <w:br/>
        <w:t>3) Простота эксплуатации.</w:t>
      </w:r>
      <w:r w:rsidRPr="00F819F1">
        <w:br/>
        <w:t>4) Малые площади, занимаемые оборудованием.</w:t>
      </w:r>
      <w:r w:rsidRPr="00F819F1">
        <w:br/>
        <w:t>5) Возможность возврата ИТМ до 96%.</w:t>
      </w:r>
      <w:r w:rsidRPr="00F819F1">
        <w:br/>
        <w:t>6) Возможность очистки от жиров, масел и взвешенных</w:t>
      </w:r>
      <w:r w:rsidRPr="00F819F1">
        <w:br/>
        <w:t>частиц.</w:t>
      </w:r>
      <w:r w:rsidRPr="00F819F1">
        <w:br/>
        <w:t>7) Высокая сочетаемость с другими методами.</w:t>
      </w:r>
      <w:r w:rsidRPr="00F819F1">
        <w:br/>
        <w:t>8) Отсутствие вторичного загрязнения.</w:t>
      </w:r>
      <w:r w:rsidRPr="00F819F1">
        <w:br/>
        <w:t xml:space="preserve">Недостатки метода </w:t>
      </w:r>
      <w:r w:rsidRPr="00F819F1">
        <w:br/>
        <w:t>1) Незначительное (до 30%) снижение общего солесодержания очищаемых стоков.</w:t>
      </w:r>
      <w:r w:rsidRPr="00F819F1">
        <w:br/>
        <w:t>2) Аноды из дефицитного материала.</w:t>
      </w:r>
      <w:r w:rsidRPr="00F819F1">
        <w:br/>
        <w:t>3) Необходимость разбавления концентрированных вод.</w:t>
      </w:r>
      <w:r w:rsidRPr="00F819F1">
        <w:br/>
        <w:t>4) Большой расход электроэнергии, ее дороговизна.</w:t>
      </w:r>
    </w:p>
    <w:p w:rsidR="00F819F1" w:rsidRDefault="00F819F1" w:rsidP="00F819F1">
      <w:pPr>
        <w:jc w:val="left"/>
      </w:pPr>
      <w:r w:rsidRPr="0092647B">
        <w:rPr>
          <w:bCs/>
        </w:rPr>
        <w:t xml:space="preserve">  Метод электролиза</w:t>
      </w:r>
      <w:r w:rsidRPr="00F819F1">
        <w:rPr>
          <w:b/>
          <w:bCs/>
        </w:rPr>
        <w:br/>
      </w:r>
      <w:r w:rsidRPr="00F819F1">
        <w:t xml:space="preserve">             В качестве анодов используют различные электрически нерастворимые вещества: графит, магнетит, диоксиды свинца, марганца и рутения, которые наносят на титановую основу. Катоды изготавливают из молибдена, сплава железа с вольфрамом, сплава вольфрама с никелем, из графита, нержавеющей стали и других металлов, покрытых молибденом, вольфрамом или их сплав</w:t>
      </w:r>
      <w:r w:rsidRPr="00F819F1">
        <w:br/>
        <w:t xml:space="preserve">Достоинства метода </w:t>
      </w:r>
      <w:r w:rsidRPr="00F819F1">
        <w:br/>
        <w:t>1) Отсутствие шлама.</w:t>
      </w:r>
      <w:r w:rsidRPr="00F819F1">
        <w:br/>
        <w:t>2) Незначительный расход реагентов.</w:t>
      </w:r>
      <w:r w:rsidRPr="00F819F1">
        <w:br/>
        <w:t>3) Простота эксплуатации.</w:t>
      </w:r>
      <w:r w:rsidRPr="00F819F1">
        <w:br/>
        <w:t>4) Малые площади, занимаемые оборудованием.</w:t>
      </w:r>
      <w:r w:rsidRPr="00F819F1">
        <w:br/>
        <w:t>5) Возможность извлечения металлов из концентрированных</w:t>
      </w:r>
      <w:r w:rsidRPr="00F819F1">
        <w:br/>
        <w:t>стоков.</w:t>
      </w:r>
      <w:r w:rsidRPr="00F819F1">
        <w:br/>
        <w:t xml:space="preserve">Недостатки метода </w:t>
      </w:r>
      <w:r w:rsidRPr="00F819F1">
        <w:br/>
        <w:t>1) Не обеспечивает достижение ПДК при сбросе в водоемы рыбохозяйственного назначения.</w:t>
      </w:r>
      <w:r w:rsidRPr="00F819F1">
        <w:br/>
        <w:t>2) Аноды из дефицитного материала.</w:t>
      </w:r>
      <w:r w:rsidRPr="00F819F1">
        <w:br/>
        <w:t>3) Неэкономичность очистки разбавленных стоков.</w:t>
      </w:r>
      <w:r w:rsidR="0092647B">
        <w:t xml:space="preserve"> </w:t>
      </w:r>
    </w:p>
    <w:p w:rsidR="0092647B" w:rsidRPr="00F819F1" w:rsidRDefault="0092647B" w:rsidP="00F819F1">
      <w:pPr>
        <w:jc w:val="left"/>
        <w:rPr>
          <w:b/>
          <w:bCs/>
        </w:rPr>
      </w:pPr>
    </w:p>
    <w:p w:rsidR="00F819F1" w:rsidRPr="00F819F1" w:rsidRDefault="00F819F1" w:rsidP="00F819F1">
      <w:pPr>
        <w:pStyle w:val="a3"/>
        <w:shd w:val="clear" w:color="auto" w:fill="FFFFFF"/>
        <w:spacing w:line="360" w:lineRule="auto"/>
        <w:rPr>
          <w:rFonts w:ascii="Times New Roman" w:hAnsi="Times New Roman" w:cs="Times New Roman"/>
          <w:sz w:val="28"/>
          <w:szCs w:val="28"/>
        </w:rPr>
      </w:pPr>
      <w:r w:rsidRPr="0092647B">
        <w:rPr>
          <w:rFonts w:ascii="Times New Roman" w:hAnsi="Times New Roman" w:cs="Times New Roman"/>
          <w:bCs/>
          <w:sz w:val="28"/>
          <w:szCs w:val="28"/>
        </w:rPr>
        <w:t>Метод обратного осмоса</w:t>
      </w:r>
      <w:r w:rsidRPr="00F819F1">
        <w:rPr>
          <w:rFonts w:ascii="Times New Roman" w:hAnsi="Times New Roman" w:cs="Times New Roman"/>
          <w:b/>
          <w:bCs/>
          <w:sz w:val="28"/>
          <w:szCs w:val="28"/>
        </w:rPr>
        <w:br/>
      </w:r>
      <w:r w:rsidRPr="00F819F1">
        <w:rPr>
          <w:rFonts w:ascii="Times New Roman" w:hAnsi="Times New Roman" w:cs="Times New Roman"/>
          <w:sz w:val="28"/>
          <w:szCs w:val="28"/>
        </w:rPr>
        <w:t xml:space="preserve">        </w:t>
      </w:r>
      <w:r w:rsidRPr="00F819F1">
        <w:rPr>
          <w:rFonts w:ascii="Times New Roman" w:hAnsi="Times New Roman" w:cs="Times New Roman"/>
          <w:sz w:val="28"/>
          <w:szCs w:val="28"/>
        </w:rPr>
        <w:tab/>
        <w:t>Обратным осмосом и ультрафильтрацией называют процессы фильтрования растворов через полупроницаемые мембраны под давлением, превышающем осмотическое давление. Мембраны пропускают молекулы растворителя, задерживая растворенные вещества. При обратном осмосе выделяются частицы (молекулы, гидратированные ионы), размеры которых не превышают размеров молекул растворителя. При ультрафильтрации размер отдельных частиц на порядок больше.</w:t>
      </w:r>
      <w:r w:rsidRPr="00F819F1">
        <w:rPr>
          <w:rFonts w:ascii="Times New Roman" w:hAnsi="Times New Roman" w:cs="Times New Roman"/>
          <w:sz w:val="28"/>
          <w:szCs w:val="28"/>
        </w:rPr>
        <w:br/>
        <w:t>Достоинства метода</w:t>
      </w:r>
      <w:r w:rsidRPr="00F819F1">
        <w:rPr>
          <w:rFonts w:ascii="Times New Roman" w:hAnsi="Times New Roman" w:cs="Times New Roman"/>
          <w:sz w:val="28"/>
          <w:szCs w:val="28"/>
        </w:rPr>
        <w:br/>
        <w:t>1) Возможность очистки до требований ПДК.</w:t>
      </w:r>
      <w:r w:rsidRPr="00F819F1">
        <w:rPr>
          <w:rFonts w:ascii="Times New Roman" w:hAnsi="Times New Roman" w:cs="Times New Roman"/>
          <w:sz w:val="28"/>
          <w:szCs w:val="28"/>
        </w:rPr>
        <w:br/>
        <w:t>2) Возврат очищенной воды до 60% в оборотный цикл.</w:t>
      </w:r>
      <w:r w:rsidRPr="00F819F1">
        <w:rPr>
          <w:rFonts w:ascii="Times New Roman" w:hAnsi="Times New Roman" w:cs="Times New Roman"/>
          <w:sz w:val="28"/>
          <w:szCs w:val="28"/>
        </w:rPr>
        <w:br/>
        <w:t>3) Возможность утилизации тяжелых металлов.</w:t>
      </w:r>
      <w:r w:rsidRPr="00F819F1">
        <w:rPr>
          <w:rFonts w:ascii="Times New Roman" w:hAnsi="Times New Roman" w:cs="Times New Roman"/>
          <w:sz w:val="28"/>
          <w:szCs w:val="28"/>
        </w:rPr>
        <w:br/>
        <w:t>4) Возможность очистки в присутствии лигандов,</w:t>
      </w:r>
      <w:r w:rsidRPr="00F819F1">
        <w:rPr>
          <w:rFonts w:ascii="Times New Roman" w:hAnsi="Times New Roman" w:cs="Times New Roman"/>
          <w:sz w:val="28"/>
          <w:szCs w:val="28"/>
        </w:rPr>
        <w:br/>
        <w:t>образующих прочные комплексные соединения.</w:t>
      </w:r>
      <w:r w:rsidRPr="00F819F1">
        <w:rPr>
          <w:rFonts w:ascii="Times New Roman" w:hAnsi="Times New Roman" w:cs="Times New Roman"/>
          <w:sz w:val="28"/>
          <w:szCs w:val="28"/>
        </w:rPr>
        <w:br/>
        <w:t xml:space="preserve">Недостатки метода </w:t>
      </w:r>
      <w:r w:rsidRPr="00F819F1">
        <w:rPr>
          <w:rFonts w:ascii="Times New Roman" w:hAnsi="Times New Roman" w:cs="Times New Roman"/>
          <w:sz w:val="28"/>
          <w:szCs w:val="28"/>
        </w:rPr>
        <w:br/>
        <w:t>1) Необходимость предварительной очистки сточных вод от масел, ПАВ, растворителей, органики, взвешенных веществ.</w:t>
      </w:r>
      <w:r w:rsidRPr="00F819F1">
        <w:rPr>
          <w:rFonts w:ascii="Times New Roman" w:hAnsi="Times New Roman" w:cs="Times New Roman"/>
          <w:sz w:val="28"/>
          <w:szCs w:val="28"/>
        </w:rPr>
        <w:br/>
        <w:t>2) Дефицитность и дороговизна мембран.</w:t>
      </w:r>
      <w:r w:rsidRPr="00F819F1">
        <w:rPr>
          <w:rFonts w:ascii="Times New Roman" w:hAnsi="Times New Roman" w:cs="Times New Roman"/>
          <w:sz w:val="28"/>
          <w:szCs w:val="28"/>
        </w:rPr>
        <w:br/>
        <w:t>3) Сложность эксплуатации, высокие требования к</w:t>
      </w:r>
      <w:r w:rsidRPr="00F819F1">
        <w:rPr>
          <w:rFonts w:ascii="Times New Roman" w:hAnsi="Times New Roman" w:cs="Times New Roman"/>
          <w:sz w:val="28"/>
          <w:szCs w:val="28"/>
        </w:rPr>
        <w:br/>
        <w:t>герметичности установок.</w:t>
      </w:r>
      <w:r w:rsidRPr="00F819F1">
        <w:rPr>
          <w:rFonts w:ascii="Times New Roman" w:hAnsi="Times New Roman" w:cs="Times New Roman"/>
          <w:sz w:val="28"/>
          <w:szCs w:val="28"/>
        </w:rPr>
        <w:br/>
        <w:t>4) Большие площади, высокие капитальные затраты.</w:t>
      </w:r>
      <w:r w:rsidRPr="00F819F1">
        <w:rPr>
          <w:rFonts w:ascii="Times New Roman" w:hAnsi="Times New Roman" w:cs="Times New Roman"/>
          <w:sz w:val="28"/>
          <w:szCs w:val="28"/>
        </w:rPr>
        <w:br/>
        <w:t>5) Отсутствие селективности.</w:t>
      </w:r>
      <w:r w:rsidRPr="00F819F1">
        <w:rPr>
          <w:rFonts w:ascii="Times New Roman" w:hAnsi="Times New Roman" w:cs="Times New Roman"/>
          <w:sz w:val="28"/>
          <w:szCs w:val="28"/>
        </w:rPr>
        <w:br/>
        <w:t>6) Чувствительность мембран к изменению параметров</w:t>
      </w:r>
      <w:r w:rsidRPr="00F819F1">
        <w:rPr>
          <w:rFonts w:ascii="Times New Roman" w:hAnsi="Times New Roman" w:cs="Times New Roman"/>
          <w:sz w:val="28"/>
          <w:szCs w:val="28"/>
        </w:rPr>
        <w:br/>
        <w:t>очищаемых стоков.</w:t>
      </w:r>
    </w:p>
    <w:p w:rsidR="00F819F1" w:rsidRPr="00F819F1" w:rsidRDefault="00F819F1" w:rsidP="00F819F1">
      <w:pPr>
        <w:jc w:val="left"/>
      </w:pPr>
      <w:r w:rsidRPr="0092647B">
        <w:rPr>
          <w:bCs/>
        </w:rPr>
        <w:t>2.4.2  Метод электродиализа</w:t>
      </w:r>
      <w:r w:rsidRPr="00F819F1">
        <w:br/>
        <w:t xml:space="preserve">            Электродиализ - это метод, основанный на избирательном переносе ионов через перегородки, изготовленные из ионитов (мембраны) под действием электрического тока. Обычно используют пакеты из чередующихся анионо- и катионообменных мембран. Ионообменные мембраны проницаемы только для ионов, имеющих заряд того же знака, что и у подвижных ионов.</w:t>
      </w:r>
    </w:p>
    <w:p w:rsidR="00F819F1" w:rsidRPr="00EE0E40" w:rsidRDefault="00F819F1" w:rsidP="00F819F1">
      <w:pPr>
        <w:jc w:val="left"/>
      </w:pPr>
      <w:r w:rsidRPr="00F819F1">
        <w:t>Достоинства метода</w:t>
      </w:r>
      <w:r w:rsidRPr="00F819F1">
        <w:br/>
        <w:t>1) Возможность очистки до требований ПДК.</w:t>
      </w:r>
      <w:r w:rsidRPr="00F819F1">
        <w:br/>
        <w:t>2) Возврат очищенной воды до 60% в оборотный цикл.</w:t>
      </w:r>
      <w:r w:rsidRPr="00F819F1">
        <w:br/>
        <w:t>3) Возможность утилизации ценных компонентов.</w:t>
      </w:r>
      <w:r w:rsidRPr="00F819F1">
        <w:br/>
        <w:t>4) Отсутствие фазовых переходов при отделении примесей,</w:t>
      </w:r>
      <w:r w:rsidRPr="00F819F1">
        <w:br/>
        <w:t>что позволяет вести процесс при небольшом расходе энергии.</w:t>
      </w:r>
      <w:r w:rsidRPr="00F819F1">
        <w:br/>
        <w:t>5) Возможность проведения при комнатных температурах без</w:t>
      </w:r>
      <w:r w:rsidRPr="00F819F1">
        <w:br/>
        <w:t>применения или с небольшими добавками химических реагентов.</w:t>
      </w:r>
      <w:r w:rsidRPr="00F819F1">
        <w:br/>
        <w:t>6) Простота конструкций аппаратуры.</w:t>
      </w:r>
      <w:r w:rsidRPr="00F819F1">
        <w:br/>
        <w:t xml:space="preserve">Недостатки метода </w:t>
      </w:r>
      <w:r w:rsidRPr="00F819F1">
        <w:br/>
        <w:t>1) Необходимость предварительной очистки стоков от масел, ПАВ, органики, растворителей, солей жесткости, взвешенных веществ.</w:t>
      </w:r>
      <w:r w:rsidRPr="00F819F1">
        <w:br/>
        <w:t>2) Значительный расход электроэнергии.</w:t>
      </w:r>
      <w:r w:rsidRPr="00F819F1">
        <w:br/>
        <w:t>3) Дефицитность и дороговизна мембран.</w:t>
      </w:r>
      <w:r w:rsidRPr="00F819F1">
        <w:br/>
        <w:t>4) Сложность эксплуатации.</w:t>
      </w:r>
      <w:r w:rsidRPr="00F819F1">
        <w:br/>
        <w:t>5) Отсутствие селективности.</w:t>
      </w:r>
      <w:r w:rsidRPr="00F819F1">
        <w:br/>
        <w:t>6) Чувствительность к изм</w:t>
      </w:r>
      <w:r w:rsidR="00EE0E40">
        <w:t>енению параметров очищаемых</w:t>
      </w:r>
      <w:r w:rsidR="00EE0E40">
        <w:br/>
        <w:t>вод</w:t>
      </w:r>
      <w:r w:rsidRPr="00EE0E40">
        <w:rPr>
          <w:bCs/>
        </w:rPr>
        <w:br/>
      </w:r>
    </w:p>
    <w:p w:rsidR="00EE0E40" w:rsidRDefault="00EE0E40" w:rsidP="00EE0E40">
      <w:pPr>
        <w:jc w:val="left"/>
        <w:outlineLvl w:val="0"/>
      </w:pPr>
      <w:r>
        <w:rPr>
          <w:bCs/>
        </w:rPr>
        <w:t>2.</w:t>
      </w:r>
      <w:r w:rsidR="00F819F1" w:rsidRPr="00EE0E40">
        <w:rPr>
          <w:bCs/>
        </w:rPr>
        <w:t xml:space="preserve"> Адсорбционный метод</w:t>
      </w:r>
      <w:r>
        <w:rPr>
          <w:bCs/>
        </w:rPr>
        <w:t>:</w:t>
      </w:r>
    </w:p>
    <w:p w:rsidR="00F819F1" w:rsidRPr="00F819F1" w:rsidRDefault="00EE0E40" w:rsidP="00EE0E40">
      <w:pPr>
        <w:jc w:val="left"/>
        <w:outlineLvl w:val="0"/>
      </w:pPr>
      <w:r>
        <w:t xml:space="preserve">          </w:t>
      </w:r>
      <w:r w:rsidR="00F819F1" w:rsidRPr="00F819F1">
        <w:t>В качестве сорбентов используются активированные угли, синтетические сорбенты, отходы производства (зола, шлаки, опилки и др.).</w:t>
      </w:r>
      <w:r w:rsidR="00F819F1" w:rsidRPr="00F819F1">
        <w:br/>
        <w:t xml:space="preserve">Процесс адсорбционного извлечения шестивалентного хрома </w:t>
      </w:r>
      <w:r w:rsidR="00F819F1" w:rsidRPr="00F819F1">
        <w:br/>
        <w:t>из сточных вод ведут при интенсивном перемешивании</w:t>
      </w:r>
      <w:r w:rsidR="00F819F1" w:rsidRPr="00F819F1">
        <w:br/>
        <w:t>адсорбента с раствором, при фильтровании раствора через слой</w:t>
      </w:r>
      <w:r w:rsidR="00F819F1" w:rsidRPr="00F819F1">
        <w:br/>
        <w:t>адсорбента или в псевдоожиженном слое на установках</w:t>
      </w:r>
      <w:r w:rsidR="00F819F1" w:rsidRPr="00F819F1">
        <w:br/>
        <w:t>периодического и непрерывного действия. При смешивании</w:t>
      </w:r>
      <w:r w:rsidR="00F819F1" w:rsidRPr="00F819F1">
        <w:br/>
        <w:t>адсорбента с раствором используют активированный уголь в</w:t>
      </w:r>
      <w:r w:rsidR="00F819F1" w:rsidRPr="00F819F1">
        <w:br/>
        <w:t xml:space="preserve">виде частиц диаметром </w:t>
      </w:r>
      <w:smartTag w:uri="urn:schemas-microsoft-com:office:smarttags" w:element="metricconverter">
        <w:smartTagPr>
          <w:attr w:name="ProductID" w:val="0,1 мм"/>
        </w:smartTagPr>
        <w:r w:rsidR="00F819F1" w:rsidRPr="00F819F1">
          <w:t>0,1 мм</w:t>
        </w:r>
      </w:smartTag>
      <w:r w:rsidR="00F819F1" w:rsidRPr="00F819F1">
        <w:t xml:space="preserve"> и меньше. Процесс проводят в одну или несколько ступеней.</w:t>
      </w:r>
    </w:p>
    <w:p w:rsidR="00F819F1" w:rsidRPr="00F819F1" w:rsidRDefault="00F819F1" w:rsidP="00F819F1">
      <w:pPr>
        <w:jc w:val="left"/>
      </w:pPr>
      <w:r w:rsidRPr="00F819F1">
        <w:t>Достоинства метода</w:t>
      </w:r>
      <w:r w:rsidRPr="00F819F1">
        <w:br/>
        <w:t>1) Очистка до ПДК.</w:t>
      </w:r>
      <w:r w:rsidRPr="00F819F1">
        <w:br/>
        <w:t>2) Возможность совместного удаления различных по природе</w:t>
      </w:r>
      <w:r w:rsidRPr="00F819F1">
        <w:br/>
        <w:t>примесей.</w:t>
      </w:r>
      <w:r w:rsidRPr="00F819F1">
        <w:br/>
        <w:t>3) Отсутствие вторичного загрязнения очищаемых вод.</w:t>
      </w:r>
      <w:r w:rsidRPr="00F819F1">
        <w:br/>
        <w:t>4) Возможность рекуперации сорбированных веществ.</w:t>
      </w:r>
      <w:r w:rsidRPr="00F819F1">
        <w:br/>
        <w:t>5) Возможность возврата очищенной воды после</w:t>
      </w:r>
      <w:r w:rsidRPr="00F819F1">
        <w:br/>
        <w:t>корректировки рН.</w:t>
      </w:r>
      <w:r w:rsidRPr="00F819F1">
        <w:br/>
        <w:t xml:space="preserve">Недостатки метода </w:t>
      </w:r>
      <w:r w:rsidRPr="00F819F1">
        <w:br/>
        <w:t>1) Дороговизна и дефицитность сорбентов.</w:t>
      </w:r>
      <w:r w:rsidRPr="00F819F1">
        <w:br/>
        <w:t xml:space="preserve">2) Природные сорбенты применимы для ограниченного круга </w:t>
      </w:r>
      <w:r w:rsidRPr="00F819F1">
        <w:br/>
        <w:t>примесей и их концентраций.</w:t>
      </w:r>
      <w:r w:rsidRPr="00F819F1">
        <w:br/>
        <w:t>3) Громоздкость оборудования.</w:t>
      </w:r>
      <w:r w:rsidRPr="00F819F1">
        <w:br/>
        <w:t>4) Большой расход реагентов для регенерации сорбентов.</w:t>
      </w:r>
      <w:r w:rsidRPr="00F819F1">
        <w:br/>
        <w:t>5) Образование вторичных отходов, требующих</w:t>
      </w:r>
      <w:r w:rsidRPr="00F819F1">
        <w:br/>
        <w:t>дополнительной очистки.</w:t>
      </w:r>
    </w:p>
    <w:p w:rsidR="00F819F1" w:rsidRPr="00F819F1" w:rsidRDefault="00F819F1" w:rsidP="00F819F1">
      <w:pPr>
        <w:jc w:val="left"/>
      </w:pPr>
    </w:p>
    <w:p w:rsidR="00F819F1" w:rsidRPr="0092647B" w:rsidRDefault="00F819F1" w:rsidP="00F819F1">
      <w:pPr>
        <w:jc w:val="left"/>
        <w:outlineLvl w:val="0"/>
        <w:rPr>
          <w:bCs/>
        </w:rPr>
      </w:pPr>
      <w:r w:rsidRPr="0092647B">
        <w:rPr>
          <w:bCs/>
        </w:rPr>
        <w:t>Метод ионного обмена</w:t>
      </w:r>
      <w:r w:rsidR="0092647B">
        <w:rPr>
          <w:bCs/>
        </w:rPr>
        <w:t>:</w:t>
      </w:r>
    </w:p>
    <w:p w:rsidR="00F819F1" w:rsidRPr="00F819F1" w:rsidRDefault="0092647B" w:rsidP="0092647B">
      <w:pPr>
        <w:jc w:val="left"/>
      </w:pPr>
      <w:r>
        <w:t xml:space="preserve">         </w:t>
      </w:r>
      <w:r w:rsidR="00F819F1" w:rsidRPr="00F819F1">
        <w:t>Ионообменное извлечение металлов из сточных вод позволяет рекуперировать ценные вещества с высокой степенью извлечения. Ионный обмен – это процесс взаимодействия раствора с твердой фазой, обладающей свойствами обменивать ионы, содержащиеся в ней, на ионы, присутствующие в растворе. Вещества, составляющие эту твердую фазу, называются ионитами. Метод ионного обмена основан на применении катионитов и анионитов, сорбирующих из обрабатываемых сточных вод катионы и анионы растворенных солей. В процессе фильтрования обменные катионы и анионы заменяются катионами и анионами, извлекаемыми из сточных вод. Это приводит к истощению обменной способности материалов и необходимости их регенерации.</w:t>
      </w:r>
    </w:p>
    <w:p w:rsidR="00F819F1" w:rsidRDefault="00F819F1" w:rsidP="00F819F1">
      <w:pPr>
        <w:jc w:val="left"/>
      </w:pPr>
      <w:r w:rsidRPr="00F819F1">
        <w:t>Достоинства метода</w:t>
      </w:r>
      <w:r w:rsidRPr="00F819F1">
        <w:br/>
        <w:t>1) Возможность очистки до требований ПДК.</w:t>
      </w:r>
      <w:r w:rsidRPr="00F819F1">
        <w:br/>
        <w:t>2) Возврат очищенной воды до 95% в оборот.</w:t>
      </w:r>
      <w:r w:rsidRPr="00F819F1">
        <w:br/>
        <w:t>3) Возможность утилизации тяжелых металлов.</w:t>
      </w:r>
      <w:r w:rsidRPr="00F819F1">
        <w:br/>
        <w:t>4) Возможность очистки в присутствии эффективных</w:t>
      </w:r>
      <w:r w:rsidRPr="00F819F1">
        <w:br/>
        <w:t>лигандов.</w:t>
      </w:r>
      <w:r w:rsidRPr="00F819F1">
        <w:br/>
        <w:t xml:space="preserve">Недостатки метода </w:t>
      </w:r>
      <w:r w:rsidRPr="00F819F1">
        <w:br/>
        <w:t xml:space="preserve">1) Необходимость предварительной очистки сточных вод от масел, ПАВ, растворителей, органики, взвешенных веществ. </w:t>
      </w:r>
      <w:r w:rsidRPr="00F819F1">
        <w:br/>
        <w:t>2) Большой расход реагентов для регенерации ионитов и</w:t>
      </w:r>
      <w:r w:rsidRPr="00F819F1">
        <w:br/>
        <w:t>обработки смол.</w:t>
      </w:r>
      <w:r w:rsidRPr="00F819F1">
        <w:br/>
        <w:t>3) Необходимость предварительного разделения промывных</w:t>
      </w:r>
      <w:r w:rsidRPr="00F819F1">
        <w:br/>
        <w:t>вод от концентратов.</w:t>
      </w:r>
      <w:r w:rsidRPr="00F819F1">
        <w:br/>
        <w:t>4) Громоздкость оборудования, высокая стоимость смол</w:t>
      </w:r>
      <w:r w:rsidRPr="00F819F1">
        <w:br/>
        <w:t>5) Образование вторичных отходов-элюатов, требующих</w:t>
      </w:r>
      <w:r w:rsidRPr="00F819F1">
        <w:br/>
        <w:t>дополнительной переработки.</w:t>
      </w: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Default="0092647B" w:rsidP="00F819F1">
      <w:pPr>
        <w:jc w:val="left"/>
      </w:pPr>
    </w:p>
    <w:p w:rsidR="0092647B" w:rsidRPr="00F819F1" w:rsidRDefault="0092647B" w:rsidP="00F819F1">
      <w:pPr>
        <w:jc w:val="left"/>
      </w:pPr>
    </w:p>
    <w:p w:rsidR="00F819F1" w:rsidRDefault="00F819F1" w:rsidP="00F819F1"/>
    <w:p w:rsidR="00EE0E40" w:rsidRPr="00F819F1" w:rsidRDefault="00EE0E40" w:rsidP="00F819F1"/>
    <w:p w:rsidR="0092647B" w:rsidRDefault="00F819F1" w:rsidP="0092647B">
      <w:pPr>
        <w:outlineLvl w:val="0"/>
        <w:rPr>
          <w:b/>
          <w:bCs/>
        </w:rPr>
      </w:pPr>
      <w:r w:rsidRPr="00F819F1">
        <w:rPr>
          <w:b/>
          <w:bCs/>
        </w:rPr>
        <w:t xml:space="preserve"> </w:t>
      </w:r>
      <w:r w:rsidR="00EE0E40">
        <w:rPr>
          <w:b/>
          <w:bCs/>
        </w:rPr>
        <w:t xml:space="preserve">                              </w:t>
      </w:r>
      <w:r w:rsidR="000A5D0C">
        <w:rPr>
          <w:b/>
          <w:bCs/>
        </w:rPr>
        <w:t>3.</w:t>
      </w:r>
      <w:r w:rsidR="00EE0E40">
        <w:rPr>
          <w:b/>
          <w:bCs/>
        </w:rPr>
        <w:t xml:space="preserve"> </w:t>
      </w:r>
      <w:r w:rsidRPr="00F819F1">
        <w:rPr>
          <w:b/>
          <w:bCs/>
        </w:rPr>
        <w:t>Оптимальный метод очистки</w:t>
      </w:r>
      <w:r w:rsidR="0092647B">
        <w:rPr>
          <w:b/>
          <w:bCs/>
        </w:rPr>
        <w:t xml:space="preserve">  </w:t>
      </w:r>
    </w:p>
    <w:p w:rsidR="00F819F1" w:rsidRPr="00F819F1" w:rsidRDefault="0092647B" w:rsidP="0092647B">
      <w:pPr>
        <w:outlineLvl w:val="0"/>
      </w:pPr>
      <w:r>
        <w:rPr>
          <w:b/>
          <w:bCs/>
        </w:rPr>
        <w:t xml:space="preserve">           </w:t>
      </w:r>
      <w:r w:rsidR="00F819F1" w:rsidRPr="00F819F1">
        <w:t xml:space="preserve">Как видно из анализа в настоящее время имеется достаточно широкий ассортимент методов, позволяющих перерабатывать сточные воды гальванопроизводства с получением пригодного для дальнейшего использования продукта и оборотной воды. Однако ни один метод нельзя считать универсальным, т.е. эффективным и дешевым, поэтому наиболее целесообразно применять </w:t>
      </w:r>
      <w:r w:rsidR="00F819F1" w:rsidRPr="00F819F1">
        <w:rPr>
          <w:b/>
          <w:bCs/>
        </w:rPr>
        <w:t>комбинированные</w:t>
      </w:r>
      <w:r w:rsidR="00F819F1" w:rsidRPr="00F819F1">
        <w:t xml:space="preserve"> методы.</w:t>
      </w:r>
    </w:p>
    <w:p w:rsidR="00F819F1" w:rsidRPr="00F819F1" w:rsidRDefault="00F819F1" w:rsidP="00F819F1">
      <w:r w:rsidRPr="00F819F1">
        <w:t>Этот метод имеет ряд преимуществ :</w:t>
      </w:r>
    </w:p>
    <w:p w:rsidR="00F819F1" w:rsidRPr="00F819F1" w:rsidRDefault="00F819F1" w:rsidP="00F819F1">
      <w:r w:rsidRPr="00F819F1">
        <w:t xml:space="preserve">1)повышение степени очистки достигается путем дополнения реагентного метода очистки адсорбционным (ионным); </w:t>
      </w:r>
    </w:p>
    <w:p w:rsidR="00F819F1" w:rsidRPr="00F819F1" w:rsidRDefault="00F819F1" w:rsidP="00F819F1">
      <w:r w:rsidRPr="00F819F1">
        <w:t xml:space="preserve">2)снижение на 65-70 % общего солесодержания сточных вод; </w:t>
      </w:r>
    </w:p>
    <w:p w:rsidR="00F819F1" w:rsidRPr="00F819F1" w:rsidRDefault="00F819F1" w:rsidP="00F819F1">
      <w:r w:rsidRPr="00F819F1">
        <w:t xml:space="preserve">3)возможность использования сточных вод в оборотном водоснабжении предприятия; </w:t>
      </w:r>
    </w:p>
    <w:p w:rsidR="00F819F1" w:rsidRPr="00F819F1" w:rsidRDefault="00F819F1" w:rsidP="00F819F1">
      <w:r w:rsidRPr="00F819F1">
        <w:t xml:space="preserve">4)возможность автоматизированного контроля и управления процессом;  </w:t>
      </w:r>
    </w:p>
    <w:p w:rsidR="00F819F1" w:rsidRPr="00F819F1" w:rsidRDefault="00F819F1" w:rsidP="00F819F1">
      <w:r w:rsidRPr="00F819F1">
        <w:t xml:space="preserve">5)простота и надежность в эксплуатации. </w:t>
      </w:r>
    </w:p>
    <w:p w:rsidR="00F819F1" w:rsidRPr="00F819F1" w:rsidRDefault="00F819F1" w:rsidP="00F819F1">
      <w:pPr>
        <w:spacing w:before="100" w:beforeAutospacing="1" w:after="100" w:afterAutospacing="1"/>
        <w:ind w:firstLine="708"/>
        <w:rPr>
          <w:noProof/>
        </w:rPr>
      </w:pPr>
      <w:r w:rsidRPr="00F819F1">
        <w:t xml:space="preserve">Хромсодержащие соединения поступают в сборник усреднитель где смешиваются с промывными водами, после чего промывные хромсодержащие сточные воды обезвреживаются реагентным методом с использованием сульфида натрия(реагент). После чего сточные воды снова направляются в сборник усреднитель, после чего корректируется </w:t>
      </w:r>
      <w:r w:rsidRPr="00F819F1">
        <w:rPr>
          <w:lang w:val="en-US"/>
        </w:rPr>
        <w:t>PH</w:t>
      </w:r>
      <w:r w:rsidRPr="00F819F1">
        <w:t xml:space="preserve"> среды и воды поступают на осветление, где отделяется шлам соединений металлов. После этих действий шлам уплотняется и обеззараживается, после чего утилизируется. Осветленная сточная вода направляется на дополнительное фильтрование, после чего поступает в угольный фильтр где дополнительно извлекаются растворимые примеси, включая соли хрома, затем для доочистки используется ионный метод, с помощью </w:t>
      </w:r>
      <w:r w:rsidRPr="00F819F1">
        <w:rPr>
          <w:lang w:val="en-US"/>
        </w:rPr>
        <w:t>Na</w:t>
      </w:r>
      <w:r w:rsidRPr="00F819F1">
        <w:t xml:space="preserve">-катионита и </w:t>
      </w:r>
      <w:r w:rsidRPr="00F819F1">
        <w:rPr>
          <w:lang w:val="en-US"/>
        </w:rPr>
        <w:t>H</w:t>
      </w:r>
      <w:r w:rsidRPr="00F819F1">
        <w:t>-катионита в аппаратах катионитной очистки, следующие действия нейтрализация, усреднение, обезвреживание и утилизация.</w:t>
      </w:r>
      <w:r w:rsidRPr="00F819F1">
        <w:rPr>
          <w:noProof/>
        </w:rPr>
        <w:t xml:space="preserve">  Общая схема очистки изображена на рисунке.</w:t>
      </w:r>
    </w:p>
    <w:p w:rsidR="00F819F1" w:rsidRPr="00F819F1" w:rsidRDefault="00F819F1" w:rsidP="00F819F1">
      <w:pPr>
        <w:spacing w:before="100" w:beforeAutospacing="1" w:after="100" w:afterAutospacing="1"/>
        <w:rPr>
          <w:noProof/>
        </w:rPr>
      </w:pPr>
    </w:p>
    <w:p w:rsidR="00F819F1" w:rsidRPr="00F819F1" w:rsidRDefault="00F819F1" w:rsidP="00F819F1">
      <w:pPr>
        <w:spacing w:before="100" w:beforeAutospacing="1" w:after="100" w:afterAutospacing="1"/>
        <w:rPr>
          <w:noProof/>
        </w:rPr>
      </w:pPr>
    </w:p>
    <w:p w:rsidR="00F819F1" w:rsidRPr="00F819F1" w:rsidRDefault="00226E23" w:rsidP="00F819F1">
      <w:pPr>
        <w:spacing w:before="100" w:beforeAutospacing="1" w:after="100" w:afterAutospacing="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watergeo.ru/typo3temp/pics/5096da983e.jpg" style="width:459.75pt;height:5in;visibility:visible">
            <v:imagedata r:id="rId7" o:title=""/>
          </v:shape>
        </w:pict>
      </w:r>
    </w:p>
    <w:p w:rsidR="00F819F1" w:rsidRPr="00F819F1" w:rsidRDefault="00F819F1" w:rsidP="00F819F1">
      <w:pPr>
        <w:spacing w:before="100" w:beforeAutospacing="1" w:after="100" w:afterAutospacing="1"/>
        <w:outlineLvl w:val="0"/>
      </w:pPr>
      <w:r w:rsidRPr="00F819F1">
        <w:t>Рис.1  Схема очистных сооружений гальванических стоков.</w:t>
      </w:r>
    </w:p>
    <w:p w:rsidR="00F819F1" w:rsidRPr="00F819F1" w:rsidRDefault="00F819F1" w:rsidP="00F819F1">
      <w:pPr>
        <w:spacing w:before="100" w:beforeAutospacing="1" w:after="100" w:afterAutospacing="1"/>
      </w:pPr>
    </w:p>
    <w:p w:rsidR="00F819F1" w:rsidRPr="00F819F1" w:rsidRDefault="00F819F1" w:rsidP="00F819F1">
      <w:pPr>
        <w:spacing w:before="100" w:beforeAutospacing="1" w:after="100" w:afterAutospacing="1"/>
      </w:pPr>
    </w:p>
    <w:p w:rsidR="00F819F1" w:rsidRPr="00F819F1" w:rsidRDefault="00F819F1" w:rsidP="00F819F1">
      <w:pPr>
        <w:spacing w:before="100" w:beforeAutospacing="1" w:after="100" w:afterAutospacing="1"/>
      </w:pPr>
    </w:p>
    <w:p w:rsidR="00F819F1" w:rsidRPr="00F819F1" w:rsidRDefault="00F819F1" w:rsidP="00F819F1">
      <w:pPr>
        <w:spacing w:before="100" w:beforeAutospacing="1" w:after="100" w:afterAutospacing="1"/>
      </w:pPr>
    </w:p>
    <w:p w:rsidR="00F819F1" w:rsidRPr="00F819F1" w:rsidRDefault="00F819F1" w:rsidP="00F819F1">
      <w:pPr>
        <w:spacing w:before="100" w:beforeAutospacing="1" w:after="100" w:afterAutospacing="1"/>
      </w:pPr>
    </w:p>
    <w:p w:rsidR="00F819F1" w:rsidRPr="00F819F1" w:rsidRDefault="00F819F1" w:rsidP="00F819F1">
      <w:pPr>
        <w:spacing w:before="100" w:beforeAutospacing="1" w:after="100" w:afterAutospacing="1"/>
      </w:pPr>
    </w:p>
    <w:p w:rsidR="00F819F1" w:rsidRPr="00F819F1" w:rsidRDefault="00F819F1" w:rsidP="00F819F1">
      <w:pPr>
        <w:spacing w:before="100" w:beforeAutospacing="1" w:after="100" w:afterAutospacing="1"/>
      </w:pPr>
    </w:p>
    <w:p w:rsidR="00F819F1" w:rsidRPr="00EE0E40" w:rsidRDefault="00F819F1" w:rsidP="00F819F1">
      <w:pPr>
        <w:spacing w:before="100" w:beforeAutospacing="1" w:after="100" w:afterAutospacing="1"/>
      </w:pPr>
      <w:r w:rsidRPr="00F819F1">
        <w:rPr>
          <w:b/>
          <w:bCs/>
        </w:rPr>
        <w:t xml:space="preserve"> </w:t>
      </w:r>
      <w:r w:rsidRPr="00EE0E40">
        <w:t>Описание технологической схемы очистных сооружений комплексной очистки</w:t>
      </w:r>
    </w:p>
    <w:p w:rsidR="00F819F1" w:rsidRPr="00F819F1" w:rsidRDefault="00226E23" w:rsidP="00F819F1">
      <w:pPr>
        <w:spacing w:before="100" w:beforeAutospacing="1" w:after="100" w:afterAutospacing="1"/>
        <w:ind w:firstLine="708"/>
        <w:rPr>
          <w:bCs/>
        </w:rPr>
      </w:pPr>
      <w:r>
        <w:rPr>
          <w:bCs/>
        </w:rPr>
        <w:pict>
          <v:shapetype id="_x0000_t202" coordsize="21600,21600" o:spt="202" path="m,l,21600r21600,l21600,xe">
            <v:stroke joinstyle="miter"/>
            <v:path gradientshapeok="t" o:connecttype="rect"/>
          </v:shapetype>
          <v:shape id="_x0000_s1046" type="#_x0000_t202" style="position:absolute;left:0;text-align:left;margin-left:127.2pt;margin-top:87.9pt;width:17.25pt;height:22.05pt;z-index:251661824">
            <v:textbox>
              <w:txbxContent>
                <w:p w:rsidR="00F819F1" w:rsidRPr="00B907B3" w:rsidRDefault="00F819F1" w:rsidP="00F819F1">
                  <w:r>
                    <w:t>2</w:t>
                  </w:r>
                </w:p>
              </w:txbxContent>
            </v:textbox>
          </v:shape>
        </w:pict>
      </w:r>
      <w:r>
        <w:rPr>
          <w:bCs/>
        </w:rPr>
        <w:pict>
          <v:shape id="_x0000_s1049" type="#_x0000_t202" style="position:absolute;left:0;text-align:left;margin-left:216.45pt;margin-top:38.4pt;width:17.25pt;height:21.3pt;z-index:251664896">
            <v:textbox>
              <w:txbxContent>
                <w:p w:rsidR="00F819F1" w:rsidRPr="00B907B3" w:rsidRDefault="00F819F1" w:rsidP="00F819F1">
                  <w:r>
                    <w:t>5</w:t>
                  </w:r>
                </w:p>
              </w:txbxContent>
            </v:textbox>
          </v:shape>
        </w:pict>
      </w:r>
      <w:r>
        <w:rPr>
          <w:bCs/>
        </w:rPr>
        <w:pict>
          <v:shape id="_x0000_s1053" type="#_x0000_t202" style="position:absolute;left:0;text-align:left;margin-left:191.7pt;margin-top:156.9pt;width:10.5pt;height:15.75pt;z-index:251668992">
            <v:textbox>
              <w:txbxContent>
                <w:p w:rsidR="00F819F1" w:rsidRPr="00670827" w:rsidRDefault="00F819F1" w:rsidP="00F819F1">
                  <w:pPr>
                    <w:rPr>
                      <w:sz w:val="16"/>
                      <w:szCs w:val="16"/>
                    </w:rPr>
                  </w:pPr>
                  <w:r>
                    <w:rPr>
                      <w:sz w:val="16"/>
                      <w:szCs w:val="16"/>
                    </w:rPr>
                    <w:t>4</w:t>
                  </w:r>
                </w:p>
              </w:txbxContent>
            </v:textbox>
          </v:shape>
        </w:pict>
      </w:r>
      <w:r>
        <w:rPr>
          <w:bCs/>
        </w:rPr>
        <w:pict>
          <v:shapetype id="_x0000_t32" coordsize="21600,21600" o:spt="32" o:oned="t" path="m,l21600,21600e" filled="f">
            <v:path arrowok="t" fillok="f" o:connecttype="none"/>
            <o:lock v:ext="edit" shapetype="t"/>
          </v:shapetype>
          <v:shape id="_x0000_s1052" type="#_x0000_t32" style="position:absolute;left:0;text-align:left;margin-left:188.7pt;margin-top:156.9pt;width:4.5pt;height:0;z-index:251667968" o:connectortype="straight"/>
        </w:pict>
      </w:r>
      <w:r>
        <w:rPr>
          <w:bCs/>
        </w:rPr>
        <w:pict>
          <v:shape id="_x0000_s1051" type="#_x0000_t32" style="position:absolute;left:0;text-align:left;margin-left:188.7pt;margin-top:149.15pt;width:0;height:7.75pt;z-index:251666944" o:connectortype="straight"/>
        </w:pict>
      </w:r>
      <w:r>
        <w:rPr>
          <w:bCs/>
        </w:rPr>
        <w:pict>
          <v:shape id="_x0000_s1050" type="#_x0000_t32" style="position:absolute;left:0;text-align:left;margin-left:207.45pt;margin-top:45.9pt;width:9pt;height:9.75pt;flip:y;z-index:251665920" o:connectortype="straight"/>
        </w:pict>
      </w:r>
      <w:r>
        <w:rPr>
          <w:bCs/>
        </w:rPr>
        <w:pict>
          <v:shape id="_x0000_s1048" type="#_x0000_t32" style="position:absolute;left:0;text-align:left;margin-left:199.2pt;margin-top:101.4pt;width:17.25pt;height:3.75pt;flip:y;z-index:251663872" o:connectortype="straight"/>
        </w:pict>
      </w:r>
      <w:r>
        <w:rPr>
          <w:bCs/>
        </w:rPr>
        <w:pict>
          <v:shape id="_x0000_s1047" type="#_x0000_t202" style="position:absolute;left:0;text-align:left;margin-left:216.45pt;margin-top:87.9pt;width:17.25pt;height:17.25pt;z-index:251662848">
            <v:textbox>
              <w:txbxContent>
                <w:p w:rsidR="00F819F1" w:rsidRPr="00B907B3" w:rsidRDefault="00F819F1" w:rsidP="00F819F1">
                  <w:r>
                    <w:t>6</w:t>
                  </w:r>
                </w:p>
              </w:txbxContent>
            </v:textbox>
          </v:shape>
        </w:pict>
      </w:r>
      <w:r>
        <w:rPr>
          <w:bCs/>
        </w:rPr>
        <w:pict>
          <v:shape id="_x0000_s1045" type="#_x0000_t32" style="position:absolute;left:0;text-align:left;margin-left:144.45pt;margin-top:45.9pt;width:9pt;height:9.75pt;flip:x y;z-index:251660800" o:connectortype="straight"/>
        </w:pict>
      </w:r>
      <w:r>
        <w:rPr>
          <w:bCs/>
        </w:rPr>
        <w:pict>
          <v:shape id="_x0000_s1043" type="#_x0000_t202" style="position:absolute;left:0;text-align:left;margin-left:127.2pt;margin-top:38.4pt;width:17.25pt;height:17.25pt;z-index:251658752">
            <v:textbox>
              <w:txbxContent>
                <w:p w:rsidR="00F819F1" w:rsidRPr="00B907B3" w:rsidRDefault="00F819F1" w:rsidP="00F819F1">
                  <w:pPr>
                    <w:rPr>
                      <w:sz w:val="16"/>
                      <w:szCs w:val="16"/>
                    </w:rPr>
                  </w:pPr>
                  <w:r>
                    <w:rPr>
                      <w:sz w:val="16"/>
                      <w:szCs w:val="16"/>
                    </w:rPr>
                    <w:t>1</w:t>
                  </w:r>
                </w:p>
              </w:txbxContent>
            </v:textbox>
          </v:shape>
        </w:pict>
      </w:r>
      <w:r>
        <w:rPr>
          <w:bCs/>
        </w:rPr>
        <w:pict>
          <v:shape id="_x0000_s1044" type="#_x0000_t32" style="position:absolute;left:0;text-align:left;margin-left:144.45pt;margin-top:105.15pt;width:20.25pt;height:0;flip:x;z-index:251659776" o:connectortype="straight"/>
        </w:pict>
      </w:r>
      <w:r>
        <w:rPr>
          <w:bCs/>
        </w:rPr>
        <w:pict>
          <v:rect id="_x0000_s1042" style="position:absolute;left:0;text-align:left;margin-left:265.2pt;margin-top:149.15pt;width:9.75pt;height:7.75pt;z-index:251657728" strokecolor="white"/>
        </w:pict>
      </w:r>
      <w:r>
        <w:rPr>
          <w:bCs/>
        </w:rPr>
        <w:pict>
          <v:shape id="_x0000_s1041" type="#_x0000_t32" style="position:absolute;left:0;text-align:left;margin-left:260.7pt;margin-top:233.15pt;width:14.25pt;height:0;flip:x;z-index:251656704" o:connectortype="straight"/>
        </w:pict>
      </w:r>
      <w:r>
        <w:rPr>
          <w:bCs/>
        </w:rPr>
        <w:pict>
          <v:rect id="_x0000_s1040" style="position:absolute;left:0;text-align:left;margin-left:260.7pt;margin-top:233.2pt;width:8.25pt;height:9.2pt;z-index:251655680" strokecolor="white"/>
        </w:pict>
      </w:r>
      <w:r>
        <w:rPr>
          <w:bCs/>
        </w:rPr>
        <w:pict>
          <v:shape id="_x0000_s1039" type="#_x0000_t32" style="position:absolute;left:0;text-align:left;margin-left:260.7pt;margin-top:233.2pt;width:26.25pt;height:0;flip:x;z-index:251654656" o:connectortype="straight"/>
        </w:pict>
      </w:r>
      <w:r>
        <w:rPr>
          <w:bCs/>
        </w:rPr>
        <w:pict>
          <v:shape id="_x0000_s1038" type="#_x0000_t32" style="position:absolute;left:0;text-align:left;margin-left:164.7pt;margin-top:156.9pt;width:9pt;height:0;z-index:251653632" o:connectortype="straight"/>
        </w:pict>
      </w:r>
      <w:r>
        <w:rPr>
          <w:bCs/>
        </w:rPr>
        <w:pict>
          <v:shape id="_x0000_s1037" type="#_x0000_t202" style="position:absolute;left:0;text-align:left;margin-left:169.2pt;margin-top:156.9pt;width:10.5pt;height:15.75pt;z-index:251652608">
            <v:textbox>
              <w:txbxContent>
                <w:p w:rsidR="00F819F1" w:rsidRPr="00670827" w:rsidRDefault="00F819F1" w:rsidP="00F819F1">
                  <w:pPr>
                    <w:rPr>
                      <w:sz w:val="16"/>
                      <w:szCs w:val="16"/>
                    </w:rPr>
                  </w:pPr>
                  <w:r>
                    <w:rPr>
                      <w:sz w:val="16"/>
                      <w:szCs w:val="16"/>
                    </w:rPr>
                    <w:t>3</w:t>
                  </w:r>
                </w:p>
              </w:txbxContent>
            </v:textbox>
          </v:shape>
        </w:pict>
      </w:r>
      <w:r>
        <w:rPr>
          <w:bCs/>
        </w:rPr>
        <w:pict>
          <v:shape id="_x0000_s1036" type="#_x0000_t32" style="position:absolute;left:0;text-align:left;margin-left:164.7pt;margin-top:149.15pt;width:0;height:7.75pt;z-index:251651584" o:connectortype="straight"/>
        </w:pict>
      </w:r>
      <w:r>
        <w:rPr>
          <w:bCs/>
        </w:rPr>
        <w:pict>
          <v:shape id="_x0000_s1026" type="#_x0000_t202" style="position:absolute;left:0;text-align:left;margin-left:260.7pt;margin-top:156.9pt;width:26.25pt;height:80.25pt;z-index:251646464" strokecolor="white">
            <v:textbox style="layout-flow:vertical;mso-layout-flow-alt:bottom-to-top;mso-next-textbox:#_x0000_s1026">
              <w:txbxContent>
                <w:p w:rsidR="00F819F1" w:rsidRPr="00EF1F99" w:rsidRDefault="00F819F1" w:rsidP="00F819F1">
                  <w:pPr>
                    <w:rPr>
                      <w:color w:val="000000"/>
                      <w:sz w:val="16"/>
                      <w:szCs w:val="16"/>
                    </w:rPr>
                  </w:pPr>
                  <w:r w:rsidRPr="00EF1F99">
                    <w:rPr>
                      <w:color w:val="000000"/>
                      <w:sz w:val="16"/>
                      <w:szCs w:val="16"/>
                    </w:rPr>
                    <w:t>Осветлённая вода</w:t>
                  </w:r>
                </w:p>
              </w:txbxContent>
            </v:textbox>
          </v:shape>
        </w:pict>
      </w:r>
      <w:r>
        <w:rPr>
          <w:bCs/>
        </w:rPr>
        <w:pict>
          <v:shape id="_x0000_s1035" type="#_x0000_t32" style="position:absolute;left:0;text-align:left;margin-left:286.95pt;margin-top:149.15pt;width:0;height:84pt;flip:y;z-index:251650560" o:connectortype="straight">
            <v:stroke endarrow="block"/>
          </v:shape>
        </w:pict>
      </w:r>
      <w:r>
        <w:rPr>
          <w:bCs/>
        </w:rPr>
        <w:pict>
          <v:group id="_x0000_s1027" style="position:absolute;left:0;text-align:left;margin-left:-6.3pt;margin-top:8.4pt;width:415.5pt;height:216.75pt;z-index:251647488" coordorigin="2025,1440" coordsize="8310,4335">
            <v:shape id="_x0000_s1028" type="#_x0000_t202" style="position:absolute;left:3285;top:1440;width:1935;height:405">
              <v:textbox style="mso-next-textbox:#_x0000_s1028">
                <w:txbxContent>
                  <w:p w:rsidR="00F819F1" w:rsidRPr="00470BB7" w:rsidRDefault="00F819F1" w:rsidP="00F819F1">
                    <w:pPr>
                      <w:rPr>
                        <w:sz w:val="20"/>
                        <w:szCs w:val="20"/>
                        <w:lang w:val="en-US"/>
                      </w:rPr>
                    </w:pPr>
                    <w:r w:rsidRPr="00470BB7">
                      <w:rPr>
                        <w:sz w:val="20"/>
                        <w:szCs w:val="20"/>
                      </w:rPr>
                      <w:t xml:space="preserve">Корректировка </w:t>
                    </w:r>
                    <w:r w:rsidRPr="00470BB7">
                      <w:rPr>
                        <w:sz w:val="20"/>
                        <w:szCs w:val="20"/>
                        <w:lang w:val="en-US"/>
                      </w:rPr>
                      <w:t>pH</w:t>
                    </w:r>
                  </w:p>
                </w:txbxContent>
              </v:textbox>
            </v:shape>
            <v:shape id="_x0000_s1029" type="#_x0000_t202" style="position:absolute;left:6300;top:1455;width:1230;height:390">
              <v:textbox style="mso-next-textbox:#_x0000_s1029">
                <w:txbxContent>
                  <w:p w:rsidR="00F819F1" w:rsidRPr="00470BB7" w:rsidRDefault="00F819F1" w:rsidP="00F819F1">
                    <w:r>
                      <w:t>реагенты</w:t>
                    </w:r>
                  </w:p>
                </w:txbxContent>
              </v:textbox>
            </v:shape>
            <v:shape id="_x0000_s1030" type="#_x0000_t202" style="position:absolute;left:2025;top:3375;width:975;height:735">
              <v:textbox style="mso-next-textbox:#_x0000_s1030">
                <w:txbxContent>
                  <w:p w:rsidR="00F819F1" w:rsidRDefault="00F819F1" w:rsidP="00F819F1">
                    <w:pPr>
                      <w:jc w:val="center"/>
                      <w:rPr>
                        <w:sz w:val="18"/>
                        <w:szCs w:val="18"/>
                      </w:rPr>
                    </w:pPr>
                    <w:r>
                      <w:rPr>
                        <w:sz w:val="18"/>
                        <w:szCs w:val="18"/>
                      </w:rPr>
                      <w:t>Сточная</w:t>
                    </w:r>
                  </w:p>
                  <w:p w:rsidR="00F819F1" w:rsidRPr="00470BB7" w:rsidRDefault="00F819F1" w:rsidP="00F819F1">
                    <w:pPr>
                      <w:jc w:val="center"/>
                      <w:rPr>
                        <w:sz w:val="18"/>
                        <w:szCs w:val="18"/>
                      </w:rPr>
                    </w:pPr>
                    <w:r>
                      <w:rPr>
                        <w:sz w:val="18"/>
                        <w:szCs w:val="18"/>
                      </w:rPr>
                      <w:t>вода</w:t>
                    </w:r>
                  </w:p>
                </w:txbxContent>
              </v:textbox>
            </v:shape>
            <v:shape id="_x0000_s1031" type="#_x0000_t202" style="position:absolute;left:5535;top:5355;width:840;height:420">
              <v:textbox style="mso-next-textbox:#_x0000_s1031">
                <w:txbxContent>
                  <w:p w:rsidR="00F819F1" w:rsidRPr="00470BB7" w:rsidRDefault="00F819F1" w:rsidP="00F819F1">
                    <w:pPr>
                      <w:rPr>
                        <w:sz w:val="18"/>
                        <w:szCs w:val="18"/>
                      </w:rPr>
                    </w:pPr>
                    <w:r>
                      <w:rPr>
                        <w:sz w:val="18"/>
                        <w:szCs w:val="18"/>
                      </w:rPr>
                      <w:t>осадок</w:t>
                    </w:r>
                  </w:p>
                </w:txbxContent>
              </v:textbox>
            </v:shape>
            <v:shape id="_x0000_s1032" type="#_x0000_t202" style="position:absolute;left:8580;top:3375;width:1755;height:675">
              <v:textbox style="mso-next-textbox:#_x0000_s1032">
                <w:txbxContent>
                  <w:p w:rsidR="00F819F1" w:rsidRPr="00470BB7" w:rsidRDefault="00F819F1" w:rsidP="00F819F1">
                    <w:pPr>
                      <w:jc w:val="center"/>
                      <w:rPr>
                        <w:sz w:val="18"/>
                        <w:szCs w:val="18"/>
                      </w:rPr>
                    </w:pPr>
                    <w:r w:rsidRPr="00470BB7">
                      <w:rPr>
                        <w:sz w:val="18"/>
                        <w:szCs w:val="18"/>
                      </w:rPr>
                      <w:t>Очищенная вода</w:t>
                    </w:r>
                  </w:p>
                  <w:p w:rsidR="00F819F1" w:rsidRPr="00470BB7" w:rsidRDefault="00F819F1" w:rsidP="00F819F1">
                    <w:pPr>
                      <w:jc w:val="center"/>
                      <w:rPr>
                        <w:sz w:val="18"/>
                        <w:szCs w:val="18"/>
                      </w:rPr>
                    </w:pPr>
                    <w:r>
                      <w:rPr>
                        <w:sz w:val="18"/>
                        <w:szCs w:val="18"/>
                      </w:rPr>
                      <w:t>н</w:t>
                    </w:r>
                    <w:r w:rsidRPr="00470BB7">
                      <w:rPr>
                        <w:sz w:val="18"/>
                        <w:szCs w:val="18"/>
                      </w:rPr>
                      <w:t>а слив</w:t>
                    </w:r>
                  </w:p>
                </w:txbxContent>
              </v:textbox>
            </v:shape>
          </v:group>
        </w:pict>
      </w:r>
      <w:r>
        <w:rPr>
          <w:bCs/>
        </w:rPr>
        <w:pict>
          <v:shape id="Рисунок 2" o:spid="_x0000_i1026" type="#_x0000_t75" style="width:374.25pt;height:273pt;visibility:visible">
            <v:imagedata r:id="rId8" o:title="ларичкина"/>
          </v:shape>
        </w:pict>
      </w:r>
    </w:p>
    <w:p w:rsidR="00F819F1" w:rsidRPr="00F819F1" w:rsidRDefault="00226E23" w:rsidP="00F819F1">
      <w:pPr>
        <w:spacing w:before="100" w:beforeAutospacing="1" w:after="100" w:afterAutospacing="1"/>
        <w:ind w:firstLine="708"/>
        <w:outlineLvl w:val="0"/>
        <w:rPr>
          <w:bCs/>
        </w:rPr>
      </w:pPr>
      <w:r>
        <w:rPr>
          <w:bCs/>
        </w:rPr>
        <w:pict>
          <v:shape id="_x0000_s1034" type="#_x0000_t32" style="position:absolute;left:0;text-align:left;margin-left:279.85pt;margin-top:237.75pt;width:22.5pt;height:0;z-index:251649536" o:connectortype="straight" strokeweight="2pt"/>
        </w:pict>
      </w:r>
      <w:r>
        <w:rPr>
          <w:bCs/>
        </w:rPr>
        <w:pict>
          <v:rect id="_x0000_s1033" style="position:absolute;left:0;text-align:left;margin-left:291.45pt;margin-top:150pt;width:7.15pt;height:7.5pt;z-index:251648512" strokecolor="white"/>
        </w:pict>
      </w:r>
      <w:r w:rsidR="00F819F1" w:rsidRPr="00F819F1">
        <w:rPr>
          <w:bCs/>
        </w:rPr>
        <w:t>Рис. 2 Блок-схема очистки сточных вод реагентным методом</w:t>
      </w:r>
    </w:p>
    <w:p w:rsidR="00F819F1" w:rsidRPr="00F819F1" w:rsidRDefault="00F819F1" w:rsidP="00F819F1">
      <w:pPr>
        <w:spacing w:before="100" w:beforeAutospacing="1" w:after="100" w:afterAutospacing="1"/>
        <w:ind w:firstLine="708"/>
        <w:rPr>
          <w:bCs/>
        </w:rPr>
      </w:pPr>
      <w:r w:rsidRPr="00F819F1">
        <w:rPr>
          <w:bCs/>
        </w:rPr>
        <w:t>Е</w:t>
      </w:r>
      <w:r w:rsidRPr="00F819F1">
        <w:rPr>
          <w:bCs/>
          <w:vertAlign w:val="subscript"/>
        </w:rPr>
        <w:t>1</w:t>
      </w:r>
      <w:r w:rsidRPr="00F819F1">
        <w:rPr>
          <w:bCs/>
        </w:rPr>
        <w:t>,Е</w:t>
      </w:r>
      <w:r w:rsidRPr="00F819F1">
        <w:rPr>
          <w:bCs/>
          <w:vertAlign w:val="subscript"/>
        </w:rPr>
        <w:t>2</w:t>
      </w:r>
      <w:r w:rsidRPr="00F819F1">
        <w:rPr>
          <w:bCs/>
        </w:rPr>
        <w:t>- ёмкости для приготовления реагентов;</w:t>
      </w:r>
    </w:p>
    <w:p w:rsidR="00F819F1" w:rsidRPr="00F819F1" w:rsidRDefault="00F819F1" w:rsidP="00F819F1">
      <w:pPr>
        <w:spacing w:before="100" w:beforeAutospacing="1" w:after="100" w:afterAutospacing="1"/>
        <w:ind w:firstLine="708"/>
        <w:rPr>
          <w:bCs/>
        </w:rPr>
      </w:pPr>
      <w:r w:rsidRPr="00F819F1">
        <w:rPr>
          <w:bCs/>
        </w:rPr>
        <w:t>Н</w:t>
      </w:r>
      <w:r w:rsidRPr="00F819F1">
        <w:rPr>
          <w:bCs/>
          <w:vertAlign w:val="subscript"/>
        </w:rPr>
        <w:t>1</w:t>
      </w:r>
      <w:r w:rsidRPr="00F819F1">
        <w:rPr>
          <w:bCs/>
        </w:rPr>
        <w:t>,Н</w:t>
      </w:r>
      <w:r w:rsidRPr="00F819F1">
        <w:rPr>
          <w:bCs/>
          <w:vertAlign w:val="subscript"/>
        </w:rPr>
        <w:t>2</w:t>
      </w:r>
      <w:r w:rsidRPr="00F819F1">
        <w:rPr>
          <w:bCs/>
        </w:rPr>
        <w:t>-насосы для дозирования реагентов;</w:t>
      </w:r>
    </w:p>
    <w:p w:rsidR="00F819F1" w:rsidRPr="00F819F1" w:rsidRDefault="00F819F1" w:rsidP="00F819F1">
      <w:pPr>
        <w:spacing w:before="100" w:beforeAutospacing="1" w:after="100" w:afterAutospacing="1"/>
        <w:ind w:firstLine="708"/>
        <w:rPr>
          <w:bCs/>
        </w:rPr>
      </w:pPr>
      <w:r w:rsidRPr="00F819F1">
        <w:rPr>
          <w:bCs/>
        </w:rPr>
        <w:t>У- усреднитель разбавленных и концентрированных стоков;</w:t>
      </w:r>
    </w:p>
    <w:p w:rsidR="00F819F1" w:rsidRPr="00F819F1" w:rsidRDefault="00F819F1" w:rsidP="00F819F1">
      <w:pPr>
        <w:spacing w:before="100" w:beforeAutospacing="1" w:after="100" w:afterAutospacing="1"/>
        <w:ind w:firstLine="708"/>
        <w:rPr>
          <w:bCs/>
        </w:rPr>
      </w:pPr>
      <w:r w:rsidRPr="00F819F1">
        <w:rPr>
          <w:bCs/>
        </w:rPr>
        <w:t>ОТ - отстойник с тонкослойным модулем для ускорения процесса осаждения                    взвешенных веществ;</w:t>
      </w:r>
    </w:p>
    <w:p w:rsidR="00F819F1" w:rsidRPr="00F819F1" w:rsidRDefault="00F819F1" w:rsidP="00F819F1">
      <w:pPr>
        <w:spacing w:before="100" w:beforeAutospacing="1" w:after="100" w:afterAutospacing="1"/>
        <w:ind w:firstLine="708"/>
        <w:rPr>
          <w:bCs/>
        </w:rPr>
      </w:pPr>
      <w:r w:rsidRPr="00F819F1">
        <w:rPr>
          <w:bCs/>
        </w:rPr>
        <w:t>ФП - фильтр-пресс для обезвоживания осадка;</w:t>
      </w:r>
    </w:p>
    <w:p w:rsidR="00F819F1" w:rsidRPr="00F819F1" w:rsidRDefault="00F819F1" w:rsidP="00F819F1">
      <w:pPr>
        <w:spacing w:before="100" w:beforeAutospacing="1" w:after="100" w:afterAutospacing="1"/>
        <w:ind w:firstLine="708"/>
        <w:rPr>
          <w:bCs/>
        </w:rPr>
      </w:pPr>
      <w:r w:rsidRPr="00F819F1">
        <w:rPr>
          <w:bCs/>
        </w:rPr>
        <w:t>ФМ - узел фильтрации для доочистки от механических примесей.</w:t>
      </w:r>
    </w:p>
    <w:p w:rsidR="00F819F1" w:rsidRPr="00F819F1" w:rsidRDefault="00F819F1" w:rsidP="00F819F1">
      <w:pPr>
        <w:spacing w:before="100" w:beforeAutospacing="1" w:after="100" w:afterAutospacing="1"/>
        <w:ind w:firstLine="708"/>
        <w:rPr>
          <w:bCs/>
        </w:rPr>
      </w:pPr>
      <w:r w:rsidRPr="00F819F1">
        <w:rPr>
          <w:bCs/>
        </w:rPr>
        <w:t xml:space="preserve">Установка обеспечивает очистку сточных вод до норм ПДК для слива в канализацию. </w:t>
      </w:r>
      <w:r w:rsidRPr="00F819F1">
        <w:rPr>
          <w:bCs/>
        </w:rPr>
        <w:br/>
        <w:t>Производительность 1-25 м³/час. Степень очистки от солей тяжелых металлов - до 99,5 %.[9]</w:t>
      </w:r>
    </w:p>
    <w:p w:rsidR="00F819F1" w:rsidRPr="00F819F1" w:rsidRDefault="00F819F1" w:rsidP="00F819F1">
      <w:pPr>
        <w:spacing w:before="100" w:beforeAutospacing="1" w:after="100" w:afterAutospacing="1"/>
        <w:ind w:firstLine="708"/>
        <w:rPr>
          <w:bCs/>
        </w:rPr>
      </w:pPr>
      <w:r w:rsidRPr="00F819F1">
        <w:rPr>
          <w:bCs/>
        </w:rPr>
        <w:t>Кислотно-щелочные сточные воды собираются в усреднителе-накопителе. Из усреднителя с помощью насоса стоки подаются в реактор (3), В реакторе (3) смесь сточных вод подщелачивается, обычно раствором щелочи (в случае, когда рН не удовлетворяет нормам), который подается насосом (2) из расходной емкости (1).</w:t>
      </w:r>
    </w:p>
    <w:p w:rsidR="00F819F1" w:rsidRPr="00F819F1" w:rsidRDefault="00F819F1" w:rsidP="00F819F1">
      <w:pPr>
        <w:spacing w:before="100" w:beforeAutospacing="1" w:after="100" w:afterAutospacing="1"/>
        <w:ind w:firstLine="708"/>
        <w:rPr>
          <w:bCs/>
        </w:rPr>
      </w:pPr>
      <w:r w:rsidRPr="00F819F1">
        <w:rPr>
          <w:bCs/>
        </w:rPr>
        <w:t xml:space="preserve">Затем стоки, уже общим потоком, отводятся в химический реактор (4), в котором обрабатывается флокулянтом, дозируемым насосом (6) из емкости (5), для интенсификации процесса отстаивания сточных вод. </w:t>
      </w:r>
    </w:p>
    <w:p w:rsidR="00F819F1" w:rsidRPr="00F819F1" w:rsidRDefault="00F819F1" w:rsidP="00F819F1">
      <w:pPr>
        <w:spacing w:before="100" w:beforeAutospacing="1" w:after="100" w:afterAutospacing="1"/>
        <w:rPr>
          <w:bCs/>
        </w:rPr>
      </w:pPr>
      <w:r w:rsidRPr="00F819F1">
        <w:rPr>
          <w:bCs/>
        </w:rPr>
        <w:t xml:space="preserve"> </w:t>
      </w:r>
      <w:r w:rsidRPr="00F819F1">
        <w:rPr>
          <w:bCs/>
        </w:rPr>
        <w:tab/>
        <w:t>Далее стоки поступают в отстойник, в котором происходит осаждение малорастворимых соединений тяжелых металлов. После отстаивания осветленная вода отводится на глубокую доочистку на узел фильтрации для доочистки от механических примесей, в качестве, которого могут быть применены фильтры с различными фильтрующими загрузками.</w:t>
      </w:r>
    </w:p>
    <w:p w:rsidR="00F819F1" w:rsidRPr="00F819F1" w:rsidRDefault="00F819F1" w:rsidP="00F819F1">
      <w:pPr>
        <w:spacing w:before="100" w:beforeAutospacing="1" w:after="100" w:afterAutospacing="1"/>
        <w:ind w:firstLine="708"/>
        <w:rPr>
          <w:bCs/>
        </w:rPr>
      </w:pPr>
      <w:r w:rsidRPr="00F819F1">
        <w:rPr>
          <w:bCs/>
        </w:rPr>
        <w:t>Обработка образующихся в процессе очистки сточных вод осадков производится на узле обезвоживания в составе насоса подачи осадка  фильтр-пресса.</w:t>
      </w:r>
    </w:p>
    <w:p w:rsidR="00F819F1" w:rsidRPr="00F819F1" w:rsidRDefault="00F819F1" w:rsidP="00F819F1">
      <w:pPr>
        <w:spacing w:before="100" w:beforeAutospacing="1" w:after="100" w:afterAutospacing="1"/>
        <w:ind w:firstLine="708"/>
        <w:rPr>
          <w:bCs/>
        </w:rPr>
      </w:pPr>
      <w:r w:rsidRPr="00F819F1">
        <w:rPr>
          <w:bCs/>
        </w:rPr>
        <w:t xml:space="preserve">Осаждение образующихся в процессе реагентной обработки нерастворимых соединений осуществляется в отстойниках (предпочтительно вертикальных). Число отстойников принимается не менее двух. Для ускорения осветления нейтрализованных сточных вод рекомендуется добавлять к ним синтетический флокулянт – полиакриламид ([-CH2CH(CONH2)-]n) в количестве 2-5 на </w:t>
      </w:r>
      <w:smartTag w:uri="urn:schemas-microsoft-com:office:smarttags" w:element="metricconverter">
        <w:smartTagPr>
          <w:attr w:name="ProductID" w:val="1 м3"/>
        </w:smartTagPr>
        <w:r w:rsidRPr="00F819F1">
          <w:rPr>
            <w:bCs/>
          </w:rPr>
          <w:t>1 м3</w:t>
        </w:r>
      </w:smartTag>
      <w:r w:rsidRPr="00F819F1">
        <w:rPr>
          <w:bCs/>
        </w:rPr>
        <w:t xml:space="preserve"> сточных вод. Влажность осадка после отстойников 98-99,5%.</w:t>
      </w:r>
    </w:p>
    <w:p w:rsidR="00F819F1" w:rsidRPr="00F819F1" w:rsidRDefault="00F819F1" w:rsidP="00F819F1">
      <w:pPr>
        <w:spacing w:before="100" w:beforeAutospacing="1" w:after="100" w:afterAutospacing="1"/>
        <w:rPr>
          <w:b/>
          <w:bCs/>
        </w:rPr>
      </w:pPr>
    </w:p>
    <w:p w:rsidR="00F819F1" w:rsidRPr="00EE0E40" w:rsidRDefault="00F819F1" w:rsidP="00F819F1">
      <w:pPr>
        <w:spacing w:before="100" w:beforeAutospacing="1" w:after="100" w:afterAutospacing="1"/>
        <w:outlineLvl w:val="0"/>
        <w:rPr>
          <w:bCs/>
        </w:rPr>
      </w:pPr>
      <w:r w:rsidRPr="00EE0E40">
        <w:rPr>
          <w:bCs/>
        </w:rPr>
        <w:t>Расчет необходимых химических материалов</w:t>
      </w:r>
      <w:r w:rsidR="00EE0E40">
        <w:rPr>
          <w:bCs/>
        </w:rPr>
        <w:t>:</w:t>
      </w:r>
    </w:p>
    <w:p w:rsidR="00F819F1" w:rsidRPr="00F819F1" w:rsidRDefault="00F819F1" w:rsidP="00F819F1">
      <w:pPr>
        <w:spacing w:before="100" w:beforeAutospacing="1" w:after="100" w:afterAutospacing="1"/>
      </w:pPr>
      <w:r w:rsidRPr="00F819F1">
        <w:rPr>
          <w:lang w:val="en-US"/>
        </w:rPr>
        <w:t>V</w:t>
      </w:r>
      <w:r w:rsidRPr="00F819F1">
        <w:t>стоков=350 м</w:t>
      </w:r>
      <w:r w:rsidRPr="00F819F1">
        <w:rPr>
          <w:vertAlign w:val="superscript"/>
        </w:rPr>
        <w:t>3</w:t>
      </w:r>
      <w:r w:rsidRPr="00F819F1">
        <w:t>/ч = 8400000 л/сутки;</w:t>
      </w:r>
    </w:p>
    <w:p w:rsidR="00F819F1" w:rsidRPr="00F819F1" w:rsidRDefault="00F819F1" w:rsidP="00F819F1">
      <w:pPr>
        <w:spacing w:before="100" w:beforeAutospacing="1" w:after="100" w:afterAutospacing="1"/>
      </w:pPr>
      <w:r w:rsidRPr="00F819F1">
        <w:rPr>
          <w:lang w:val="en-US"/>
        </w:rPr>
        <w:t>Q</w:t>
      </w:r>
      <w:r w:rsidRPr="00F819F1">
        <w:t>(</w:t>
      </w:r>
      <w:r w:rsidRPr="00F819F1">
        <w:rPr>
          <w:lang w:val="en-US"/>
        </w:rPr>
        <w:t>Cr</w:t>
      </w:r>
      <w:r w:rsidRPr="00F819F1">
        <w:softHyphen/>
      </w:r>
      <w:r w:rsidRPr="00F819F1">
        <w:softHyphen/>
      </w:r>
      <w:r w:rsidRPr="00F819F1">
        <w:rPr>
          <w:vertAlign w:val="superscript"/>
        </w:rPr>
        <w:t>6+</w:t>
      </w:r>
      <w:r w:rsidRPr="00F819F1">
        <w:t xml:space="preserve">) = </w:t>
      </w:r>
      <w:r w:rsidRPr="00F819F1">
        <w:rPr>
          <w:lang w:val="en-US"/>
        </w:rPr>
        <w:t>V·C</w:t>
      </w:r>
      <w:r w:rsidRPr="00F819F1">
        <w:t>(</w:t>
      </w:r>
      <w:r w:rsidRPr="00F819F1">
        <w:rPr>
          <w:lang w:val="en-US"/>
        </w:rPr>
        <w:t>Cr</w:t>
      </w:r>
      <w:r w:rsidRPr="00F819F1">
        <w:rPr>
          <w:vertAlign w:val="superscript"/>
        </w:rPr>
        <w:t>6+</w:t>
      </w:r>
      <w:r w:rsidRPr="00F819F1">
        <w:t xml:space="preserve">) =8400000 </w:t>
      </w:r>
      <w:r w:rsidRPr="00F819F1">
        <w:rPr>
          <w:lang w:val="en-US"/>
        </w:rPr>
        <w:t>·</w:t>
      </w:r>
      <w:r w:rsidRPr="00F819F1">
        <w:t>0.5 =  мг/сутки =4.2 кг/сутки;</w:t>
      </w:r>
    </w:p>
    <w:p w:rsidR="00F819F1" w:rsidRPr="00F819F1" w:rsidRDefault="00F819F1" w:rsidP="00F819F1">
      <w:pPr>
        <w:rPr>
          <w:color w:val="000000"/>
        </w:rPr>
      </w:pPr>
      <w:r w:rsidRPr="00F819F1">
        <w:t xml:space="preserve">Таблица.  Теоретический расход реагентов на осаждение из растворов ионов некоторых металлов </w:t>
      </w:r>
    </w:p>
    <w:tbl>
      <w:tblPr>
        <w:tblW w:w="8310" w:type="dxa"/>
        <w:jc w:val="center"/>
        <w:tblCellSpacing w:w="0" w:type="dxa"/>
        <w:tblBorders>
          <w:top w:val="outset" w:sz="18" w:space="0" w:color="6C0084"/>
          <w:left w:val="outset" w:sz="18" w:space="0" w:color="6C0084"/>
          <w:bottom w:val="outset" w:sz="18" w:space="0" w:color="6C0084"/>
          <w:right w:val="outset" w:sz="18" w:space="0" w:color="6C0084"/>
        </w:tblBorders>
        <w:tblCellMar>
          <w:left w:w="0" w:type="dxa"/>
          <w:right w:w="0" w:type="dxa"/>
        </w:tblCellMar>
        <w:tblLook w:val="04A0" w:firstRow="1" w:lastRow="0" w:firstColumn="1" w:lastColumn="0" w:noHBand="0" w:noVBand="1"/>
      </w:tblPr>
      <w:tblGrid>
        <w:gridCol w:w="1140"/>
        <w:gridCol w:w="1668"/>
        <w:gridCol w:w="1572"/>
        <w:gridCol w:w="1572"/>
        <w:gridCol w:w="2358"/>
      </w:tblGrid>
      <w:tr w:rsidR="00F819F1" w:rsidRPr="00F819F1">
        <w:trPr>
          <w:cantSplit/>
          <w:tblCellSpacing w:w="0" w:type="dxa"/>
          <w:jc w:val="center"/>
        </w:trPr>
        <w:tc>
          <w:tcPr>
            <w:tcW w:w="1065" w:type="dxa"/>
            <w:vMerge w:val="restart"/>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rPr>
                <w:b/>
                <w:bCs/>
              </w:rPr>
              <w:t>Ион</w:t>
            </w:r>
          </w:p>
        </w:tc>
        <w:tc>
          <w:tcPr>
            <w:tcW w:w="6705" w:type="dxa"/>
            <w:gridSpan w:val="4"/>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rPr>
                <w:b/>
                <w:bCs/>
              </w:rPr>
              <w:t>Расход реагента в граммах на 1г иона металла,</w:t>
            </w:r>
          </w:p>
        </w:tc>
      </w:tr>
      <w:tr w:rsidR="00F819F1" w:rsidRPr="00F819F1">
        <w:trPr>
          <w:tblCellSpacing w:w="0" w:type="dxa"/>
          <w:jc w:val="center"/>
        </w:trPr>
        <w:tc>
          <w:tcPr>
            <w:tcW w:w="0" w:type="auto"/>
            <w:vMerge/>
            <w:tcBorders>
              <w:top w:val="single" w:sz="6" w:space="0" w:color="6C0084"/>
              <w:left w:val="single" w:sz="6" w:space="0" w:color="6C0084"/>
              <w:bottom w:val="single" w:sz="6" w:space="0" w:color="6C0084"/>
              <w:right w:val="single" w:sz="6" w:space="0" w:color="6C0084"/>
            </w:tcBorders>
            <w:vAlign w:val="center"/>
          </w:tcPr>
          <w:p w:rsidR="00F819F1" w:rsidRPr="00F819F1" w:rsidRDefault="00F819F1" w:rsidP="00F819F1">
            <w:pPr>
              <w:spacing w:line="240" w:lineRule="auto"/>
            </w:pPr>
          </w:p>
        </w:tc>
        <w:tc>
          <w:tcPr>
            <w:tcW w:w="1560" w:type="dxa"/>
            <w:tcBorders>
              <w:top w:val="single" w:sz="6" w:space="0" w:color="6C0084"/>
              <w:left w:val="outset"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rPr>
                <w:b/>
                <w:bCs/>
              </w:rPr>
              <w:t>СаО</w:t>
            </w:r>
          </w:p>
        </w:tc>
        <w:tc>
          <w:tcPr>
            <w:tcW w:w="1470" w:type="dxa"/>
            <w:tcBorders>
              <w:top w:val="outset"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rPr>
                <w:b/>
                <w:bCs/>
              </w:rPr>
              <w:t>Са(ОН)</w:t>
            </w:r>
            <w:r w:rsidRPr="00F819F1">
              <w:rPr>
                <w:b/>
                <w:bCs/>
                <w:vertAlign w:val="subscript"/>
              </w:rPr>
              <w:t>2</w:t>
            </w:r>
          </w:p>
        </w:tc>
        <w:tc>
          <w:tcPr>
            <w:tcW w:w="1470" w:type="dxa"/>
            <w:tcBorders>
              <w:top w:val="outset"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rPr>
                <w:b/>
                <w:bCs/>
              </w:rPr>
              <w:t>NаОН</w:t>
            </w:r>
          </w:p>
        </w:tc>
        <w:tc>
          <w:tcPr>
            <w:tcW w:w="1485" w:type="dxa"/>
            <w:tcBorders>
              <w:top w:val="outset"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rPr>
                <w:b/>
                <w:bCs/>
              </w:rPr>
              <w:t>Nа</w:t>
            </w:r>
            <w:r w:rsidRPr="00F819F1">
              <w:rPr>
                <w:b/>
                <w:bCs/>
                <w:vertAlign w:val="subscript"/>
              </w:rPr>
              <w:t>2</w:t>
            </w:r>
            <w:r w:rsidRPr="00F819F1">
              <w:rPr>
                <w:b/>
                <w:bCs/>
              </w:rPr>
              <w:t>СО</w:t>
            </w:r>
            <w:r w:rsidRPr="00F819F1">
              <w:rPr>
                <w:b/>
                <w:bCs/>
                <w:vertAlign w:val="subscript"/>
              </w:rPr>
              <w:t>3</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Fe</w:t>
            </w:r>
            <w:r w:rsidRPr="00F819F1">
              <w:rPr>
                <w:vertAlign w:val="superscript"/>
              </w:rPr>
              <w:t>3+</w:t>
            </w: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1,51</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1,99</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2,15</w:t>
            </w: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2,85</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Al</w:t>
            </w:r>
            <w:r w:rsidRPr="00F819F1">
              <w:rPr>
                <w:vertAlign w:val="superscript"/>
              </w:rPr>
              <w:t>3+</w:t>
            </w: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3,11</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4,11</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4,45</w:t>
            </w: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4,89</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Cu</w:t>
            </w:r>
            <w:r w:rsidRPr="00F819F1">
              <w:rPr>
                <w:vertAlign w:val="superscript"/>
              </w:rPr>
              <w:t>2+</w:t>
            </w: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0,88</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1,16</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1,26</w:t>
            </w: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1,67</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Zn</w:t>
            </w:r>
            <w:r w:rsidRPr="00F819F1">
              <w:rPr>
                <w:vertAlign w:val="superscript"/>
              </w:rPr>
              <w:t>2+</w:t>
            </w: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0,86</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1,13</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1,22</w:t>
            </w: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1,62</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Fe</w:t>
            </w:r>
            <w:r w:rsidRPr="00F819F1">
              <w:rPr>
                <w:vertAlign w:val="superscript"/>
              </w:rPr>
              <w:t>2+</w:t>
            </w: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1,00</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1,32</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1,43</w:t>
            </w: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1,90</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Pb</w:t>
            </w:r>
            <w:r w:rsidRPr="00F819F1">
              <w:rPr>
                <w:vertAlign w:val="superscript"/>
              </w:rPr>
              <w:t>2+</w:t>
            </w: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0,27</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0,36</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0,39</w:t>
            </w: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0,51</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Cd</w:t>
            </w:r>
            <w:r w:rsidRPr="00F819F1">
              <w:rPr>
                <w:vertAlign w:val="superscript"/>
              </w:rPr>
              <w:t>2+</w:t>
            </w: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0,50</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0,66</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0,71</w:t>
            </w: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0,94</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Ni</w:t>
            </w:r>
            <w:r w:rsidRPr="00F819F1">
              <w:rPr>
                <w:vertAlign w:val="superscript"/>
              </w:rPr>
              <w:t>2+</w:t>
            </w: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0,95</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1,26</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1,36</w:t>
            </w: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1,81</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Cr</w:t>
            </w:r>
            <w:r w:rsidRPr="00F819F1">
              <w:rPr>
                <w:vertAlign w:val="superscript"/>
              </w:rPr>
              <w:t>3+</w:t>
            </w: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1,61</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1,13</w:t>
            </w: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2,31</w:t>
            </w: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r w:rsidRPr="00F819F1">
              <w:t>3,06</w:t>
            </w: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rPr>
                <w:lang w:val="en-US"/>
              </w:rPr>
            </w:pP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p>
        </w:tc>
      </w:tr>
      <w:tr w:rsidR="00F819F1" w:rsidRPr="00F819F1">
        <w:trPr>
          <w:tblCellSpacing w:w="0" w:type="dxa"/>
          <w:jc w:val="center"/>
        </w:trPr>
        <w:tc>
          <w:tcPr>
            <w:tcW w:w="106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p>
        </w:tc>
        <w:tc>
          <w:tcPr>
            <w:tcW w:w="156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p>
        </w:tc>
        <w:tc>
          <w:tcPr>
            <w:tcW w:w="1470"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p>
        </w:tc>
        <w:tc>
          <w:tcPr>
            <w:tcW w:w="1485" w:type="dxa"/>
            <w:tcBorders>
              <w:top w:val="single" w:sz="6" w:space="0" w:color="6C0084"/>
              <w:left w:val="single" w:sz="6" w:space="0" w:color="6C0084"/>
              <w:bottom w:val="single" w:sz="6" w:space="0" w:color="6C0084"/>
              <w:right w:val="single" w:sz="6" w:space="0" w:color="6C0084"/>
            </w:tcBorders>
            <w:tcMar>
              <w:top w:w="15" w:type="dxa"/>
              <w:left w:w="60" w:type="dxa"/>
              <w:bottom w:w="15" w:type="dxa"/>
              <w:right w:w="60" w:type="dxa"/>
            </w:tcMar>
            <w:vAlign w:val="center"/>
          </w:tcPr>
          <w:p w:rsidR="00F819F1" w:rsidRPr="00F819F1" w:rsidRDefault="00F819F1" w:rsidP="00F819F1">
            <w:pPr>
              <w:spacing w:before="100" w:beforeAutospacing="1" w:line="240" w:lineRule="auto"/>
              <w:jc w:val="center"/>
            </w:pPr>
          </w:p>
        </w:tc>
      </w:tr>
    </w:tbl>
    <w:p w:rsidR="00F819F1" w:rsidRPr="00F819F1" w:rsidRDefault="00F819F1" w:rsidP="00F819F1">
      <w:pPr>
        <w:rPr>
          <w:color w:val="000000"/>
        </w:rPr>
      </w:pPr>
    </w:p>
    <w:p w:rsidR="00F819F1" w:rsidRPr="00F819F1" w:rsidRDefault="00F819F1" w:rsidP="00F819F1">
      <w:pPr>
        <w:ind w:left="-180" w:firstLine="360"/>
        <w:outlineLvl w:val="0"/>
      </w:pPr>
      <w:r w:rsidRPr="00F819F1">
        <w:t>Очистка сточных вод от шестивалентного хрома</w:t>
      </w:r>
    </w:p>
    <w:p w:rsidR="00F819F1" w:rsidRPr="00F819F1" w:rsidRDefault="00F819F1" w:rsidP="00F819F1">
      <w:pPr>
        <w:ind w:left="-180" w:firstLine="360"/>
      </w:pPr>
      <w:r w:rsidRPr="00F819F1">
        <w:t>Сточные воды обрабатываются в две стадии:</w:t>
      </w:r>
    </w:p>
    <w:p w:rsidR="00F819F1" w:rsidRPr="00F819F1" w:rsidRDefault="00F819F1" w:rsidP="00F819F1">
      <w:pPr>
        <w:ind w:left="-180" w:firstLine="360"/>
      </w:pPr>
      <w:r w:rsidRPr="00F819F1">
        <w:t>1) восстановление шестивалентного хрома до трехвалентного;</w:t>
      </w:r>
    </w:p>
    <w:p w:rsidR="00F819F1" w:rsidRPr="00F819F1" w:rsidRDefault="00F819F1" w:rsidP="00F819F1">
      <w:pPr>
        <w:ind w:left="-180" w:firstLine="360"/>
      </w:pPr>
      <w:r w:rsidRPr="00F819F1">
        <w:t>2) осаждение трехвалентного хрома в виде гидроксида.</w:t>
      </w:r>
    </w:p>
    <w:p w:rsidR="00F819F1" w:rsidRPr="00F819F1" w:rsidRDefault="00F819F1" w:rsidP="00F819F1">
      <w:pPr>
        <w:ind w:left="-180" w:firstLine="360"/>
      </w:pPr>
      <w:r w:rsidRPr="00F819F1">
        <w:t xml:space="preserve">Восстановление </w:t>
      </w:r>
      <w:r w:rsidRPr="00F819F1">
        <w:rPr>
          <w:lang w:val="en-US"/>
        </w:rPr>
        <w:t>Cr</w:t>
      </w:r>
      <w:r w:rsidRPr="00F819F1">
        <w:rPr>
          <w:vertAlign w:val="superscript"/>
        </w:rPr>
        <w:t>+6</w:t>
      </w:r>
      <w:r w:rsidRPr="00F819F1">
        <w:t xml:space="preserve">  до </w:t>
      </w:r>
      <w:r w:rsidRPr="00F819F1">
        <w:rPr>
          <w:lang w:val="en-US"/>
        </w:rPr>
        <w:t>Cr</w:t>
      </w:r>
      <w:r w:rsidRPr="00F819F1">
        <w:rPr>
          <w:vertAlign w:val="superscript"/>
        </w:rPr>
        <w:t>+3</w:t>
      </w:r>
      <w:r w:rsidRPr="00F819F1">
        <w:t xml:space="preserve"> происходит по реакции:</w:t>
      </w:r>
    </w:p>
    <w:p w:rsidR="00F819F1" w:rsidRPr="00F819F1" w:rsidRDefault="00F819F1" w:rsidP="00F819F1">
      <w:pPr>
        <w:ind w:left="-180" w:firstLine="360"/>
      </w:pPr>
      <w:r w:rsidRPr="00F819F1">
        <w:t>восстановление сульфитом натрия</w:t>
      </w:r>
    </w:p>
    <w:p w:rsidR="00F819F1" w:rsidRPr="00F819F1" w:rsidRDefault="00F819F1" w:rsidP="00F819F1">
      <w:pPr>
        <w:ind w:left="-180" w:firstLine="1080"/>
      </w:pPr>
      <w:r w:rsidRPr="00F819F1">
        <w:rPr>
          <w:lang w:val="en-US"/>
        </w:rPr>
        <w:t>Cr</w:t>
      </w:r>
      <w:r w:rsidRPr="00F819F1">
        <w:rPr>
          <w:vertAlign w:val="subscript"/>
        </w:rPr>
        <w:t>2</w:t>
      </w:r>
      <w:r w:rsidRPr="00F819F1">
        <w:rPr>
          <w:lang w:val="en-US"/>
        </w:rPr>
        <w:t>O</w:t>
      </w:r>
      <w:r w:rsidRPr="00F819F1">
        <w:rPr>
          <w:vertAlign w:val="subscript"/>
        </w:rPr>
        <w:t>7</w:t>
      </w:r>
      <w:r w:rsidRPr="00F819F1">
        <w:rPr>
          <w:vertAlign w:val="superscript"/>
        </w:rPr>
        <w:t>2-</w:t>
      </w:r>
      <w:r w:rsidRPr="00F819F1">
        <w:t xml:space="preserve"> + 3</w:t>
      </w:r>
      <w:r w:rsidRPr="00F819F1">
        <w:rPr>
          <w:lang w:val="en-US"/>
        </w:rPr>
        <w:t>SO</w:t>
      </w:r>
      <w:r w:rsidRPr="00F819F1">
        <w:rPr>
          <w:vertAlign w:val="subscript"/>
        </w:rPr>
        <w:t>3</w:t>
      </w:r>
      <w:r w:rsidRPr="00F819F1">
        <w:rPr>
          <w:vertAlign w:val="superscript"/>
        </w:rPr>
        <w:t>2-</w:t>
      </w:r>
      <w:r w:rsidRPr="00F819F1">
        <w:t xml:space="preserve"> + 8</w:t>
      </w:r>
      <w:r w:rsidRPr="00F819F1">
        <w:rPr>
          <w:lang w:val="en-US"/>
        </w:rPr>
        <w:t>H</w:t>
      </w:r>
      <w:r w:rsidRPr="00F819F1">
        <w:rPr>
          <w:vertAlign w:val="superscript"/>
        </w:rPr>
        <w:t>+</w:t>
      </w:r>
      <w:r w:rsidRPr="00F819F1">
        <w:t xml:space="preserve"> → 2</w:t>
      </w:r>
      <w:r w:rsidRPr="00F819F1">
        <w:rPr>
          <w:lang w:val="en-US"/>
        </w:rPr>
        <w:t>Cr</w:t>
      </w:r>
      <w:r w:rsidRPr="00F819F1">
        <w:rPr>
          <w:vertAlign w:val="superscript"/>
        </w:rPr>
        <w:t>+3</w:t>
      </w:r>
      <w:r w:rsidRPr="00F819F1">
        <w:t xml:space="preserve"> + 3</w:t>
      </w:r>
      <w:r w:rsidRPr="00F819F1">
        <w:rPr>
          <w:lang w:val="en-US"/>
        </w:rPr>
        <w:t>SO</w:t>
      </w:r>
      <w:r w:rsidRPr="00F819F1">
        <w:rPr>
          <w:vertAlign w:val="subscript"/>
        </w:rPr>
        <w:t>4</w:t>
      </w:r>
      <w:r w:rsidRPr="00F819F1">
        <w:rPr>
          <w:vertAlign w:val="superscript"/>
        </w:rPr>
        <w:t>2-</w:t>
      </w:r>
      <w:r w:rsidRPr="00F819F1">
        <w:t xml:space="preserve"> + 4</w:t>
      </w:r>
      <w:r w:rsidRPr="00F819F1">
        <w:rPr>
          <w:lang w:val="en-US"/>
        </w:rPr>
        <w:t>H</w:t>
      </w:r>
      <w:r w:rsidRPr="00F819F1">
        <w:rPr>
          <w:vertAlign w:val="subscript"/>
        </w:rPr>
        <w:t>2</w:t>
      </w:r>
      <w:r w:rsidRPr="00F819F1">
        <w:rPr>
          <w:lang w:val="en-US"/>
        </w:rPr>
        <w:t>O</w:t>
      </w:r>
    </w:p>
    <w:p w:rsidR="00F819F1" w:rsidRPr="00F819F1" w:rsidRDefault="00F819F1" w:rsidP="00F819F1">
      <w:pPr>
        <w:ind w:left="-180" w:firstLine="360"/>
      </w:pPr>
    </w:p>
    <w:p w:rsidR="00F819F1" w:rsidRPr="00F819F1" w:rsidRDefault="00F819F1" w:rsidP="00F819F1">
      <w:pPr>
        <w:ind w:left="-180" w:firstLine="360"/>
      </w:pPr>
      <w:r w:rsidRPr="00F819F1">
        <w:t xml:space="preserve">После окончания реакции восстановления </w:t>
      </w:r>
      <w:r w:rsidRPr="00F819F1">
        <w:rPr>
          <w:lang w:val="en-US"/>
        </w:rPr>
        <w:t>Cr</w:t>
      </w:r>
      <w:r w:rsidRPr="00F819F1">
        <w:rPr>
          <w:vertAlign w:val="superscript"/>
        </w:rPr>
        <w:t>+6</w:t>
      </w:r>
      <w:r w:rsidRPr="00F819F1">
        <w:t xml:space="preserve">   в кислой среде сточные воды подвергают нейтрализации с целью осаждения </w:t>
      </w:r>
      <w:r w:rsidRPr="00F819F1">
        <w:rPr>
          <w:lang w:val="en-US"/>
        </w:rPr>
        <w:t>Cr</w:t>
      </w:r>
      <w:r w:rsidRPr="00F819F1">
        <w:rPr>
          <w:vertAlign w:val="superscript"/>
        </w:rPr>
        <w:t>+3</w:t>
      </w:r>
      <w:r w:rsidRPr="00F819F1">
        <w:t xml:space="preserve">  в виде гидроксида по реакции</w:t>
      </w:r>
    </w:p>
    <w:p w:rsidR="00F819F1" w:rsidRPr="00F819F1" w:rsidRDefault="00F819F1" w:rsidP="00F819F1">
      <w:pPr>
        <w:ind w:left="-180" w:firstLine="1080"/>
      </w:pPr>
      <w:r w:rsidRPr="00F819F1">
        <w:rPr>
          <w:lang w:val="en-US"/>
        </w:rPr>
        <w:t>Cr</w:t>
      </w:r>
      <w:r w:rsidRPr="00F819F1">
        <w:rPr>
          <w:vertAlign w:val="superscript"/>
        </w:rPr>
        <w:t>+3</w:t>
      </w:r>
      <w:r w:rsidRPr="00F819F1">
        <w:t xml:space="preserve">  + 3(</w:t>
      </w:r>
      <w:r w:rsidRPr="00F819F1">
        <w:rPr>
          <w:lang w:val="en-US"/>
        </w:rPr>
        <w:t>Ca</w:t>
      </w:r>
      <w:r w:rsidRPr="00F819F1">
        <w:t>ОН)</w:t>
      </w:r>
      <w:r w:rsidRPr="00F819F1">
        <w:rPr>
          <w:vertAlign w:val="subscript"/>
        </w:rPr>
        <w:t>2</w:t>
      </w:r>
      <w:r w:rsidRPr="00F819F1">
        <w:rPr>
          <w:vertAlign w:val="superscript"/>
        </w:rPr>
        <w:t>-</w:t>
      </w:r>
      <w:r w:rsidRPr="00F819F1">
        <w:t xml:space="preserve"> → </w:t>
      </w:r>
      <w:r w:rsidRPr="00F819F1">
        <w:rPr>
          <w:lang w:val="en-US"/>
        </w:rPr>
        <w:t>Cr</w:t>
      </w:r>
      <w:r w:rsidRPr="00F819F1">
        <w:t>(ОН)</w:t>
      </w:r>
      <w:r w:rsidRPr="00F819F1">
        <w:rPr>
          <w:vertAlign w:val="subscript"/>
        </w:rPr>
        <w:t>3</w:t>
      </w:r>
      <w:r w:rsidRPr="00F819F1">
        <w:t>↓+</w:t>
      </w:r>
      <w:r w:rsidRPr="00F819F1">
        <w:rPr>
          <w:lang w:val="en-US"/>
        </w:rPr>
        <w:t>CaO</w:t>
      </w:r>
    </w:p>
    <w:p w:rsidR="00F819F1" w:rsidRPr="00F819F1" w:rsidRDefault="00F819F1" w:rsidP="00F819F1">
      <w:pPr>
        <w:ind w:left="-180" w:firstLine="1080"/>
      </w:pPr>
    </w:p>
    <w:p w:rsidR="00F819F1" w:rsidRPr="00F819F1" w:rsidRDefault="00F819F1" w:rsidP="00F819F1">
      <w:pPr>
        <w:ind w:left="-180" w:firstLine="360"/>
      </w:pPr>
      <w:r w:rsidRPr="00F819F1">
        <w:t>Р(</w:t>
      </w:r>
      <w:r w:rsidRPr="00F819F1">
        <w:rPr>
          <w:lang w:val="en-US"/>
        </w:rPr>
        <w:t>Cr</w:t>
      </w:r>
      <w:r w:rsidRPr="00F819F1">
        <w:t xml:space="preserve">) = </w:t>
      </w:r>
      <w:r w:rsidRPr="00F819F1">
        <w:rPr>
          <w:lang w:val="en-US"/>
        </w:rPr>
        <w:t>Q</w:t>
      </w:r>
      <w:r w:rsidRPr="00F819F1">
        <w:t>(</w:t>
      </w:r>
      <w:r w:rsidRPr="00F819F1">
        <w:rPr>
          <w:lang w:val="en-US"/>
        </w:rPr>
        <w:t>Cr</w:t>
      </w:r>
      <w:r w:rsidRPr="00F819F1">
        <w:t>)</w:t>
      </w:r>
      <w:r w:rsidRPr="00F819F1">
        <w:rPr>
          <w:lang w:val="en-US"/>
        </w:rPr>
        <w:t>·</w:t>
      </w:r>
      <w:r w:rsidRPr="00F819F1">
        <w:t xml:space="preserve"> кол-во реагента Са(ОН)</w:t>
      </w:r>
      <w:r w:rsidRPr="00F819F1">
        <w:rPr>
          <w:vertAlign w:val="subscript"/>
        </w:rPr>
        <w:t>2</w:t>
      </w:r>
      <w:r w:rsidRPr="00F819F1">
        <w:t xml:space="preserve"> кг/кг =1,13·4.2=4,74 кг/сутки;</w:t>
      </w:r>
    </w:p>
    <w:p w:rsidR="00F819F1" w:rsidRDefault="00F819F1" w:rsidP="00F819F1">
      <w:pPr>
        <w:ind w:left="-180" w:firstLine="360"/>
      </w:pPr>
      <w:r w:rsidRPr="00F819F1">
        <w:t>С(</w:t>
      </w:r>
      <w:r w:rsidRPr="00F819F1">
        <w:rPr>
          <w:lang w:val="en-US"/>
        </w:rPr>
        <w:t>Cr</w:t>
      </w:r>
      <w:r w:rsidRPr="00F819F1">
        <w:t>) = С</w:t>
      </w:r>
      <w:r w:rsidRPr="00F819F1">
        <w:rPr>
          <w:vertAlign w:val="subscript"/>
        </w:rPr>
        <w:t>исх</w:t>
      </w:r>
      <w:r w:rsidRPr="00F819F1">
        <w:t>-</w:t>
      </w:r>
      <w:r w:rsidRPr="00F819F1">
        <w:fldChar w:fldCharType="begin"/>
      </w:r>
      <w:r w:rsidRPr="00F819F1">
        <w:instrText xml:space="preserve"> QUOTE </w:instrText>
      </w:r>
      <w:r w:rsidR="00226E23">
        <w:pict>
          <v:shape id="_x0000_i1027" type="#_x0000_t75" style="width:17.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efaultTabStop w:val=&quot;708&quot;/&gt;&lt;w:doNotHyphenateCaps/&gt;&lt;w:drawingGridHorizontalSpacing w:val=&quot;14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F46BE1&quot;/&gt;&lt;wsp:rsid wsp:val=&quot;00036A75&quot;/&gt;&lt;wsp:rsid wsp:val=&quot;00044C2C&quot;/&gt;&lt;wsp:rsid wsp:val=&quot;00067479&quot;/&gt;&lt;wsp:rsid wsp:val=&quot;00067A90&quot;/&gt;&lt;wsp:rsid wsp:val=&quot;000A5830&quot;/&gt;&lt;wsp:rsid wsp:val=&quot;000B3EB4&quot;/&gt;&lt;wsp:rsid wsp:val=&quot;00120020&quot;/&gt;&lt;wsp:rsid wsp:val=&quot;00201138&quot;/&gt;&lt;wsp:rsid wsp:val=&quot;00201F14&quot;/&gt;&lt;wsp:rsid wsp:val=&quot;00216D1A&quot;/&gt;&lt;wsp:rsid wsp:val=&quot;00271B6B&quot;/&gt;&lt;wsp:rsid wsp:val=&quot;00301750&quot;/&gt;&lt;wsp:rsid wsp:val=&quot;00307922&quot;/&gt;&lt;wsp:rsid wsp:val=&quot;00356BE8&quot;/&gt;&lt;wsp:rsid wsp:val=&quot;003655A4&quot;/&gt;&lt;wsp:rsid wsp:val=&quot;00374239&quot;/&gt;&lt;wsp:rsid wsp:val=&quot;003854AF&quot;/&gt;&lt;wsp:rsid wsp:val=&quot;00457609&quot;/&gt;&lt;wsp:rsid wsp:val=&quot;004866A5&quot;/&gt;&lt;wsp:rsid wsp:val=&quot;004A23FB&quot;/&gt;&lt;wsp:rsid wsp:val=&quot;004E557D&quot;/&gt;&lt;wsp:rsid wsp:val=&quot;00535A4B&quot;/&gt;&lt;wsp:rsid wsp:val=&quot;00545FA6&quot;/&gt;&lt;wsp:rsid wsp:val=&quot;00573DE7&quot;/&gt;&lt;wsp:rsid wsp:val=&quot;0059018A&quot;/&gt;&lt;wsp:rsid wsp:val=&quot;005A250F&quot;/&gt;&lt;wsp:rsid wsp:val=&quot;005F020F&quot;/&gt;&lt;wsp:rsid wsp:val=&quot;0063225E&quot;/&gt;&lt;wsp:rsid wsp:val=&quot;0065712C&quot;/&gt;&lt;wsp:rsid wsp:val=&quot;006617ED&quot;/&gt;&lt;wsp:rsid wsp:val=&quot;00676DCA&quot;/&gt;&lt;wsp:rsid wsp:val=&quot;00777482&quot;/&gt;&lt;wsp:rsid wsp:val=&quot;00802539&quot;/&gt;&lt;wsp:rsid wsp:val=&quot;00826676&quot;/&gt;&lt;wsp:rsid wsp:val=&quot;00865E12&quot;/&gt;&lt;wsp:rsid wsp:val=&quot;008A4C90&quot;/&gt;&lt;wsp:rsid wsp:val=&quot;008A6AA6&quot;/&gt;&lt;wsp:rsid wsp:val=&quot;008D2A4A&quot;/&gt;&lt;wsp:rsid wsp:val=&quot;008D3080&quot;/&gt;&lt;wsp:rsid wsp:val=&quot;008F51AC&quot;/&gt;&lt;wsp:rsid wsp:val=&quot;00913FB6&quot;/&gt;&lt;wsp:rsid wsp:val=&quot;00A035FB&quot;/&gt;&lt;wsp:rsid wsp:val=&quot;00B7373C&quot;/&gt;&lt;wsp:rsid wsp:val=&quot;00BE608B&quot;/&gt;&lt;wsp:rsid wsp:val=&quot;00BF2853&quot;/&gt;&lt;wsp:rsid wsp:val=&quot;00C73901&quot;/&gt;&lt;wsp:rsid wsp:val=&quot;00C7561F&quot;/&gt;&lt;wsp:rsid wsp:val=&quot;00C96BCE&quot;/&gt;&lt;wsp:rsid wsp:val=&quot;00D67C50&quot;/&gt;&lt;wsp:rsid wsp:val=&quot;00D84876&quot;/&gt;&lt;wsp:rsid wsp:val=&quot;00D93D61&quot;/&gt;&lt;wsp:rsid wsp:val=&quot;00DE540A&quot;/&gt;&lt;wsp:rsid wsp:val=&quot;00DF0571&quot;/&gt;&lt;wsp:rsid wsp:val=&quot;00E0512A&quot;/&gt;&lt;wsp:rsid wsp:val=&quot;00E5291E&quot;/&gt;&lt;wsp:rsid wsp:val=&quot;00EC2BEE&quot;/&gt;&lt;wsp:rsid wsp:val=&quot;00EF1F99&quot;/&gt;&lt;wsp:rsid wsp:val=&quot;00EF4125&quot;/&gt;&lt;wsp:rsid wsp:val=&quot;00EF4688&quot;/&gt;&lt;wsp:rsid wsp:val=&quot;00F12DB5&quot;/&gt;&lt;wsp:rsid wsp:val=&quot;00F46BE1&quot;/&gt;&lt;wsp:rsid wsp:val=&quot;00F66A5C&quot;/&gt;&lt;wsp:rsid wsp:val=&quot;00F845D5&quot;/&gt;&lt;wsp:rsid wsp:val=&quot;00F9198E&quot;/&gt;&lt;wsp:rsid wsp:val=&quot;00FA5243&quot;/&gt;&lt;/wsp:rsids&gt;&lt;/w:docPr&gt;&lt;w:body&gt;&lt;w:p wsp:rsidR=&quot;00000000&quot; wsp:rsidRDefault=&quot;003854AF&quot;&gt;&lt;m:oMathPara&gt;&lt;m:oMath&gt;&lt;m:r&gt;&lt;w:rPr&gt;&lt;w:rFonts w:ascii=&quot;Cambria Math&quot; w:h-ansi=&quot;Cambria Math&quot;/&gt;&lt;wx:font wx:val=&quot;Cambria Math&quot;/&gt;&lt;w:i/&gt;&lt;w:color w:val=&quot;000000&quot;/&gt;&lt;w:sz w:val=&quot;24&quot;/&gt;&lt;w:sz-cs w:val=&quot;24&quot;/&gt;&lt;/w:rPr&gt;&lt;m:t&gt; &lt;/m:t&gt;&lt;/m:r&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 w:h-ansi=&quot;Cambria Math&quot;/&gt;&lt;wx:font wx:val=&quot;Cambria Math&quot;/&gt;&lt;w:i/&gt;&lt;w:color w:val=&quot;000000&quot;/&gt;&lt;w:sz w:val=&quot;24&quot;/&gt;&lt;w:sz-cs w:val=&quot;24&quot;/&gt;&lt;/w:rPr&gt;&lt;m:t&gt;О·&lt;/m:t&gt;&lt;/m:r&gt;&lt;/m:num&gt;&lt;m:den&gt;&lt;m:r&gt;&lt;w:rPr&gt;&lt;w:rFonts w:ascii=&quot;Cambria Math&quot; w:h-ansi=&quot;Cambria Math&quot;/&gt;&lt;wx:font wx:val=&quot;Cambria Math&quot;/&gt;&lt;w:i/&gt;&lt;w:color w:val=&quot;000000&quot;/&gt;&lt;w:sz w:val=&quot;24&quot;/&gt;&lt;w:sz-cs w:val=&quot;24&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F819F1">
        <w:instrText xml:space="preserve"> </w:instrText>
      </w:r>
      <w:r w:rsidRPr="00F819F1">
        <w:fldChar w:fldCharType="separate"/>
      </w:r>
      <w:r w:rsidR="00226E23">
        <w:pict>
          <v:shape id="_x0000_i1028" type="#_x0000_t75" style="width:27pt;height:4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efaultTabStop w:val=&quot;708&quot;/&gt;&lt;w:doNotHyphenateCaps/&gt;&lt;w:drawingGridHorizontalSpacing w:val=&quot;14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F46BE1&quot;/&gt;&lt;wsp:rsid wsp:val=&quot;00036A75&quot;/&gt;&lt;wsp:rsid wsp:val=&quot;00044C2C&quot;/&gt;&lt;wsp:rsid wsp:val=&quot;00067479&quot;/&gt;&lt;wsp:rsid wsp:val=&quot;00067A90&quot;/&gt;&lt;wsp:rsid wsp:val=&quot;000A5830&quot;/&gt;&lt;wsp:rsid wsp:val=&quot;000B3EB4&quot;/&gt;&lt;wsp:rsid wsp:val=&quot;00120020&quot;/&gt;&lt;wsp:rsid wsp:val=&quot;00201138&quot;/&gt;&lt;wsp:rsid wsp:val=&quot;00201F14&quot;/&gt;&lt;wsp:rsid wsp:val=&quot;00216D1A&quot;/&gt;&lt;wsp:rsid wsp:val=&quot;00271B6B&quot;/&gt;&lt;wsp:rsid wsp:val=&quot;00301750&quot;/&gt;&lt;wsp:rsid wsp:val=&quot;00307922&quot;/&gt;&lt;wsp:rsid wsp:val=&quot;00356BE8&quot;/&gt;&lt;wsp:rsid wsp:val=&quot;003655A4&quot;/&gt;&lt;wsp:rsid wsp:val=&quot;00374239&quot;/&gt;&lt;wsp:rsid wsp:val=&quot;003854AF&quot;/&gt;&lt;wsp:rsid wsp:val=&quot;00457609&quot;/&gt;&lt;wsp:rsid wsp:val=&quot;004866A5&quot;/&gt;&lt;wsp:rsid wsp:val=&quot;004A23FB&quot;/&gt;&lt;wsp:rsid wsp:val=&quot;004E557D&quot;/&gt;&lt;wsp:rsid wsp:val=&quot;00535A4B&quot;/&gt;&lt;wsp:rsid wsp:val=&quot;00545FA6&quot;/&gt;&lt;wsp:rsid wsp:val=&quot;00573DE7&quot;/&gt;&lt;wsp:rsid wsp:val=&quot;0059018A&quot;/&gt;&lt;wsp:rsid wsp:val=&quot;005A250F&quot;/&gt;&lt;wsp:rsid wsp:val=&quot;005F020F&quot;/&gt;&lt;wsp:rsid wsp:val=&quot;0063225E&quot;/&gt;&lt;wsp:rsid wsp:val=&quot;0065712C&quot;/&gt;&lt;wsp:rsid wsp:val=&quot;006617ED&quot;/&gt;&lt;wsp:rsid wsp:val=&quot;00676DCA&quot;/&gt;&lt;wsp:rsid wsp:val=&quot;00777482&quot;/&gt;&lt;wsp:rsid wsp:val=&quot;00802539&quot;/&gt;&lt;wsp:rsid wsp:val=&quot;00826676&quot;/&gt;&lt;wsp:rsid wsp:val=&quot;00865E12&quot;/&gt;&lt;wsp:rsid wsp:val=&quot;008A4C90&quot;/&gt;&lt;wsp:rsid wsp:val=&quot;008A6AA6&quot;/&gt;&lt;wsp:rsid wsp:val=&quot;008D2A4A&quot;/&gt;&lt;wsp:rsid wsp:val=&quot;008D3080&quot;/&gt;&lt;wsp:rsid wsp:val=&quot;008F51AC&quot;/&gt;&lt;wsp:rsid wsp:val=&quot;00913FB6&quot;/&gt;&lt;wsp:rsid wsp:val=&quot;00A035FB&quot;/&gt;&lt;wsp:rsid wsp:val=&quot;00B7373C&quot;/&gt;&lt;wsp:rsid wsp:val=&quot;00BE608B&quot;/&gt;&lt;wsp:rsid wsp:val=&quot;00BF2853&quot;/&gt;&lt;wsp:rsid wsp:val=&quot;00C73901&quot;/&gt;&lt;wsp:rsid wsp:val=&quot;00C7561F&quot;/&gt;&lt;wsp:rsid wsp:val=&quot;00C96BCE&quot;/&gt;&lt;wsp:rsid wsp:val=&quot;00D67C50&quot;/&gt;&lt;wsp:rsid wsp:val=&quot;00D84876&quot;/&gt;&lt;wsp:rsid wsp:val=&quot;00D93D61&quot;/&gt;&lt;wsp:rsid wsp:val=&quot;00DE540A&quot;/&gt;&lt;wsp:rsid wsp:val=&quot;00DF0571&quot;/&gt;&lt;wsp:rsid wsp:val=&quot;00E0512A&quot;/&gt;&lt;wsp:rsid wsp:val=&quot;00E5291E&quot;/&gt;&lt;wsp:rsid wsp:val=&quot;00EC2BEE&quot;/&gt;&lt;wsp:rsid wsp:val=&quot;00EF1F99&quot;/&gt;&lt;wsp:rsid wsp:val=&quot;00EF4125&quot;/&gt;&lt;wsp:rsid wsp:val=&quot;00EF4688&quot;/&gt;&lt;wsp:rsid wsp:val=&quot;00F12DB5&quot;/&gt;&lt;wsp:rsid wsp:val=&quot;00F46BE1&quot;/&gt;&lt;wsp:rsid wsp:val=&quot;00F66A5C&quot;/&gt;&lt;wsp:rsid wsp:val=&quot;00F845D5&quot;/&gt;&lt;wsp:rsid wsp:val=&quot;00F9198E&quot;/&gt;&lt;wsp:rsid wsp:val=&quot;00FA5243&quot;/&gt;&lt;/wsp:rsids&gt;&lt;/w:docPr&gt;&lt;w:body&gt;&lt;w:p wsp:rsidR=&quot;00000000&quot; wsp:rsidRDefault=&quot;003854AF&quot;&gt;&lt;m:oMathPara&gt;&lt;m:oMath&gt;&lt;m:r&gt;&lt;w:rPr&gt;&lt;w:rFonts w:ascii=&quot;Cambria Math&quot; w:h-ansi=&quot;Cambria Math&quot;/&gt;&lt;wx:font wx:val=&quot;Cambria Math&quot;/&gt;&lt;w:i/&gt;&lt;w:color w:val=&quot;000000&quot;/&gt;&lt;w:sz w:val=&quot;24&quot;/&gt;&lt;w:sz-cs w:val=&quot;24&quot;/&gt;&lt;/w:rPr&gt;&lt;m:t&gt; &lt;/m:t&gt;&lt;/m:r&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 w:h-ansi=&quot;Cambria Math&quot;/&gt;&lt;wx:font wx:val=&quot;Cambria Math&quot;/&gt;&lt;w:i/&gt;&lt;w:color w:val=&quot;000000&quot;/&gt;&lt;w:sz w:val=&quot;24&quot;/&gt;&lt;w:sz-cs w:val=&quot;24&quot;/&gt;&lt;/w:rPr&gt;&lt;m:t&gt;О·&lt;/m:t&gt;&lt;/m:r&gt;&lt;/m:num&gt;&lt;m:den&gt;&lt;m:r&gt;&lt;w:rPr&gt;&lt;w:rFonts w:ascii=&quot;Cambria Math&quot; w:h-ansi=&quot;Cambria Math&quot;/&gt;&lt;wx:font wx:val=&quot;Cambria Math&quot;/&gt;&lt;w:i/&gt;&lt;w:color w:val=&quot;000000&quot;/&gt;&lt;w:sz w:val=&quot;24&quot;/&gt;&lt;w:sz-cs w:val=&quot;24&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F819F1">
        <w:fldChar w:fldCharType="end"/>
      </w:r>
      <w:r w:rsidRPr="00F819F1">
        <w:t xml:space="preserve"> -С</w:t>
      </w:r>
      <w:r w:rsidRPr="00F819F1">
        <w:rPr>
          <w:vertAlign w:val="subscript"/>
        </w:rPr>
        <w:t>исх</w:t>
      </w:r>
      <w:r w:rsidRPr="00F819F1">
        <w:t>= 0.5-</w:t>
      </w:r>
      <w:r w:rsidRPr="00F819F1">
        <w:fldChar w:fldCharType="begin"/>
      </w:r>
      <w:r w:rsidRPr="00F819F1">
        <w:instrText xml:space="preserve"> QUOTE </w:instrText>
      </w:r>
      <w:r w:rsidR="00226E23">
        <w:pict>
          <v:shape id="_x0000_i1029" type="#_x0000_t75" style="width:1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efaultTabStop w:val=&quot;708&quot;/&gt;&lt;w:doNotHyphenateCaps/&gt;&lt;w:drawingGridHorizontalSpacing w:val=&quot;14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F46BE1&quot;/&gt;&lt;wsp:rsid wsp:val=&quot;00036A75&quot;/&gt;&lt;wsp:rsid wsp:val=&quot;00044C2C&quot;/&gt;&lt;wsp:rsid wsp:val=&quot;00067479&quot;/&gt;&lt;wsp:rsid wsp:val=&quot;00067A90&quot;/&gt;&lt;wsp:rsid wsp:val=&quot;000A5830&quot;/&gt;&lt;wsp:rsid wsp:val=&quot;000B3EB4&quot;/&gt;&lt;wsp:rsid wsp:val=&quot;00120020&quot;/&gt;&lt;wsp:rsid wsp:val=&quot;00201138&quot;/&gt;&lt;wsp:rsid wsp:val=&quot;00201F14&quot;/&gt;&lt;wsp:rsid wsp:val=&quot;00216D1A&quot;/&gt;&lt;wsp:rsid wsp:val=&quot;00271B6B&quot;/&gt;&lt;wsp:rsid wsp:val=&quot;00301750&quot;/&gt;&lt;wsp:rsid wsp:val=&quot;00307922&quot;/&gt;&lt;wsp:rsid wsp:val=&quot;00356BE8&quot;/&gt;&lt;wsp:rsid wsp:val=&quot;003655A4&quot;/&gt;&lt;wsp:rsid wsp:val=&quot;00374239&quot;/&gt;&lt;wsp:rsid wsp:val=&quot;00457609&quot;/&gt;&lt;wsp:rsid wsp:val=&quot;004866A5&quot;/&gt;&lt;wsp:rsid wsp:val=&quot;004A23FB&quot;/&gt;&lt;wsp:rsid wsp:val=&quot;004E557D&quot;/&gt;&lt;wsp:rsid wsp:val=&quot;00535A4B&quot;/&gt;&lt;wsp:rsid wsp:val=&quot;00545FA6&quot;/&gt;&lt;wsp:rsid wsp:val=&quot;00573DE7&quot;/&gt;&lt;wsp:rsid wsp:val=&quot;0059018A&quot;/&gt;&lt;wsp:rsid wsp:val=&quot;005A250F&quot;/&gt;&lt;wsp:rsid wsp:val=&quot;005F020F&quot;/&gt;&lt;wsp:rsid wsp:val=&quot;0063225E&quot;/&gt;&lt;wsp:rsid wsp:val=&quot;0065712C&quot;/&gt;&lt;wsp:rsid wsp:val=&quot;006617ED&quot;/&gt;&lt;wsp:rsid wsp:val=&quot;00676DCA&quot;/&gt;&lt;wsp:rsid wsp:val=&quot;00777482&quot;/&gt;&lt;wsp:rsid wsp:val=&quot;00802539&quot;/&gt;&lt;wsp:rsid wsp:val=&quot;00826676&quot;/&gt;&lt;wsp:rsid wsp:val=&quot;00865E12&quot;/&gt;&lt;wsp:rsid wsp:val=&quot;008A4C90&quot;/&gt;&lt;wsp:rsid wsp:val=&quot;008A6AA6&quot;/&gt;&lt;wsp:rsid wsp:val=&quot;008D2A4A&quot;/&gt;&lt;wsp:rsid wsp:val=&quot;008D3080&quot;/&gt;&lt;wsp:rsid wsp:val=&quot;008F51AC&quot;/&gt;&lt;wsp:rsid wsp:val=&quot;00913FB6&quot;/&gt;&lt;wsp:rsid wsp:val=&quot;00A035FB&quot;/&gt;&lt;wsp:rsid wsp:val=&quot;00B7373C&quot;/&gt;&lt;wsp:rsid wsp:val=&quot;00BE608B&quot;/&gt;&lt;wsp:rsid wsp:val=&quot;00BF2853&quot;/&gt;&lt;wsp:rsid wsp:val=&quot;00C73901&quot;/&gt;&lt;wsp:rsid wsp:val=&quot;00C7561F&quot;/&gt;&lt;wsp:rsid wsp:val=&quot;00C96BCE&quot;/&gt;&lt;wsp:rsid wsp:val=&quot;00D67C50&quot;/&gt;&lt;wsp:rsid wsp:val=&quot;00D74E87&quot;/&gt;&lt;wsp:rsid wsp:val=&quot;00D84876&quot;/&gt;&lt;wsp:rsid wsp:val=&quot;00D93D61&quot;/&gt;&lt;wsp:rsid wsp:val=&quot;00DE540A&quot;/&gt;&lt;wsp:rsid wsp:val=&quot;00DF0571&quot;/&gt;&lt;wsp:rsid wsp:val=&quot;00E0512A&quot;/&gt;&lt;wsp:rsid wsp:val=&quot;00E5291E&quot;/&gt;&lt;wsp:rsid wsp:val=&quot;00EC2BEE&quot;/&gt;&lt;wsp:rsid wsp:val=&quot;00EF1F99&quot;/&gt;&lt;wsp:rsid wsp:val=&quot;00EF4125&quot;/&gt;&lt;wsp:rsid wsp:val=&quot;00EF4688&quot;/&gt;&lt;wsp:rsid wsp:val=&quot;00F12DB5&quot;/&gt;&lt;wsp:rsid wsp:val=&quot;00F46BE1&quot;/&gt;&lt;wsp:rsid wsp:val=&quot;00F66A5C&quot;/&gt;&lt;wsp:rsid wsp:val=&quot;00F845D5&quot;/&gt;&lt;wsp:rsid wsp:val=&quot;00F9198E&quot;/&gt;&lt;wsp:rsid wsp:val=&quot;00FA5243&quot;/&gt;&lt;/wsp:rsids&gt;&lt;/w:docPr&gt;&lt;w:body&gt;&lt;w:p wsp:rsidR=&quot;00000000&quot; wsp:rsidRDefault=&quot;00D74E87&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 w:h-ansi=&quot;Cambria Math&quot;/&gt;&lt;wx:font wx:val=&quot;Cambria Math&quot;/&gt;&lt;w:i/&gt;&lt;w:color w:val=&quot;000000&quot;/&gt;&lt;w:sz w:val=&quot;24&quot;/&gt;&lt;w:sz-cs w:val=&quot;24&quot;/&gt;&lt;/w:rPr&gt;&lt;m:t&gt;95&lt;/m:t&gt;&lt;/m:r&gt;&lt;/m:num&gt;&lt;m:den&gt;&lt;m:r&gt;&lt;w:rPr&gt;&lt;w:rFonts w:ascii=&quot;Cambria Math&quot; w:h-ansi=&quot;Cambria Math&quot;/&gt;&lt;wx:font wx:val=&quot;Cambria Math&quot;/&gt;&lt;w:i/&gt;&lt;w:color w:val=&quot;000000&quot;/&gt;&lt;w:sz w:val=&quot;24&quot;/&gt;&lt;w:sz-cs w:val=&quot;24&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F819F1">
        <w:instrText xml:space="preserve"> </w:instrText>
      </w:r>
      <w:r w:rsidRPr="00F819F1">
        <w:fldChar w:fldCharType="separate"/>
      </w:r>
      <w:r w:rsidR="00226E23">
        <w:pict>
          <v:shape id="_x0000_i1030" type="#_x0000_t75" style="width:27pt;height: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efaultTabStop w:val=&quot;708&quot;/&gt;&lt;w:doNotHyphenateCaps/&gt;&lt;w:drawingGridHorizontalSpacing w:val=&quot;14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F46BE1&quot;/&gt;&lt;wsp:rsid wsp:val=&quot;00036A75&quot;/&gt;&lt;wsp:rsid wsp:val=&quot;00044C2C&quot;/&gt;&lt;wsp:rsid wsp:val=&quot;00067479&quot;/&gt;&lt;wsp:rsid wsp:val=&quot;00067A90&quot;/&gt;&lt;wsp:rsid wsp:val=&quot;000A5830&quot;/&gt;&lt;wsp:rsid wsp:val=&quot;000B3EB4&quot;/&gt;&lt;wsp:rsid wsp:val=&quot;00120020&quot;/&gt;&lt;wsp:rsid wsp:val=&quot;00201138&quot;/&gt;&lt;wsp:rsid wsp:val=&quot;00201F14&quot;/&gt;&lt;wsp:rsid wsp:val=&quot;00216D1A&quot;/&gt;&lt;wsp:rsid wsp:val=&quot;00271B6B&quot;/&gt;&lt;wsp:rsid wsp:val=&quot;00301750&quot;/&gt;&lt;wsp:rsid wsp:val=&quot;00307922&quot;/&gt;&lt;wsp:rsid wsp:val=&quot;00356BE8&quot;/&gt;&lt;wsp:rsid wsp:val=&quot;003655A4&quot;/&gt;&lt;wsp:rsid wsp:val=&quot;00374239&quot;/&gt;&lt;wsp:rsid wsp:val=&quot;00457609&quot;/&gt;&lt;wsp:rsid wsp:val=&quot;004866A5&quot;/&gt;&lt;wsp:rsid wsp:val=&quot;004A23FB&quot;/&gt;&lt;wsp:rsid wsp:val=&quot;004E557D&quot;/&gt;&lt;wsp:rsid wsp:val=&quot;00535A4B&quot;/&gt;&lt;wsp:rsid wsp:val=&quot;00545FA6&quot;/&gt;&lt;wsp:rsid wsp:val=&quot;00573DE7&quot;/&gt;&lt;wsp:rsid wsp:val=&quot;0059018A&quot;/&gt;&lt;wsp:rsid wsp:val=&quot;005A250F&quot;/&gt;&lt;wsp:rsid wsp:val=&quot;005F020F&quot;/&gt;&lt;wsp:rsid wsp:val=&quot;0063225E&quot;/&gt;&lt;wsp:rsid wsp:val=&quot;0065712C&quot;/&gt;&lt;wsp:rsid wsp:val=&quot;006617ED&quot;/&gt;&lt;wsp:rsid wsp:val=&quot;00676DCA&quot;/&gt;&lt;wsp:rsid wsp:val=&quot;00777482&quot;/&gt;&lt;wsp:rsid wsp:val=&quot;00802539&quot;/&gt;&lt;wsp:rsid wsp:val=&quot;00826676&quot;/&gt;&lt;wsp:rsid wsp:val=&quot;00865E12&quot;/&gt;&lt;wsp:rsid wsp:val=&quot;008A4C90&quot;/&gt;&lt;wsp:rsid wsp:val=&quot;008A6AA6&quot;/&gt;&lt;wsp:rsid wsp:val=&quot;008D2A4A&quot;/&gt;&lt;wsp:rsid wsp:val=&quot;008D3080&quot;/&gt;&lt;wsp:rsid wsp:val=&quot;008F51AC&quot;/&gt;&lt;wsp:rsid wsp:val=&quot;00913FB6&quot;/&gt;&lt;wsp:rsid wsp:val=&quot;00A035FB&quot;/&gt;&lt;wsp:rsid wsp:val=&quot;00B7373C&quot;/&gt;&lt;wsp:rsid wsp:val=&quot;00BE608B&quot;/&gt;&lt;wsp:rsid wsp:val=&quot;00BF2853&quot;/&gt;&lt;wsp:rsid wsp:val=&quot;00C73901&quot;/&gt;&lt;wsp:rsid wsp:val=&quot;00C7561F&quot;/&gt;&lt;wsp:rsid wsp:val=&quot;00C96BCE&quot;/&gt;&lt;wsp:rsid wsp:val=&quot;00D67C50&quot;/&gt;&lt;wsp:rsid wsp:val=&quot;00D74E87&quot;/&gt;&lt;wsp:rsid wsp:val=&quot;00D84876&quot;/&gt;&lt;wsp:rsid wsp:val=&quot;00D93D61&quot;/&gt;&lt;wsp:rsid wsp:val=&quot;00DE540A&quot;/&gt;&lt;wsp:rsid wsp:val=&quot;00DF0571&quot;/&gt;&lt;wsp:rsid wsp:val=&quot;00E0512A&quot;/&gt;&lt;wsp:rsid wsp:val=&quot;00E5291E&quot;/&gt;&lt;wsp:rsid wsp:val=&quot;00EC2BEE&quot;/&gt;&lt;wsp:rsid wsp:val=&quot;00EF1F99&quot;/&gt;&lt;wsp:rsid wsp:val=&quot;00EF4125&quot;/&gt;&lt;wsp:rsid wsp:val=&quot;00EF4688&quot;/&gt;&lt;wsp:rsid wsp:val=&quot;00F12DB5&quot;/&gt;&lt;wsp:rsid wsp:val=&quot;00F46BE1&quot;/&gt;&lt;wsp:rsid wsp:val=&quot;00F66A5C&quot;/&gt;&lt;wsp:rsid wsp:val=&quot;00F845D5&quot;/&gt;&lt;wsp:rsid wsp:val=&quot;00F9198E&quot;/&gt;&lt;wsp:rsid wsp:val=&quot;00FA5243&quot;/&gt;&lt;/wsp:rsids&gt;&lt;/w:docPr&gt;&lt;w:body&gt;&lt;w:p wsp:rsidR=&quot;00000000&quot; wsp:rsidRDefault=&quot;00D74E87&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 w:h-ansi=&quot;Cambria Math&quot;/&gt;&lt;wx:font wx:val=&quot;Cambria Math&quot;/&gt;&lt;w:i/&gt;&lt;w:color w:val=&quot;000000&quot;/&gt;&lt;w:sz w:val=&quot;24&quot;/&gt;&lt;w:sz-cs w:val=&quot;24&quot;/&gt;&lt;/w:rPr&gt;&lt;m:t&gt;95&lt;/m:t&gt;&lt;/m:r&gt;&lt;/m:num&gt;&lt;m:den&gt;&lt;m:r&gt;&lt;w:rPr&gt;&lt;w:rFonts w:ascii=&quot;Cambria Math&quot; w:h-ansi=&quot;Cambria Math&quot;/&gt;&lt;wx:font wx:val=&quot;Cambria Math&quot;/&gt;&lt;w:i/&gt;&lt;w:color w:val=&quot;000000&quot;/&gt;&lt;w:sz w:val=&quot;24&quot;/&gt;&lt;w:sz-cs w:val=&quot;24&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F819F1">
        <w:fldChar w:fldCharType="end"/>
      </w:r>
      <w:r w:rsidRPr="00F819F1">
        <w:t>·0.5=0,05 мг/л;</w:t>
      </w: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92647B" w:rsidRDefault="0092647B" w:rsidP="00F819F1">
      <w:pPr>
        <w:ind w:left="-180" w:firstLine="360"/>
      </w:pPr>
    </w:p>
    <w:p w:rsidR="00EE0E40" w:rsidRPr="00F819F1" w:rsidRDefault="00EE0E40" w:rsidP="00DA1A60"/>
    <w:p w:rsidR="00F819F1" w:rsidRDefault="00EE0E40" w:rsidP="00F819F1">
      <w:pPr>
        <w:outlineLvl w:val="0"/>
        <w:rPr>
          <w:b/>
        </w:rPr>
      </w:pPr>
      <w:r>
        <w:t xml:space="preserve">                                                </w:t>
      </w:r>
      <w:r w:rsidR="00F819F1" w:rsidRPr="00F819F1">
        <w:rPr>
          <w:b/>
        </w:rPr>
        <w:t>Заключение</w:t>
      </w:r>
      <w:r w:rsidR="000A5D0C">
        <w:rPr>
          <w:b/>
        </w:rPr>
        <w:t>.</w:t>
      </w:r>
    </w:p>
    <w:p w:rsidR="00D37521" w:rsidRPr="004E206F" w:rsidRDefault="004E206F" w:rsidP="004E206F">
      <w:r>
        <w:t xml:space="preserve">            </w:t>
      </w:r>
      <w:r w:rsidR="00D37521" w:rsidRPr="00D37521">
        <w:t>Защита водных ресурсов от истощения и  загрязнения и их  рационального</w:t>
      </w:r>
      <w:r>
        <w:t xml:space="preserve"> </w:t>
      </w:r>
      <w:r w:rsidR="00D37521" w:rsidRPr="00D37521">
        <w:t>использования для  нужд  народного  хозяйства  -  одна  из  наиболее  важных</w:t>
      </w:r>
      <w:r>
        <w:t xml:space="preserve"> </w:t>
      </w:r>
      <w:r w:rsidR="00D37521" w:rsidRPr="00D37521">
        <w:t>проблем,   требующих   безот</w:t>
      </w:r>
      <w:r>
        <w:t xml:space="preserve">лагательного   решения.    В   России </w:t>
      </w:r>
      <w:r w:rsidR="00D37521" w:rsidRPr="00D37521">
        <w:t xml:space="preserve"> широко</w:t>
      </w:r>
      <w:r>
        <w:t xml:space="preserve"> </w:t>
      </w:r>
      <w:r w:rsidR="00D37521" w:rsidRPr="00D37521">
        <w:t>осуществляются  мероприятия по  охране  окружающей  Среды,  в  частности  по</w:t>
      </w:r>
      <w:r>
        <w:t xml:space="preserve"> </w:t>
      </w:r>
      <w:r w:rsidR="00D37521" w:rsidRPr="00D37521">
        <w:t>очистке производственных сточных вод.</w:t>
      </w:r>
    </w:p>
    <w:p w:rsidR="004E206F" w:rsidRPr="004377AE" w:rsidRDefault="004377AE" w:rsidP="004377AE">
      <w:pPr>
        <w:pStyle w:val="a3"/>
        <w:spacing w:line="360" w:lineRule="auto"/>
        <w:rPr>
          <w:rFonts w:ascii="Times New Roman" w:hAnsi="Times New Roman"/>
          <w:sz w:val="28"/>
        </w:rPr>
      </w:pPr>
      <w:r>
        <w:rPr>
          <w:rFonts w:ascii="Times New Roman" w:hAnsi="Times New Roman" w:cs="Times New Roman"/>
          <w:color w:val="auto"/>
          <w:sz w:val="28"/>
          <w:szCs w:val="28"/>
        </w:rPr>
        <w:t xml:space="preserve">           </w:t>
      </w:r>
      <w:r w:rsidR="004E206F" w:rsidRPr="004377AE">
        <w:rPr>
          <w:rFonts w:ascii="Times New Roman" w:hAnsi="Times New Roman"/>
          <w:sz w:val="28"/>
        </w:rPr>
        <w:t>Существенное влияние на повышение водооборота может оказать  внедрение</w:t>
      </w:r>
      <w:r>
        <w:rPr>
          <w:rFonts w:ascii="Times New Roman" w:hAnsi="Times New Roman"/>
          <w:sz w:val="28"/>
        </w:rPr>
        <w:t xml:space="preserve"> </w:t>
      </w:r>
      <w:r w:rsidR="004E206F" w:rsidRPr="004377AE">
        <w:rPr>
          <w:rFonts w:ascii="Times New Roman" w:hAnsi="Times New Roman"/>
          <w:sz w:val="28"/>
        </w:rPr>
        <w:t>высокоэффективных  методов  очистки  сточных  вод,   в   частности   физико-химических, из которых одним из  наиболее  эффективных  является  применение</w:t>
      </w:r>
      <w:r>
        <w:rPr>
          <w:rFonts w:ascii="Times New Roman" w:hAnsi="Times New Roman"/>
          <w:sz w:val="28"/>
        </w:rPr>
        <w:t xml:space="preserve"> </w:t>
      </w:r>
      <w:r w:rsidR="004E206F" w:rsidRPr="004377AE">
        <w:rPr>
          <w:rFonts w:ascii="Times New Roman" w:hAnsi="Times New Roman"/>
          <w:sz w:val="28"/>
        </w:rPr>
        <w:t xml:space="preserve">реагентов. </w:t>
      </w:r>
      <w:r w:rsidRPr="004377AE">
        <w:rPr>
          <w:rFonts w:ascii="Times New Roman" w:hAnsi="Times New Roman"/>
          <w:sz w:val="28"/>
        </w:rPr>
        <w:t xml:space="preserve">Он имеет степень очистки, равную 90 – 98%, полученная концентрация хрома соответствует нормам ПДК. </w:t>
      </w:r>
      <w:r w:rsidR="004E206F" w:rsidRPr="004377AE">
        <w:rPr>
          <w:rFonts w:ascii="Times New Roman" w:hAnsi="Times New Roman"/>
          <w:sz w:val="28"/>
        </w:rPr>
        <w:t>Использование  реагентного   метода   очистки   производственных</w:t>
      </w:r>
      <w:r>
        <w:rPr>
          <w:rFonts w:ascii="Times New Roman" w:hAnsi="Times New Roman"/>
          <w:sz w:val="28"/>
        </w:rPr>
        <w:t xml:space="preserve"> </w:t>
      </w:r>
      <w:r w:rsidR="004E206F" w:rsidRPr="004377AE">
        <w:rPr>
          <w:rFonts w:ascii="Times New Roman" w:hAnsi="Times New Roman"/>
          <w:sz w:val="28"/>
        </w:rPr>
        <w:t>сточных вод не  зависит  от  токсичности  присутствующих  примесей,  что  по</w:t>
      </w:r>
      <w:r>
        <w:rPr>
          <w:rFonts w:ascii="Times New Roman" w:hAnsi="Times New Roman"/>
          <w:sz w:val="28"/>
        </w:rPr>
        <w:t xml:space="preserve"> </w:t>
      </w:r>
      <w:r w:rsidR="004E206F" w:rsidRPr="004377AE">
        <w:rPr>
          <w:rFonts w:ascii="Times New Roman" w:hAnsi="Times New Roman"/>
          <w:sz w:val="28"/>
        </w:rPr>
        <w:t>сравнению со способом биохимической  очистки  имеет  существенное  значение.</w:t>
      </w:r>
      <w:r>
        <w:rPr>
          <w:rFonts w:ascii="Times New Roman" w:hAnsi="Times New Roman"/>
          <w:sz w:val="28"/>
        </w:rPr>
        <w:t xml:space="preserve"> </w:t>
      </w:r>
      <w:r w:rsidR="004E206F" w:rsidRPr="004377AE">
        <w:rPr>
          <w:rFonts w:ascii="Times New Roman" w:hAnsi="Times New Roman"/>
          <w:sz w:val="28"/>
        </w:rPr>
        <w:t>Более широкое  внедрение  этого  метода  как  в  сочетании  с  биохимической</w:t>
      </w:r>
      <w:r>
        <w:rPr>
          <w:rFonts w:ascii="Times New Roman" w:hAnsi="Times New Roman"/>
          <w:sz w:val="28"/>
        </w:rPr>
        <w:t xml:space="preserve"> </w:t>
      </w:r>
      <w:r w:rsidR="004E206F" w:rsidRPr="004377AE">
        <w:rPr>
          <w:rFonts w:ascii="Times New Roman" w:hAnsi="Times New Roman"/>
          <w:sz w:val="28"/>
        </w:rPr>
        <w:t>очисткой, так и отдельно, может в определенной  степени  решить  ряд  задач,</w:t>
      </w:r>
      <w:r>
        <w:rPr>
          <w:rFonts w:ascii="Times New Roman" w:hAnsi="Times New Roman"/>
          <w:sz w:val="28"/>
        </w:rPr>
        <w:t xml:space="preserve"> </w:t>
      </w:r>
      <w:r w:rsidR="004E206F" w:rsidRPr="004377AE">
        <w:rPr>
          <w:rFonts w:ascii="Times New Roman" w:hAnsi="Times New Roman"/>
          <w:sz w:val="28"/>
        </w:rPr>
        <w:t>связанных с очисткой производственных сточных вод.</w:t>
      </w:r>
    </w:p>
    <w:p w:rsidR="00F819F1" w:rsidRDefault="00F819F1" w:rsidP="004377AE">
      <w:pPr>
        <w:pStyle w:val="a3"/>
        <w:rPr>
          <w:rFonts w:ascii="Times New Roman" w:hAnsi="Times New Roman"/>
          <w:sz w:val="28"/>
        </w:rPr>
      </w:pPr>
    </w:p>
    <w:p w:rsidR="004377AE" w:rsidRDefault="004377AE" w:rsidP="004377AE">
      <w:pPr>
        <w:pStyle w:val="a3"/>
        <w:rPr>
          <w:rFonts w:ascii="Times New Roman" w:hAnsi="Times New Roman"/>
          <w:sz w:val="28"/>
        </w:rPr>
      </w:pPr>
    </w:p>
    <w:p w:rsidR="004377AE" w:rsidRDefault="004377AE" w:rsidP="004377AE">
      <w:pPr>
        <w:pStyle w:val="a3"/>
        <w:rPr>
          <w:rFonts w:ascii="Times New Roman" w:hAnsi="Times New Roman"/>
          <w:sz w:val="28"/>
        </w:rPr>
      </w:pPr>
    </w:p>
    <w:p w:rsidR="004377AE" w:rsidRDefault="004377AE" w:rsidP="004377AE">
      <w:pPr>
        <w:pStyle w:val="a3"/>
        <w:rPr>
          <w:rFonts w:ascii="Times New Roman" w:hAnsi="Times New Roman"/>
          <w:sz w:val="28"/>
        </w:rPr>
      </w:pPr>
    </w:p>
    <w:p w:rsidR="004377AE" w:rsidRDefault="004377AE" w:rsidP="004377AE">
      <w:pPr>
        <w:pStyle w:val="a3"/>
        <w:rPr>
          <w:rFonts w:ascii="Times New Roman" w:hAnsi="Times New Roman"/>
          <w:sz w:val="28"/>
        </w:rPr>
      </w:pPr>
    </w:p>
    <w:p w:rsidR="004377AE" w:rsidRDefault="004377AE" w:rsidP="004377AE">
      <w:pPr>
        <w:pStyle w:val="a3"/>
        <w:rPr>
          <w:rFonts w:ascii="Times New Roman" w:hAnsi="Times New Roman"/>
          <w:sz w:val="28"/>
        </w:rPr>
      </w:pPr>
    </w:p>
    <w:p w:rsidR="004377AE" w:rsidRDefault="004377AE" w:rsidP="004377AE">
      <w:pPr>
        <w:pStyle w:val="a3"/>
        <w:rPr>
          <w:rFonts w:ascii="Times New Roman" w:hAnsi="Times New Roman"/>
          <w:sz w:val="28"/>
        </w:rPr>
      </w:pPr>
    </w:p>
    <w:p w:rsidR="004377AE" w:rsidRDefault="004377AE" w:rsidP="004377AE">
      <w:pPr>
        <w:pStyle w:val="a3"/>
        <w:rPr>
          <w:rFonts w:ascii="Times New Roman" w:hAnsi="Times New Roman"/>
          <w:sz w:val="28"/>
        </w:rPr>
      </w:pPr>
    </w:p>
    <w:p w:rsidR="004377AE" w:rsidRDefault="004377AE" w:rsidP="004377AE">
      <w:pPr>
        <w:pStyle w:val="a3"/>
        <w:rPr>
          <w:rFonts w:ascii="Times New Roman" w:hAnsi="Times New Roman"/>
          <w:sz w:val="28"/>
        </w:rPr>
      </w:pPr>
    </w:p>
    <w:p w:rsidR="004377AE" w:rsidRPr="004377AE" w:rsidRDefault="004377AE" w:rsidP="004377AE">
      <w:pPr>
        <w:pStyle w:val="a3"/>
        <w:rPr>
          <w:rFonts w:ascii="Times New Roman" w:hAnsi="Times New Roman"/>
          <w:sz w:val="28"/>
        </w:rPr>
      </w:pPr>
    </w:p>
    <w:p w:rsidR="00F819F1" w:rsidRPr="00F819F1" w:rsidRDefault="004377AE" w:rsidP="00F819F1">
      <w:pPr>
        <w:pStyle w:val="1"/>
      </w:pPr>
      <w:bookmarkStart w:id="0" w:name="_Toc217383437"/>
      <w:bookmarkStart w:id="1" w:name="_Toc217644600"/>
      <w:bookmarkStart w:id="2" w:name="_Toc218260734"/>
      <w:bookmarkStart w:id="3" w:name="_Toc218264314"/>
      <w:r>
        <w:t xml:space="preserve">      </w:t>
      </w:r>
      <w:r w:rsidR="00F819F1" w:rsidRPr="00F819F1">
        <w:t>Список литературы</w:t>
      </w:r>
      <w:bookmarkEnd w:id="0"/>
      <w:bookmarkEnd w:id="1"/>
      <w:bookmarkEnd w:id="2"/>
      <w:bookmarkEnd w:id="3"/>
      <w:r w:rsidR="00F819F1" w:rsidRPr="00F819F1">
        <w:t xml:space="preserve"> </w:t>
      </w:r>
      <w:r w:rsidR="000A5D0C">
        <w:t>.</w:t>
      </w:r>
    </w:p>
    <w:p w:rsidR="007871A4" w:rsidRPr="007871A4" w:rsidRDefault="007871A4" w:rsidP="00F819F1">
      <w:pPr>
        <w:numPr>
          <w:ilvl w:val="0"/>
          <w:numId w:val="1"/>
        </w:numPr>
        <w:rPr>
          <w:rStyle w:val="apple-style-span"/>
        </w:rPr>
      </w:pPr>
      <w:r w:rsidRPr="007871A4">
        <w:rPr>
          <w:rStyle w:val="apple-style-span"/>
          <w:color w:val="333333"/>
        </w:rPr>
        <w:t>Куценко С.А., Хрулева Ж.В. Способ очистки кислых сточных вод от цинка /Патент РФ № 2294316 от 27.02.2007, Бюл. № 6</w:t>
      </w:r>
    </w:p>
    <w:p w:rsidR="00F819F1" w:rsidRPr="00F819F1" w:rsidRDefault="007871A4" w:rsidP="00F819F1">
      <w:pPr>
        <w:numPr>
          <w:ilvl w:val="0"/>
          <w:numId w:val="1"/>
        </w:numPr>
      </w:pPr>
      <w:r>
        <w:rPr>
          <w:rStyle w:val="apple-style-span"/>
          <w:rFonts w:ascii="Arial" w:hAnsi="Arial" w:cs="Arial"/>
          <w:color w:val="333333"/>
          <w:sz w:val="22"/>
          <w:szCs w:val="22"/>
        </w:rPr>
        <w:t>.Ж</w:t>
      </w:r>
      <w:r w:rsidR="00F819F1" w:rsidRPr="00F819F1">
        <w:t>уков А.И., Монгайт И.Л., Родзиллер И.Д. Методы очистки производственных сточных вод. - М. Химия, 1996. 345 с.</w:t>
      </w:r>
    </w:p>
    <w:p w:rsidR="00F819F1" w:rsidRPr="00F819F1" w:rsidRDefault="00F819F1" w:rsidP="00F819F1">
      <w:pPr>
        <w:numPr>
          <w:ilvl w:val="0"/>
          <w:numId w:val="1"/>
        </w:numPr>
      </w:pPr>
      <w:r w:rsidRPr="00F819F1">
        <w:t xml:space="preserve">Гудков А.Г. Механическая очистка сточных вод: Учебное пособие. – Вологда: ВоГТУ, 2003. </w:t>
      </w:r>
    </w:p>
    <w:p w:rsidR="00F819F1" w:rsidRPr="00F819F1" w:rsidRDefault="00226E23" w:rsidP="004377AE">
      <w:pPr>
        <w:ind w:left="765"/>
      </w:pPr>
      <w:hyperlink r:id="rId11" w:history="1">
        <w:r w:rsidR="00F819F1" w:rsidRPr="00F819F1">
          <w:rPr>
            <w:rStyle w:val="a5"/>
          </w:rPr>
          <w:t>http://window.edu.ru/window_catalog/files/r45837/mech_ref.pdf</w:t>
        </w:r>
      </w:hyperlink>
      <w:r w:rsidR="00F819F1" w:rsidRPr="00F819F1">
        <w:t xml:space="preserve"> </w:t>
      </w:r>
    </w:p>
    <w:p w:rsidR="00F819F1" w:rsidRPr="00F819F1" w:rsidRDefault="00F819F1" w:rsidP="00F819F1">
      <w:pPr>
        <w:numPr>
          <w:ilvl w:val="0"/>
          <w:numId w:val="1"/>
        </w:numPr>
      </w:pPr>
      <w:r w:rsidRPr="00F819F1">
        <w:t>Когановский А.М. , Клименко А.Н. , Левченко Т.М. , Рода И.Г. Очистка и использование сточных вод в промышленном</w:t>
      </w:r>
      <w:r w:rsidR="000A5D0C">
        <w:t xml:space="preserve"> водоснабжении. – М: Химия, 2005</w:t>
      </w:r>
      <w:r w:rsidRPr="00F819F1">
        <w:t>. – 288 с., ил.</w:t>
      </w:r>
    </w:p>
    <w:p w:rsidR="00F819F1" w:rsidRPr="00F819F1" w:rsidRDefault="00F819F1" w:rsidP="00F819F1">
      <w:pPr>
        <w:numPr>
          <w:ilvl w:val="0"/>
          <w:numId w:val="1"/>
        </w:numPr>
      </w:pPr>
      <w:r w:rsidRPr="00F819F1">
        <w:t xml:space="preserve"> Научно-практический журнал “Экология производства”. </w:t>
      </w:r>
      <w:hyperlink r:id="rId12" w:history="1">
        <w:r w:rsidRPr="00F819F1">
          <w:rPr>
            <w:rStyle w:val="a5"/>
          </w:rPr>
          <w:t>http://www.ecoindustry.ru/</w:t>
        </w:r>
      </w:hyperlink>
    </w:p>
    <w:p w:rsidR="00F819F1" w:rsidRPr="00F819F1" w:rsidRDefault="00F819F1" w:rsidP="00F819F1">
      <w:pPr>
        <w:numPr>
          <w:ilvl w:val="0"/>
          <w:numId w:val="1"/>
        </w:numPr>
      </w:pPr>
      <w:r w:rsidRPr="00F819F1">
        <w:t>Гудков А.Г. Биологическая очистка сточных вод: Учебное пособие.- Вологда: ВоГТУ, 2002.</w:t>
      </w:r>
    </w:p>
    <w:p w:rsidR="00F819F1" w:rsidRPr="00F819F1" w:rsidRDefault="00F819F1">
      <w:bookmarkStart w:id="4" w:name="_GoBack"/>
      <w:bookmarkEnd w:id="4"/>
    </w:p>
    <w:sectPr w:rsidR="00F819F1" w:rsidRPr="00F819F1" w:rsidSect="00DA1A60">
      <w:headerReference w:type="even" r:id="rId13"/>
      <w:headerReference w:type="default" r:id="rId14"/>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CA3" w:rsidRDefault="00921CA3">
      <w:r>
        <w:separator/>
      </w:r>
    </w:p>
  </w:endnote>
  <w:endnote w:type="continuationSeparator" w:id="0">
    <w:p w:rsidR="00921CA3" w:rsidRDefault="0092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CA3" w:rsidRDefault="00921CA3">
      <w:r>
        <w:separator/>
      </w:r>
    </w:p>
  </w:footnote>
  <w:footnote w:type="continuationSeparator" w:id="0">
    <w:p w:rsidR="00921CA3" w:rsidRDefault="00921CA3">
      <w:r>
        <w:continuationSeparator/>
      </w:r>
    </w:p>
  </w:footnote>
  <w:footnote w:id="1">
    <w:p w:rsidR="00F819F1" w:rsidRDefault="00F819F1" w:rsidP="00F819F1">
      <w:pPr>
        <w:pStyle w:val="a6"/>
      </w:pPr>
    </w:p>
  </w:footnote>
  <w:footnote w:id="2">
    <w:p w:rsidR="00F819F1" w:rsidRDefault="00F819F1" w:rsidP="00F819F1">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60" w:rsidRDefault="00DA1A60" w:rsidP="0067330A">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A1A60" w:rsidRDefault="00DA1A60" w:rsidP="00DA1A60">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60" w:rsidRDefault="00DA1A60" w:rsidP="0067330A">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26E23">
      <w:rPr>
        <w:rStyle w:val="ab"/>
        <w:noProof/>
      </w:rPr>
      <w:t>22</w:t>
    </w:r>
    <w:r>
      <w:rPr>
        <w:rStyle w:val="ab"/>
      </w:rPr>
      <w:fldChar w:fldCharType="end"/>
    </w:r>
  </w:p>
  <w:p w:rsidR="00DA1A60" w:rsidRDefault="00DA1A60" w:rsidP="00DA1A60">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213ED"/>
    <w:multiLevelType w:val="hybridMultilevel"/>
    <w:tmpl w:val="29AC3936"/>
    <w:lvl w:ilvl="0" w:tplc="82440528">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9F1"/>
    <w:rsid w:val="000A5D0C"/>
    <w:rsid w:val="001079E3"/>
    <w:rsid w:val="00226E23"/>
    <w:rsid w:val="004377AE"/>
    <w:rsid w:val="004E0C85"/>
    <w:rsid w:val="004E206F"/>
    <w:rsid w:val="0054700C"/>
    <w:rsid w:val="0067330A"/>
    <w:rsid w:val="007871A4"/>
    <w:rsid w:val="0087240E"/>
    <w:rsid w:val="00921CA3"/>
    <w:rsid w:val="0092647B"/>
    <w:rsid w:val="00D37521"/>
    <w:rsid w:val="00DA1A60"/>
    <w:rsid w:val="00EE0E40"/>
    <w:rsid w:val="00F819F1"/>
    <w:rsid w:val="00FD2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1"/>
    <o:shapelayout v:ext="edit">
      <o:idmap v:ext="edit" data="1"/>
      <o:rules v:ext="edit">
        <o:r id="V:Rule13" type="connector" idref="#_x0000_s1036"/>
        <o:r id="V:Rule14" type="connector" idref="#_x0000_s1038"/>
        <o:r id="V:Rule15" type="connector" idref="#_x0000_s1039"/>
        <o:r id="V:Rule16" type="connector" idref="#_x0000_s1041"/>
        <o:r id="V:Rule17" type="connector" idref="#_x0000_s1050"/>
        <o:r id="V:Rule18" type="connector" idref="#_x0000_s1051"/>
        <o:r id="V:Rule19" type="connector" idref="#_x0000_s1035"/>
        <o:r id="V:Rule20" type="connector" idref="#_x0000_s1052"/>
        <o:r id="V:Rule21" type="connector" idref="#_x0000_s1044"/>
        <o:r id="V:Rule22" type="connector" idref="#_x0000_s1034"/>
        <o:r id="V:Rule23" type="connector" idref="#_x0000_s1048"/>
        <o:r id="V:Rule24" type="connector" idref="#_x0000_s1045"/>
      </o:rules>
    </o:shapelayout>
  </w:shapeDefaults>
  <w:decimalSymbol w:val=","/>
  <w:listSeparator w:val=";"/>
  <w15:chartTrackingRefBased/>
  <w15:docId w15:val="{1C5826DE-EFB2-4C7C-9EDC-D7B2F8C9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9F1"/>
    <w:pPr>
      <w:spacing w:line="360" w:lineRule="auto"/>
      <w:jc w:val="both"/>
    </w:pPr>
    <w:rPr>
      <w:sz w:val="28"/>
      <w:szCs w:val="28"/>
    </w:rPr>
  </w:style>
  <w:style w:type="paragraph" w:styleId="1">
    <w:name w:val="heading 1"/>
    <w:basedOn w:val="a"/>
    <w:next w:val="a"/>
    <w:link w:val="10"/>
    <w:qFormat/>
    <w:rsid w:val="00F819F1"/>
    <w:pPr>
      <w:keepNext/>
      <w:spacing w:before="240" w:after="60"/>
      <w:outlineLvl w:val="0"/>
    </w:pPr>
    <w:rPr>
      <w:b/>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F819F1"/>
    <w:rPr>
      <w:b/>
      <w:bCs/>
      <w:kern w:val="32"/>
      <w:sz w:val="28"/>
      <w:szCs w:val="28"/>
      <w:lang w:val="ru-RU" w:eastAsia="ru-RU" w:bidi="ar-SA"/>
    </w:rPr>
  </w:style>
  <w:style w:type="paragraph" w:styleId="HTML">
    <w:name w:val="HTML Preformatted"/>
    <w:basedOn w:val="a"/>
    <w:link w:val="HTML0"/>
    <w:rsid w:val="00F8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0">
    <w:name w:val="Стандартный HTML Знак"/>
    <w:basedOn w:val="a0"/>
    <w:link w:val="HTML"/>
    <w:locked/>
    <w:rsid w:val="00F819F1"/>
    <w:rPr>
      <w:rFonts w:ascii="Courier New" w:hAnsi="Courier New" w:cs="Courier New"/>
      <w:lang w:val="ru-RU" w:eastAsia="ru-RU" w:bidi="ar-SA"/>
    </w:rPr>
  </w:style>
  <w:style w:type="paragraph" w:styleId="a3">
    <w:name w:val="Normal (Web)"/>
    <w:basedOn w:val="a"/>
    <w:rsid w:val="00F819F1"/>
    <w:pPr>
      <w:spacing w:after="167" w:line="240" w:lineRule="auto"/>
      <w:jc w:val="left"/>
    </w:pPr>
    <w:rPr>
      <w:rFonts w:ascii="Verdana" w:hAnsi="Verdana" w:cs="Verdana"/>
      <w:color w:val="000000"/>
      <w:sz w:val="18"/>
      <w:szCs w:val="18"/>
    </w:rPr>
  </w:style>
  <w:style w:type="character" w:styleId="a4">
    <w:name w:val="Strong"/>
    <w:basedOn w:val="a0"/>
    <w:qFormat/>
    <w:rsid w:val="00F819F1"/>
    <w:rPr>
      <w:b/>
      <w:bCs/>
    </w:rPr>
  </w:style>
  <w:style w:type="character" w:styleId="a5">
    <w:name w:val="Hyperlink"/>
    <w:basedOn w:val="a0"/>
    <w:rsid w:val="00F819F1"/>
    <w:rPr>
      <w:color w:val="0000FF"/>
      <w:u w:val="single"/>
    </w:rPr>
  </w:style>
  <w:style w:type="paragraph" w:styleId="a6">
    <w:name w:val="footnote text"/>
    <w:basedOn w:val="a"/>
    <w:link w:val="a7"/>
    <w:semiHidden/>
    <w:rsid w:val="00F819F1"/>
    <w:rPr>
      <w:sz w:val="20"/>
      <w:szCs w:val="20"/>
    </w:rPr>
  </w:style>
  <w:style w:type="character" w:customStyle="1" w:styleId="a7">
    <w:name w:val="Текст сноски Знак"/>
    <w:basedOn w:val="a0"/>
    <w:link w:val="a6"/>
    <w:semiHidden/>
    <w:rsid w:val="00F819F1"/>
    <w:rPr>
      <w:lang w:val="ru-RU" w:eastAsia="ru-RU" w:bidi="ar-SA"/>
    </w:rPr>
  </w:style>
  <w:style w:type="character" w:styleId="a8">
    <w:name w:val="footnote reference"/>
    <w:basedOn w:val="a0"/>
    <w:semiHidden/>
    <w:rsid w:val="00F819F1"/>
    <w:rPr>
      <w:vertAlign w:val="superscript"/>
    </w:rPr>
  </w:style>
  <w:style w:type="paragraph" w:styleId="a9">
    <w:name w:val="Document Map"/>
    <w:basedOn w:val="a"/>
    <w:semiHidden/>
    <w:rsid w:val="00F819F1"/>
    <w:pPr>
      <w:shd w:val="clear" w:color="auto" w:fill="000080"/>
    </w:pPr>
    <w:rPr>
      <w:rFonts w:ascii="Tahoma" w:hAnsi="Tahoma" w:cs="Tahoma"/>
      <w:sz w:val="20"/>
      <w:szCs w:val="20"/>
    </w:rPr>
  </w:style>
  <w:style w:type="paragraph" w:styleId="aa">
    <w:name w:val="footer"/>
    <w:basedOn w:val="a"/>
    <w:rsid w:val="00DA1A60"/>
    <w:pPr>
      <w:tabs>
        <w:tab w:val="center" w:pos="4677"/>
        <w:tab w:val="right" w:pos="9355"/>
      </w:tabs>
    </w:pPr>
  </w:style>
  <w:style w:type="character" w:styleId="ab">
    <w:name w:val="page number"/>
    <w:basedOn w:val="a0"/>
    <w:rsid w:val="00DA1A60"/>
  </w:style>
  <w:style w:type="paragraph" w:styleId="ac">
    <w:name w:val="header"/>
    <w:basedOn w:val="a"/>
    <w:rsid w:val="00DA1A60"/>
    <w:pPr>
      <w:tabs>
        <w:tab w:val="center" w:pos="4677"/>
        <w:tab w:val="right" w:pos="9355"/>
      </w:tabs>
    </w:pPr>
  </w:style>
  <w:style w:type="character" w:customStyle="1" w:styleId="apple-style-span">
    <w:name w:val="apple-style-span"/>
    <w:basedOn w:val="a0"/>
    <w:rsid w:val="00787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417">
      <w:bodyDiv w:val="1"/>
      <w:marLeft w:val="0"/>
      <w:marRight w:val="0"/>
      <w:marTop w:val="0"/>
      <w:marBottom w:val="0"/>
      <w:divBdr>
        <w:top w:val="none" w:sz="0" w:space="0" w:color="auto"/>
        <w:left w:val="none" w:sz="0" w:space="0" w:color="auto"/>
        <w:bottom w:val="none" w:sz="0" w:space="0" w:color="auto"/>
        <w:right w:val="none" w:sz="0" w:space="0" w:color="auto"/>
      </w:divBdr>
    </w:div>
    <w:div w:id="165681297">
      <w:bodyDiv w:val="1"/>
      <w:marLeft w:val="0"/>
      <w:marRight w:val="0"/>
      <w:marTop w:val="0"/>
      <w:marBottom w:val="0"/>
      <w:divBdr>
        <w:top w:val="none" w:sz="0" w:space="0" w:color="auto"/>
        <w:left w:val="none" w:sz="0" w:space="0" w:color="auto"/>
        <w:bottom w:val="none" w:sz="0" w:space="0" w:color="auto"/>
        <w:right w:val="none" w:sz="0" w:space="0" w:color="auto"/>
      </w:divBdr>
    </w:div>
    <w:div w:id="214706399">
      <w:bodyDiv w:val="1"/>
      <w:marLeft w:val="0"/>
      <w:marRight w:val="0"/>
      <w:marTop w:val="0"/>
      <w:marBottom w:val="0"/>
      <w:divBdr>
        <w:top w:val="none" w:sz="0" w:space="0" w:color="auto"/>
        <w:left w:val="none" w:sz="0" w:space="0" w:color="auto"/>
        <w:bottom w:val="none" w:sz="0" w:space="0" w:color="auto"/>
        <w:right w:val="none" w:sz="0" w:space="0" w:color="auto"/>
      </w:divBdr>
    </w:div>
    <w:div w:id="834995882">
      <w:bodyDiv w:val="1"/>
      <w:marLeft w:val="0"/>
      <w:marRight w:val="0"/>
      <w:marTop w:val="0"/>
      <w:marBottom w:val="0"/>
      <w:divBdr>
        <w:top w:val="none" w:sz="0" w:space="0" w:color="auto"/>
        <w:left w:val="none" w:sz="0" w:space="0" w:color="auto"/>
        <w:bottom w:val="none" w:sz="0" w:space="0" w:color="auto"/>
        <w:right w:val="none" w:sz="0" w:space="0" w:color="auto"/>
      </w:divBdr>
    </w:div>
    <w:div w:id="845023453">
      <w:bodyDiv w:val="1"/>
      <w:marLeft w:val="0"/>
      <w:marRight w:val="0"/>
      <w:marTop w:val="0"/>
      <w:marBottom w:val="0"/>
      <w:divBdr>
        <w:top w:val="none" w:sz="0" w:space="0" w:color="auto"/>
        <w:left w:val="none" w:sz="0" w:space="0" w:color="auto"/>
        <w:bottom w:val="none" w:sz="0" w:space="0" w:color="auto"/>
        <w:right w:val="none" w:sz="0" w:space="0" w:color="auto"/>
      </w:divBdr>
    </w:div>
    <w:div w:id="1151752697">
      <w:bodyDiv w:val="1"/>
      <w:marLeft w:val="0"/>
      <w:marRight w:val="0"/>
      <w:marTop w:val="0"/>
      <w:marBottom w:val="0"/>
      <w:divBdr>
        <w:top w:val="none" w:sz="0" w:space="0" w:color="auto"/>
        <w:left w:val="none" w:sz="0" w:space="0" w:color="auto"/>
        <w:bottom w:val="none" w:sz="0" w:space="0" w:color="auto"/>
        <w:right w:val="none" w:sz="0" w:space="0" w:color="auto"/>
      </w:divBdr>
    </w:div>
    <w:div w:id="17959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coindustr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window_catalog/files/r45837/mech_ref.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4236</Words>
  <Characters>24147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28327</CharactersWithSpaces>
  <SharedDoc>false</SharedDoc>
  <HLinks>
    <vt:vector size="12" baseType="variant">
      <vt:variant>
        <vt:i4>6946916</vt:i4>
      </vt:variant>
      <vt:variant>
        <vt:i4>9</vt:i4>
      </vt:variant>
      <vt:variant>
        <vt:i4>0</vt:i4>
      </vt:variant>
      <vt:variant>
        <vt:i4>5</vt:i4>
      </vt:variant>
      <vt:variant>
        <vt:lpwstr>http://www.ecoindustry.ru/</vt:lpwstr>
      </vt:variant>
      <vt:variant>
        <vt:lpwstr/>
      </vt:variant>
      <vt:variant>
        <vt:i4>4390931</vt:i4>
      </vt:variant>
      <vt:variant>
        <vt:i4>6</vt:i4>
      </vt:variant>
      <vt:variant>
        <vt:i4>0</vt:i4>
      </vt:variant>
      <vt:variant>
        <vt:i4>5</vt:i4>
      </vt:variant>
      <vt:variant>
        <vt:lpwstr>http://window.edu.ru/window_catalog/files/r45837/mech_ref.pdf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cp:lastModifiedBy>admin</cp:lastModifiedBy>
  <cp:revision>2</cp:revision>
  <cp:lastPrinted>2010-11-19T20:20:00Z</cp:lastPrinted>
  <dcterms:created xsi:type="dcterms:W3CDTF">2014-04-03T14:41:00Z</dcterms:created>
  <dcterms:modified xsi:type="dcterms:W3CDTF">2014-04-03T14:41:00Z</dcterms:modified>
</cp:coreProperties>
</file>