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E8" w:rsidRPr="008F1B55" w:rsidRDefault="00F11AE8" w:rsidP="008F1B55">
      <w:pPr>
        <w:spacing w:after="0" w:line="360" w:lineRule="auto"/>
        <w:ind w:firstLine="709"/>
        <w:jc w:val="center"/>
        <w:rPr>
          <w:rFonts w:ascii="Times New Roman" w:hAnsi="Times New Roman"/>
          <w:sz w:val="28"/>
          <w:szCs w:val="28"/>
        </w:rPr>
      </w:pPr>
      <w:r w:rsidRPr="008F1B55">
        <w:rPr>
          <w:rFonts w:ascii="Times New Roman" w:hAnsi="Times New Roman"/>
          <w:sz w:val="28"/>
          <w:szCs w:val="28"/>
        </w:rPr>
        <w:t>Новосибирский Государственный Аграрный Университет</w:t>
      </w:r>
    </w:p>
    <w:p w:rsidR="00F11AE8" w:rsidRPr="008F1B55" w:rsidRDefault="00F11AE8" w:rsidP="008F1B55">
      <w:pPr>
        <w:spacing w:after="0" w:line="360" w:lineRule="auto"/>
        <w:ind w:firstLine="709"/>
        <w:jc w:val="center"/>
        <w:rPr>
          <w:rFonts w:ascii="Times New Roman" w:hAnsi="Times New Roman"/>
          <w:sz w:val="28"/>
          <w:szCs w:val="28"/>
        </w:rPr>
      </w:pPr>
      <w:r w:rsidRPr="008F1B55">
        <w:rPr>
          <w:rFonts w:ascii="Times New Roman" w:hAnsi="Times New Roman"/>
          <w:sz w:val="28"/>
          <w:szCs w:val="28"/>
        </w:rPr>
        <w:t>Экономический институт</w:t>
      </w:r>
    </w:p>
    <w:p w:rsidR="00F11AE8" w:rsidRPr="008F1B55" w:rsidRDefault="00F11AE8" w:rsidP="008F1B55">
      <w:pPr>
        <w:spacing w:after="0" w:line="360" w:lineRule="auto"/>
        <w:ind w:firstLine="709"/>
        <w:jc w:val="center"/>
        <w:rPr>
          <w:rFonts w:ascii="Times New Roman" w:hAnsi="Times New Roman"/>
          <w:sz w:val="28"/>
          <w:szCs w:val="28"/>
        </w:rPr>
      </w:pPr>
      <w:r w:rsidRPr="008F1B55">
        <w:rPr>
          <w:rFonts w:ascii="Times New Roman" w:hAnsi="Times New Roman"/>
          <w:sz w:val="28"/>
          <w:szCs w:val="28"/>
        </w:rPr>
        <w:t>Кафедра финансов</w:t>
      </w: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Default="00F11AE8" w:rsidP="008F1B55">
      <w:pPr>
        <w:spacing w:after="0" w:line="360" w:lineRule="auto"/>
        <w:ind w:firstLine="709"/>
        <w:jc w:val="center"/>
        <w:rPr>
          <w:rFonts w:ascii="Times New Roman" w:hAnsi="Times New Roman"/>
          <w:sz w:val="28"/>
          <w:szCs w:val="28"/>
        </w:rPr>
      </w:pPr>
    </w:p>
    <w:p w:rsidR="008F1B55" w:rsidRDefault="008F1B55" w:rsidP="008F1B55">
      <w:pPr>
        <w:spacing w:after="0" w:line="360" w:lineRule="auto"/>
        <w:ind w:firstLine="709"/>
        <w:jc w:val="center"/>
        <w:rPr>
          <w:rFonts w:ascii="Times New Roman" w:hAnsi="Times New Roman"/>
          <w:sz w:val="28"/>
          <w:szCs w:val="28"/>
        </w:rPr>
      </w:pPr>
    </w:p>
    <w:p w:rsidR="008F1B55" w:rsidRDefault="008F1B55" w:rsidP="008F1B55">
      <w:pPr>
        <w:spacing w:after="0" w:line="360" w:lineRule="auto"/>
        <w:ind w:firstLine="709"/>
        <w:jc w:val="center"/>
        <w:rPr>
          <w:rFonts w:ascii="Times New Roman" w:hAnsi="Times New Roman"/>
          <w:sz w:val="28"/>
          <w:szCs w:val="28"/>
        </w:rPr>
      </w:pPr>
    </w:p>
    <w:p w:rsidR="008F1B55" w:rsidRPr="008F1B55" w:rsidRDefault="008F1B55"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r w:rsidRPr="008F1B55">
        <w:rPr>
          <w:rFonts w:ascii="Times New Roman" w:hAnsi="Times New Roman"/>
          <w:sz w:val="28"/>
          <w:szCs w:val="28"/>
        </w:rPr>
        <w:t>Курсовая работа</w:t>
      </w:r>
    </w:p>
    <w:p w:rsidR="00F11AE8" w:rsidRPr="008F1B55" w:rsidRDefault="00F11AE8" w:rsidP="008F1B55">
      <w:pPr>
        <w:spacing w:after="0" w:line="360" w:lineRule="auto"/>
        <w:ind w:firstLine="709"/>
        <w:jc w:val="center"/>
        <w:rPr>
          <w:rFonts w:ascii="Times New Roman" w:hAnsi="Times New Roman"/>
          <w:i/>
          <w:sz w:val="28"/>
          <w:szCs w:val="28"/>
        </w:rPr>
      </w:pPr>
      <w:r w:rsidRPr="008F1B55">
        <w:rPr>
          <w:rFonts w:ascii="Times New Roman" w:hAnsi="Times New Roman"/>
          <w:sz w:val="28"/>
          <w:szCs w:val="28"/>
        </w:rPr>
        <w:t>На тему:</w:t>
      </w:r>
      <w:r w:rsidRPr="008F1B55">
        <w:rPr>
          <w:rFonts w:ascii="Times New Roman" w:hAnsi="Times New Roman"/>
          <w:i/>
          <w:sz w:val="28"/>
          <w:szCs w:val="28"/>
        </w:rPr>
        <w:t xml:space="preserve"> Инвестиционная стратегия предприятия.</w:t>
      </w:r>
    </w:p>
    <w:p w:rsidR="00F11AE8" w:rsidRPr="008F1B55" w:rsidRDefault="00F11AE8" w:rsidP="008F1B55">
      <w:pPr>
        <w:spacing w:after="0" w:line="360" w:lineRule="auto"/>
        <w:ind w:firstLine="709"/>
        <w:jc w:val="center"/>
        <w:rPr>
          <w:rFonts w:ascii="Times New Roman" w:hAnsi="Times New Roman"/>
          <w:i/>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rPr>
          <w:rFonts w:ascii="Times New Roman" w:hAnsi="Times New Roman"/>
          <w:sz w:val="28"/>
          <w:szCs w:val="28"/>
        </w:rPr>
      </w:pPr>
      <w:r w:rsidRPr="008F1B55">
        <w:rPr>
          <w:rFonts w:ascii="Times New Roman" w:hAnsi="Times New Roman"/>
          <w:sz w:val="28"/>
          <w:szCs w:val="28"/>
        </w:rPr>
        <w:t>Выполнила: студентка 457гр.</w:t>
      </w:r>
    </w:p>
    <w:p w:rsidR="00F11AE8" w:rsidRPr="008F1B55" w:rsidRDefault="00F11AE8" w:rsidP="008F1B55">
      <w:pPr>
        <w:spacing w:after="0" w:line="360" w:lineRule="auto"/>
        <w:ind w:firstLine="709"/>
        <w:rPr>
          <w:rFonts w:ascii="Times New Roman" w:hAnsi="Times New Roman"/>
          <w:sz w:val="28"/>
          <w:szCs w:val="28"/>
        </w:rPr>
      </w:pPr>
      <w:r w:rsidRPr="008F1B55">
        <w:rPr>
          <w:rFonts w:ascii="Times New Roman" w:hAnsi="Times New Roman"/>
          <w:sz w:val="28"/>
          <w:szCs w:val="28"/>
        </w:rPr>
        <w:t>Казанцева Я.Ю.</w:t>
      </w:r>
    </w:p>
    <w:p w:rsidR="00F11AE8" w:rsidRPr="008F1B55" w:rsidRDefault="00F11AE8" w:rsidP="008F1B55">
      <w:pPr>
        <w:spacing w:after="0" w:line="360" w:lineRule="auto"/>
        <w:ind w:firstLine="709"/>
        <w:rPr>
          <w:rFonts w:ascii="Times New Roman" w:hAnsi="Times New Roman"/>
          <w:sz w:val="28"/>
          <w:szCs w:val="28"/>
        </w:rPr>
      </w:pPr>
      <w:r w:rsidRPr="008F1B55">
        <w:rPr>
          <w:rFonts w:ascii="Times New Roman" w:hAnsi="Times New Roman"/>
          <w:sz w:val="28"/>
          <w:szCs w:val="28"/>
        </w:rPr>
        <w:t>Проверила: Руфф О.С.</w:t>
      </w: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Default="00F11AE8" w:rsidP="008F1B55">
      <w:pPr>
        <w:spacing w:after="0" w:line="360" w:lineRule="auto"/>
        <w:ind w:firstLine="709"/>
        <w:jc w:val="center"/>
        <w:rPr>
          <w:rFonts w:ascii="Times New Roman" w:hAnsi="Times New Roman"/>
          <w:sz w:val="28"/>
          <w:szCs w:val="28"/>
        </w:rPr>
      </w:pPr>
    </w:p>
    <w:p w:rsidR="008F1B55" w:rsidRDefault="008F1B55" w:rsidP="008F1B55">
      <w:pPr>
        <w:spacing w:after="0" w:line="360" w:lineRule="auto"/>
        <w:ind w:firstLine="709"/>
        <w:jc w:val="center"/>
        <w:rPr>
          <w:rFonts w:ascii="Times New Roman" w:hAnsi="Times New Roman"/>
          <w:sz w:val="28"/>
          <w:szCs w:val="28"/>
        </w:rPr>
      </w:pPr>
    </w:p>
    <w:p w:rsidR="008F1B55" w:rsidRDefault="008F1B55" w:rsidP="008F1B55">
      <w:pPr>
        <w:spacing w:after="0" w:line="360" w:lineRule="auto"/>
        <w:ind w:firstLine="709"/>
        <w:jc w:val="center"/>
        <w:rPr>
          <w:rFonts w:ascii="Times New Roman" w:hAnsi="Times New Roman"/>
          <w:sz w:val="28"/>
          <w:szCs w:val="28"/>
        </w:rPr>
      </w:pPr>
    </w:p>
    <w:p w:rsidR="008F1B55" w:rsidRPr="008F1B55" w:rsidRDefault="008F1B55"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sz w:val="28"/>
          <w:szCs w:val="28"/>
        </w:rPr>
      </w:pPr>
      <w:r w:rsidRPr="008F1B55">
        <w:rPr>
          <w:rFonts w:ascii="Times New Roman" w:hAnsi="Times New Roman"/>
          <w:sz w:val="28"/>
          <w:szCs w:val="28"/>
        </w:rPr>
        <w:t>Новосибирск 2009г.</w:t>
      </w:r>
    </w:p>
    <w:p w:rsidR="00F11AE8" w:rsidRPr="008F1B55" w:rsidRDefault="008F1B55" w:rsidP="008F1B55">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F11AE8" w:rsidRPr="008F1B55">
        <w:rPr>
          <w:rFonts w:ascii="Times New Roman" w:hAnsi="Times New Roman"/>
          <w:b/>
          <w:sz w:val="28"/>
          <w:szCs w:val="28"/>
        </w:rPr>
        <w:t>Содер</w:t>
      </w:r>
      <w:r>
        <w:rPr>
          <w:rFonts w:ascii="Times New Roman" w:hAnsi="Times New Roman"/>
          <w:b/>
          <w:sz w:val="28"/>
          <w:szCs w:val="28"/>
        </w:rPr>
        <w:t>жание</w:t>
      </w:r>
    </w:p>
    <w:p w:rsidR="003D439E" w:rsidRPr="008F1B55" w:rsidRDefault="003D439E" w:rsidP="008F1B55">
      <w:pPr>
        <w:spacing w:after="0" w:line="360" w:lineRule="auto"/>
        <w:ind w:firstLine="709"/>
        <w:jc w:val="both"/>
        <w:rPr>
          <w:rFonts w:ascii="Times New Roman" w:hAnsi="Times New Roman"/>
          <w:sz w:val="28"/>
          <w:szCs w:val="28"/>
        </w:rPr>
      </w:pP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Введение.</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1.</w:t>
      </w:r>
      <w:r w:rsidRPr="008F1B55">
        <w:rPr>
          <w:rFonts w:ascii="Times New Roman" w:hAnsi="Times New Roman"/>
          <w:noProof/>
          <w:sz w:val="28"/>
          <w:szCs w:val="28"/>
          <w:lang w:eastAsia="ru-RU"/>
        </w:rPr>
        <w:tab/>
      </w:r>
      <w:r w:rsidRPr="00C33ADB">
        <w:rPr>
          <w:rFonts w:ascii="Times New Roman" w:hAnsi="Times New Roman"/>
          <w:noProof/>
          <w:sz w:val="28"/>
          <w:szCs w:val="28"/>
        </w:rPr>
        <w:t>Теоретические основы.</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1.1.</w:t>
      </w:r>
      <w:r w:rsidRPr="008F1B55">
        <w:rPr>
          <w:rFonts w:ascii="Times New Roman" w:hAnsi="Times New Roman"/>
          <w:noProof/>
          <w:sz w:val="28"/>
          <w:szCs w:val="28"/>
          <w:lang w:eastAsia="ru-RU"/>
        </w:rPr>
        <w:tab/>
      </w:r>
      <w:r w:rsidRPr="00C33ADB">
        <w:rPr>
          <w:rFonts w:ascii="Times New Roman" w:hAnsi="Times New Roman"/>
          <w:noProof/>
          <w:sz w:val="28"/>
          <w:szCs w:val="28"/>
        </w:rPr>
        <w:t>Инвестиционная стратегия, как элемент общей стратегии предприятия.</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1.2.</w:t>
      </w:r>
      <w:r w:rsidRPr="008F1B55">
        <w:rPr>
          <w:rFonts w:ascii="Times New Roman" w:hAnsi="Times New Roman"/>
          <w:noProof/>
          <w:sz w:val="28"/>
          <w:szCs w:val="28"/>
          <w:lang w:eastAsia="ru-RU"/>
        </w:rPr>
        <w:tab/>
      </w:r>
      <w:r w:rsidRPr="00C33ADB">
        <w:rPr>
          <w:rFonts w:ascii="Times New Roman" w:hAnsi="Times New Roman"/>
          <w:noProof/>
          <w:sz w:val="28"/>
          <w:szCs w:val="28"/>
        </w:rPr>
        <w:t>Принципы инвестиционной стратегии предприятия.</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1.3.</w:t>
      </w:r>
      <w:r w:rsidRPr="008F1B55">
        <w:rPr>
          <w:rFonts w:ascii="Times New Roman" w:hAnsi="Times New Roman"/>
          <w:noProof/>
          <w:sz w:val="28"/>
          <w:szCs w:val="28"/>
          <w:lang w:eastAsia="ru-RU"/>
        </w:rPr>
        <w:tab/>
      </w:r>
      <w:r w:rsidRPr="00C33ADB">
        <w:rPr>
          <w:rFonts w:ascii="Times New Roman" w:hAnsi="Times New Roman"/>
          <w:noProof/>
          <w:sz w:val="28"/>
          <w:szCs w:val="28"/>
        </w:rPr>
        <w:t>Этапы разработки инвестиционной стратегии предприятия.</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2.</w:t>
      </w:r>
      <w:r w:rsidRPr="008F1B55">
        <w:rPr>
          <w:rFonts w:ascii="Times New Roman" w:hAnsi="Times New Roman"/>
          <w:noProof/>
          <w:sz w:val="28"/>
          <w:szCs w:val="28"/>
          <w:lang w:eastAsia="ru-RU"/>
        </w:rPr>
        <w:tab/>
      </w:r>
      <w:r w:rsidRPr="00C33ADB">
        <w:rPr>
          <w:rFonts w:ascii="Times New Roman" w:hAnsi="Times New Roman"/>
          <w:noProof/>
          <w:sz w:val="28"/>
          <w:szCs w:val="28"/>
        </w:rPr>
        <w:t>Оценка (анализ) финансового состояния ОАО «Племзавод «Чикский»</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2.1.</w:t>
      </w:r>
      <w:r w:rsidRPr="008F1B55">
        <w:rPr>
          <w:rFonts w:ascii="Times New Roman" w:hAnsi="Times New Roman"/>
          <w:noProof/>
          <w:sz w:val="28"/>
          <w:szCs w:val="28"/>
          <w:lang w:eastAsia="ru-RU"/>
        </w:rPr>
        <w:tab/>
      </w:r>
      <w:r w:rsidRPr="00C33ADB">
        <w:rPr>
          <w:rFonts w:ascii="Times New Roman" w:hAnsi="Times New Roman"/>
          <w:noProof/>
          <w:sz w:val="28"/>
          <w:szCs w:val="28"/>
        </w:rPr>
        <w:t>Характеристика ОАО «Племзавод «Чикский» и показатели его финансового состояния</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2.2.</w:t>
      </w:r>
      <w:r w:rsidRPr="008F1B55">
        <w:rPr>
          <w:rFonts w:ascii="Times New Roman" w:hAnsi="Times New Roman"/>
          <w:noProof/>
          <w:sz w:val="28"/>
          <w:szCs w:val="28"/>
          <w:lang w:eastAsia="ru-RU"/>
        </w:rPr>
        <w:tab/>
      </w:r>
      <w:r w:rsidRPr="00C33ADB">
        <w:rPr>
          <w:rFonts w:ascii="Times New Roman" w:hAnsi="Times New Roman"/>
          <w:noProof/>
          <w:sz w:val="28"/>
          <w:szCs w:val="28"/>
        </w:rPr>
        <w:t>Потребность предприятия в привлечении инвестиций</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3.</w:t>
      </w:r>
      <w:r w:rsidRPr="008F1B55">
        <w:rPr>
          <w:rFonts w:ascii="Times New Roman" w:hAnsi="Times New Roman"/>
          <w:noProof/>
          <w:sz w:val="28"/>
          <w:szCs w:val="28"/>
          <w:lang w:eastAsia="ru-RU"/>
        </w:rPr>
        <w:tab/>
      </w:r>
      <w:r w:rsidRPr="00C33ADB">
        <w:rPr>
          <w:rFonts w:ascii="Times New Roman" w:hAnsi="Times New Roman"/>
          <w:noProof/>
          <w:sz w:val="28"/>
          <w:szCs w:val="28"/>
        </w:rPr>
        <w:t>Разработка инвестиционной стратегии ОАО «Племзавод «Чикский»</w:t>
      </w:r>
      <w:r w:rsidR="008F1B55" w:rsidRPr="008F1B55">
        <w:rPr>
          <w:rFonts w:ascii="Times New Roman" w:hAnsi="Times New Roman"/>
          <w:noProof/>
          <w:sz w:val="28"/>
          <w:szCs w:val="28"/>
          <w:lang w:eastAsia="ru-RU"/>
        </w:rPr>
        <w:t xml:space="preserve"> </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Заключение</w:t>
      </w:r>
    </w:p>
    <w:p w:rsidR="000109E5" w:rsidRPr="008F1B55" w:rsidRDefault="000109E5" w:rsidP="008F1B55">
      <w:pPr>
        <w:tabs>
          <w:tab w:val="left" w:pos="284"/>
          <w:tab w:val="left" w:pos="567"/>
        </w:tabs>
        <w:spacing w:after="0" w:line="360" w:lineRule="auto"/>
        <w:rPr>
          <w:rFonts w:ascii="Times New Roman" w:hAnsi="Times New Roman"/>
          <w:noProof/>
          <w:sz w:val="28"/>
          <w:szCs w:val="28"/>
          <w:lang w:eastAsia="ru-RU"/>
        </w:rPr>
      </w:pPr>
      <w:r w:rsidRPr="00C33ADB">
        <w:rPr>
          <w:rFonts w:ascii="Times New Roman" w:hAnsi="Times New Roman"/>
          <w:noProof/>
          <w:sz w:val="28"/>
          <w:szCs w:val="28"/>
        </w:rPr>
        <w:t>Список использованной литературы</w:t>
      </w:r>
    </w:p>
    <w:p w:rsidR="00F11AE8" w:rsidRPr="008F1B55" w:rsidRDefault="000109E5" w:rsidP="008F1B55">
      <w:pPr>
        <w:tabs>
          <w:tab w:val="left" w:pos="284"/>
          <w:tab w:val="left" w:pos="567"/>
        </w:tabs>
        <w:spacing w:after="0" w:line="360" w:lineRule="auto"/>
        <w:rPr>
          <w:rFonts w:ascii="Times New Roman" w:hAnsi="Times New Roman"/>
          <w:sz w:val="28"/>
          <w:szCs w:val="28"/>
        </w:rPr>
      </w:pPr>
      <w:r w:rsidRPr="00C33ADB">
        <w:rPr>
          <w:rFonts w:ascii="Times New Roman" w:hAnsi="Times New Roman"/>
          <w:noProof/>
          <w:sz w:val="28"/>
          <w:szCs w:val="28"/>
        </w:rPr>
        <w:t>Приложения</w:t>
      </w:r>
    </w:p>
    <w:p w:rsidR="00F11AE8" w:rsidRPr="008F1B55" w:rsidRDefault="00F11AE8" w:rsidP="008F1B55">
      <w:pPr>
        <w:spacing w:after="0" w:line="360" w:lineRule="auto"/>
        <w:ind w:firstLine="709"/>
        <w:jc w:val="center"/>
        <w:rPr>
          <w:rFonts w:ascii="Times New Roman" w:hAnsi="Times New Roman"/>
          <w:b/>
          <w:sz w:val="28"/>
          <w:szCs w:val="28"/>
        </w:rPr>
      </w:pPr>
      <w:r w:rsidRPr="008F1B55">
        <w:rPr>
          <w:rFonts w:ascii="Times New Roman" w:hAnsi="Times New Roman"/>
          <w:sz w:val="28"/>
          <w:szCs w:val="28"/>
        </w:rPr>
        <w:br w:type="page"/>
      </w:r>
      <w:bookmarkStart w:id="0" w:name="_Toc233756840"/>
      <w:r w:rsidRPr="008F1B55">
        <w:rPr>
          <w:rFonts w:ascii="Times New Roman" w:hAnsi="Times New Roman"/>
          <w:b/>
          <w:sz w:val="28"/>
          <w:szCs w:val="28"/>
        </w:rPr>
        <w:t>Введение</w:t>
      </w:r>
      <w:bookmarkEnd w:id="0"/>
    </w:p>
    <w:p w:rsidR="00F11AE8" w:rsidRPr="008F1B55" w:rsidRDefault="00F11AE8" w:rsidP="008F1B55">
      <w:pPr>
        <w:spacing w:after="0" w:line="360" w:lineRule="auto"/>
        <w:ind w:firstLine="709"/>
        <w:jc w:val="both"/>
        <w:rPr>
          <w:rFonts w:ascii="Times New Roman" w:hAnsi="Times New Roman"/>
          <w:sz w:val="28"/>
          <w:szCs w:val="28"/>
        </w:rPr>
      </w:pPr>
    </w:p>
    <w:p w:rsidR="00F11AE8" w:rsidRPr="008F1B55" w:rsidRDefault="00514C3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Производственно-хозяйственная деятельность любого предприятия в той или иной степени обязательно связана с инвестиционной деятельностью. Необходимым условием структурной перестройки и экономического роста являются наращивание объема и повышение эффективности инвестиций в создание новых и развитие, совершенствование действующих основных фондов и производств, в материальные и нематериальные активы.</w:t>
      </w:r>
    </w:p>
    <w:p w:rsidR="00175ADB" w:rsidRPr="008F1B55" w:rsidRDefault="00514C3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Характерные до последнего времени спад аграрного производства, финансовая недееспособность большинства сельскохозяйственных предприятий не позволяли осуществлять процесс даже простого воспроизводства. </w:t>
      </w:r>
    </w:p>
    <w:p w:rsidR="00514C3F" w:rsidRPr="008F1B55" w:rsidRDefault="00514C3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Изменение конъюнктуры рынка, сокращение диспаритета цен на продукцию сельского хозяйства и промышленности, привели к тому, что, несмотря на крайне низкий уровень интенсификации производства в большинстве аграрных формирований, практически все они вышли на уровень рентабельного хозяйствования. Одним из основных направлений адаптации сельскохозяйственных предприятий к изменяющимся условиям ведения производства является реструктуризация их производственных систем. Выход на оптимальные параметры функционирования невозможен без инвестиций, обеспечивающих необходимые структурные изменения.</w:t>
      </w:r>
    </w:p>
    <w:p w:rsidR="00175ADB" w:rsidRPr="008F1B55" w:rsidRDefault="00175AD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В этой связи особую остроту и актуальность приобретает проблема обоснования приоритетных направлений инвестиций и их объемов в зависимости от источников инвестиций и эффективности отдельных инвестиционных проектов. Многие вопросы, в частности связанные с созданием необходимых условий для инвестиций в аграрный сектор и обоснованием механизма инвестиционного обеспечения приоритетных направлений оптимального развития сельского предпринимательства, являются малоизученными и актуальными.</w:t>
      </w:r>
    </w:p>
    <w:p w:rsidR="00514C3F" w:rsidRPr="008F1B55" w:rsidRDefault="00514C3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Цель работы – разработать инвестиционную стратегию ОАО «Племзавод «Чикский», направленную на модернизацию его деятельности.</w:t>
      </w:r>
    </w:p>
    <w:p w:rsidR="00175ADB" w:rsidRPr="008F1B55" w:rsidRDefault="00175AD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Задачи:</w:t>
      </w:r>
    </w:p>
    <w:p w:rsidR="00175ADB" w:rsidRPr="008F1B55" w:rsidRDefault="00175AD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рассмотреть теоретические вопросы, связанные с формированием инвестиционной стратегии предприятия;</w:t>
      </w:r>
    </w:p>
    <w:p w:rsidR="00175ADB" w:rsidRPr="008F1B55" w:rsidRDefault="00175AD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оценить современное финансовое состояние хозяйства;</w:t>
      </w:r>
    </w:p>
    <w:p w:rsidR="00175ADB" w:rsidRPr="008F1B55" w:rsidRDefault="00175AD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разработать направления инвестиционной стратегии ОАО «Племзавод «Чикский».</w:t>
      </w:r>
    </w:p>
    <w:p w:rsidR="00175ADB" w:rsidRPr="008F1B55" w:rsidRDefault="00175ADB" w:rsidP="008F1B55">
      <w:pPr>
        <w:spacing w:after="0" w:line="360" w:lineRule="auto"/>
        <w:ind w:firstLine="709"/>
        <w:jc w:val="both"/>
        <w:rPr>
          <w:rFonts w:ascii="Times New Roman" w:hAnsi="Times New Roman"/>
          <w:sz w:val="28"/>
          <w:szCs w:val="28"/>
        </w:rPr>
      </w:pPr>
    </w:p>
    <w:p w:rsidR="00F11AE8" w:rsidRPr="008F1B55" w:rsidRDefault="00F11AE8" w:rsidP="008F1B55">
      <w:pPr>
        <w:spacing w:after="0" w:line="360" w:lineRule="auto"/>
        <w:ind w:firstLine="709"/>
        <w:jc w:val="center"/>
        <w:rPr>
          <w:rFonts w:ascii="Times New Roman" w:hAnsi="Times New Roman"/>
          <w:b/>
          <w:sz w:val="28"/>
          <w:szCs w:val="28"/>
        </w:rPr>
      </w:pPr>
      <w:r w:rsidRPr="008F1B55">
        <w:rPr>
          <w:rFonts w:ascii="Times New Roman" w:hAnsi="Times New Roman"/>
          <w:sz w:val="28"/>
          <w:szCs w:val="28"/>
        </w:rPr>
        <w:br w:type="page"/>
      </w:r>
      <w:bookmarkStart w:id="1" w:name="_Toc233756841"/>
      <w:r w:rsidR="008F1B55" w:rsidRPr="008F1B55">
        <w:rPr>
          <w:rFonts w:ascii="Times New Roman" w:hAnsi="Times New Roman"/>
          <w:b/>
          <w:sz w:val="28"/>
          <w:szCs w:val="28"/>
        </w:rPr>
        <w:t xml:space="preserve">1. </w:t>
      </w:r>
      <w:r w:rsidRPr="008F1B55">
        <w:rPr>
          <w:rFonts w:ascii="Times New Roman" w:hAnsi="Times New Roman"/>
          <w:b/>
          <w:sz w:val="28"/>
          <w:szCs w:val="28"/>
        </w:rPr>
        <w:t>Теоретические основы</w:t>
      </w:r>
      <w:bookmarkEnd w:id="1"/>
    </w:p>
    <w:p w:rsidR="00F11AE8" w:rsidRPr="008F1B55" w:rsidRDefault="00F11AE8" w:rsidP="008F1B55">
      <w:pPr>
        <w:spacing w:after="0" w:line="360" w:lineRule="auto"/>
        <w:ind w:firstLine="709"/>
        <w:jc w:val="center"/>
        <w:rPr>
          <w:rFonts w:ascii="Times New Roman" w:hAnsi="Times New Roman"/>
          <w:b/>
          <w:sz w:val="28"/>
          <w:szCs w:val="28"/>
        </w:rPr>
      </w:pPr>
    </w:p>
    <w:p w:rsidR="00F11AE8" w:rsidRPr="008F1B55" w:rsidRDefault="008F1B55" w:rsidP="008F1B55">
      <w:pPr>
        <w:spacing w:after="0" w:line="360" w:lineRule="auto"/>
        <w:ind w:firstLine="709"/>
        <w:jc w:val="center"/>
        <w:rPr>
          <w:rFonts w:ascii="Times New Roman" w:hAnsi="Times New Roman"/>
          <w:b/>
          <w:sz w:val="28"/>
          <w:szCs w:val="28"/>
        </w:rPr>
      </w:pPr>
      <w:bookmarkStart w:id="2" w:name="_Toc233756842"/>
      <w:r w:rsidRPr="008F1B55">
        <w:rPr>
          <w:rFonts w:ascii="Times New Roman" w:hAnsi="Times New Roman"/>
          <w:b/>
          <w:sz w:val="28"/>
          <w:szCs w:val="28"/>
        </w:rPr>
        <w:t xml:space="preserve">1.1 </w:t>
      </w:r>
      <w:r w:rsidR="00F11AE8" w:rsidRPr="008F1B55">
        <w:rPr>
          <w:rFonts w:ascii="Times New Roman" w:hAnsi="Times New Roman"/>
          <w:b/>
          <w:sz w:val="28"/>
          <w:szCs w:val="28"/>
        </w:rPr>
        <w:t>Инвестиционная стратегия, как элемент общей стратегии предприятия</w:t>
      </w:r>
      <w:bookmarkEnd w:id="2"/>
    </w:p>
    <w:p w:rsidR="00F11AE8" w:rsidRPr="008F1B55" w:rsidRDefault="00F11AE8" w:rsidP="008F1B55">
      <w:pPr>
        <w:spacing w:after="0" w:line="360" w:lineRule="auto"/>
        <w:ind w:firstLine="709"/>
        <w:jc w:val="both"/>
        <w:rPr>
          <w:rFonts w:ascii="Times New Roman" w:hAnsi="Times New Roman"/>
          <w:sz w:val="28"/>
          <w:szCs w:val="28"/>
        </w:rPr>
      </w:pP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Инвестиционная стратегия — система долгосрочных целей инвестиционной деятельности предприятия, определяемых общими задачами его развития и инвестиционной идеологией, а также выбор наиболее эффективных путей их достижения. Инвестиционная стратегия является эффективным инструментом перспективного управления инвестиционной деятельностью предприятия, представляет собой концепцию ее развития и в качестве генерального плана осуществления инвестиционной деятельности предприятия определяет: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приоритеты направлений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формы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характер формирования инвестиционных ресурсов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последовательность этапов реализации долгосрочных инвестиционных целей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границы возможной инвестиционной активности предприятия по направлениям и формам его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систему формализованных критериев, по которым предприятие моделирует, реализует и оценивает свою инвестиционную деятельность.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Процесс разработки инвестиционной стратегии является важнейшей составной частью общей системы стратегического выбора предприятия и включает: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постановку целей инвестиционной стратегии;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оптимизацию структуры формируемых инвестиционных ресурсов и их распределения;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выработку инвестиционной политики по наиболее важным аспектам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поддержание взаимоотношений с внешней инвестиционной средой.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Необходимость разработки инвестиционной стратегии предприятия определяется изменениями условий внешней и внутренней среды.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Эффективно управлять инвестициями возможно только при наличии инвестиционной стратегии, адаптированной к возможным изменениям факторов внешней инвестиционной среды, иначе инвестиционные решения отдельных подразделений предприятия могут противоречить друг другу, что будет снижать эффективность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Изменение факторов внутренней среды предприятия может быть связано с кардинальными изменениями целей его операционной деятельности или с предстоящими изменениями в стадии жизненного цикла. Открывающиеся новые коммерческие возможности меняют цели операционной деятельности предприятия. В этом случае разработанная инвестиционная стратегия обеспечивает прогнозируемый характер возрастания инвестиционной активности предприятия и диверсификации его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Поскольку каждой стадии жизненного цикла предприятия присущи характерные ей уровень инвестиционной активности, направления и формы инвестиционной деятельности, особенности формирования инвестиционных ресурсов, инвестиционная стратегия позволяет адаптировать инвестиционную деятельность предприятия к изменениям его экономического развития.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Процесс разработки инвестиционной стратегии требует выделения объектов стратегического управления предприятия. К таким объектам относится инвестиционная деятельность: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предприятия в целом;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стратегической зоны хозяйствования;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стратегического центра.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Стратегическая зона хозяйствования представляет собой самостоятельный хозяйственный сегмент в рамках предприятия, осуществляющий свою деятельность в ряде смежных отраслей, объединенных общим спросом или общностью используемого сырья, технологий. </w:t>
      </w:r>
      <w:r w:rsidR="00641C09" w:rsidRPr="008F1B55">
        <w:rPr>
          <w:rFonts w:ascii="Times New Roman" w:hAnsi="Times New Roman"/>
          <w:sz w:val="28"/>
          <w:szCs w:val="28"/>
        </w:rPr>
        <w:t>[11;</w:t>
      </w:r>
      <w:r w:rsidR="00641C09" w:rsidRPr="008F1B55">
        <w:rPr>
          <w:rFonts w:ascii="Times New Roman" w:hAnsi="Times New Roman"/>
          <w:sz w:val="28"/>
          <w:szCs w:val="28"/>
          <w:lang w:val="en-US"/>
        </w:rPr>
        <w:t>c</w:t>
      </w:r>
      <w:r w:rsidR="00641C09" w:rsidRPr="008F1B55">
        <w:rPr>
          <w:rFonts w:ascii="Times New Roman" w:hAnsi="Times New Roman"/>
          <w:sz w:val="28"/>
          <w:szCs w:val="28"/>
        </w:rPr>
        <w:t>10-12]</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Стратегический инвестиционный центр — самостоятельная структурная единица предприятия, специализирующаяся на выполнении отдельных функций или направлений инвестиционной деятельности и обеспечивающая эффективную хозяйственную деятельность отдельных стратегических зон хозяйствования. В современных условиях хозяйствования инвестиционная стратегия становится одним из определяющих факторов успешного и эффективного развития предприятия. Разработанная инвестиционная стратегия: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обеспечивает механизм реализации долгосрочных общих и инвестиционных целей предстоящего экономического и социального развития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позволяет реально оценить инвестиционные возможности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позволяет максимально использовать инвестиционный потенциал и активно маневрировать инвестиционными ресурсами;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обеспечивает возможность быстрой реализации новых перспективных инвестиционных возможностей, которые неизбежно возникают в процессе изменений факторов внешней рыночной инвестиционной среды;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позволяет прогнозировать возможные варианты развития внешней инвестиционной среды и уменьшить влияние негативных факторов на деятельность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обеспечивает четкую взаимосвязь стратегического, тактического (текущего) и оперативного управления инвестиционной деятельностью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отражает преимущества предприятия в конкурентном окружении;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определяет соответствующую политику инвестиционной деятельности в рамках реализации наиболее важных стратегических инвестиционных решений.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Внутри инвестиционной стратегии формируется значение основных критериальных оценок выбора реальных инвестиционных проектов и финансовых инструментов инвестирования. Разработанная инвестиционная стратегия является одной из базисных предпосылок стратегических изменений общей организационной структуры управления предприятием и его организационной культуры.</w:t>
      </w:r>
    </w:p>
    <w:p w:rsidR="00F11AE8" w:rsidRPr="008F1B55" w:rsidRDefault="00F11AE8" w:rsidP="008F1B55">
      <w:pPr>
        <w:spacing w:after="0" w:line="360" w:lineRule="auto"/>
        <w:ind w:firstLine="709"/>
        <w:jc w:val="both"/>
        <w:rPr>
          <w:rFonts w:ascii="Times New Roman" w:hAnsi="Times New Roman"/>
          <w:sz w:val="28"/>
          <w:szCs w:val="28"/>
        </w:rPr>
      </w:pPr>
    </w:p>
    <w:p w:rsidR="00F11AE8" w:rsidRPr="008F1B55" w:rsidRDefault="008F1B55" w:rsidP="008F1B55">
      <w:pPr>
        <w:spacing w:after="0" w:line="360" w:lineRule="auto"/>
        <w:ind w:firstLine="709"/>
        <w:jc w:val="center"/>
        <w:rPr>
          <w:rFonts w:ascii="Times New Roman" w:hAnsi="Times New Roman"/>
          <w:b/>
          <w:sz w:val="28"/>
          <w:szCs w:val="28"/>
        </w:rPr>
      </w:pPr>
      <w:bookmarkStart w:id="3" w:name="_Toc233756843"/>
      <w:r w:rsidRPr="008F1B55">
        <w:rPr>
          <w:rFonts w:ascii="Times New Roman" w:hAnsi="Times New Roman"/>
          <w:b/>
          <w:sz w:val="28"/>
          <w:szCs w:val="28"/>
        </w:rPr>
        <w:t xml:space="preserve">1.2 </w:t>
      </w:r>
      <w:r w:rsidR="00F11AE8" w:rsidRPr="008F1B55">
        <w:rPr>
          <w:rFonts w:ascii="Times New Roman" w:hAnsi="Times New Roman"/>
          <w:b/>
          <w:sz w:val="28"/>
          <w:szCs w:val="28"/>
        </w:rPr>
        <w:t>Принципы инвестиционной стратегии предприятия</w:t>
      </w:r>
      <w:bookmarkEnd w:id="3"/>
    </w:p>
    <w:p w:rsidR="00F11AE8" w:rsidRPr="008F1B55" w:rsidRDefault="00F11AE8" w:rsidP="008F1B55">
      <w:pPr>
        <w:spacing w:after="0" w:line="360" w:lineRule="auto"/>
        <w:ind w:firstLine="709"/>
        <w:jc w:val="both"/>
        <w:rPr>
          <w:rFonts w:ascii="Times New Roman" w:hAnsi="Times New Roman"/>
          <w:sz w:val="28"/>
          <w:szCs w:val="28"/>
        </w:rPr>
      </w:pP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В процессе разработки инвестиционной стратегии предприятия подготовку и принятие стратегических инвестиционных решений обеспечивают следующие основные принципы.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Принцип инвайронментализма.</w:t>
      </w:r>
      <w:r w:rsidRPr="008F1B55">
        <w:rPr>
          <w:rFonts w:ascii="Times New Roman" w:hAnsi="Times New Roman"/>
          <w:sz w:val="28"/>
          <w:szCs w:val="28"/>
        </w:rPr>
        <w:t xml:space="preserve"> В противовес конституционализму (закрытой организации, деятельность которой не предполагает инвестиций и каких-либо отношений с внешней средой) инвайронментализм рассматривает предприятие как открытую для активного взаимодействия с внешней инвестиционной средой социально-экономическую систему, способную к самоорганизации, т.е. обретению соответствующей пространственной, временной или функциональной структуры. Это позволяет обеспечить качественно иной уровень формирования инвестиционной стратегии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Принцип соответствия</w:t>
      </w:r>
      <w:r w:rsidRPr="008F1B55">
        <w:rPr>
          <w:rFonts w:ascii="Times New Roman" w:hAnsi="Times New Roman"/>
          <w:sz w:val="28"/>
          <w:szCs w:val="28"/>
        </w:rPr>
        <w:t xml:space="preserve">. Являясь общей частью стратегии экономического развития предприятия, обеспечивающей в первую очередь развитие операционной деятельности, инвестиционная стратегия носит по отношению к ней подчиненный характер и поэтому должна быть согласована со стратегическими целями и направлениями операционной деятельности. Инвестиционная стратегия в этом случае рассматривается как один из главных факторов обеспечения эффективного развития предприятия, оказывающий существенное влияние на формирование стратегического развития операционной деятельности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Базовыми стратегиями операционной деятельности предприятия, реализацию которых обеспечивает инвестиционная стратегия, являются: ограниченный рост, ускоренный рост, сокращение (сжатие), сочетание (комбинирование).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Стратегию ограниченного роста используют предприятия со стабильным ассортиментом продукции и производственными технологиями, слабо подверженными влиянию научно-технического прогресса. Обычно эту стратегию выбирают в условиях относительно слабых колебаний конъюнктуры рынка и стабильной конкурентной позиции, когда инвестиционная стратегия направлена в первую очередь на эффективное обеспечение воспроизводственных процессов и прироста активов, обеспечивающих ограниченный рост объемов производства и реализации продукции. Стратегические изменения инвестиционной деятельности при этом минимальны.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Стратегию ускоренного роста выбирают предприятия на ранних стадиях своего жизненного цикла, функционирующие в динамично развивающихся отраслях, которые подвержены сильному влиянию научно-технического прогресса. Инвестиционная стратегия при этом носит наиболее сложный характер за счет необходимости обеспечения высоких темпов развития инвестиционной деятельности, ее Глава 3 Формирование инвестиционной стратегии предприятия диверсификации по различным формам, направлениям, регионам и отраслям.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Стратегия сокращения (сжатия) характерна для предприятий, находящихся на последних стадиях своего жизненного цикла, а также в фазе финансового кризиса. По своей сути это стратегия отсечения всего «лишнего». Она предусматривает сокращение объема и ассортимента выпускаемой продукции, уход с отдельных сегментов рынка и т.п. Инвестиционная стратегия должна обеспечить высокую маневренность использования высвобождаемого капитала в объектах инвестирования, обеспечивающих дальнейшую финансовую стабилизацию.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Стратегия сочетания (комбинирования) используется наиболее крупными предприятиями с широкой отраслевой и региональной диверсификацией инвестиционной деятельности. Она объединяет в себе различные типы частных стратегий стратегических зон хозяйствования или стратегических хозяйственных центров. Инвестиционная стратегия предприятий дифференцируется по отдельным объектам стратегического управления в зависимости от стратегических целей их развития.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Принцип сочетания</w:t>
      </w:r>
      <w:r w:rsidRPr="008F1B55">
        <w:rPr>
          <w:rFonts w:ascii="Times New Roman" w:hAnsi="Times New Roman"/>
          <w:sz w:val="28"/>
          <w:szCs w:val="28"/>
        </w:rPr>
        <w:t xml:space="preserve">. Этот принцип состоит в обеспечении сочетания перспективного, текущего и оперативного управления инвестиционной деятельностью. Разработанная инвестиционная стратегия предприятия по существу является лишь первым этапом процесса стратегического управления инвестиционной деятельностью предприятия. Такая стратегия ложится в основу тактического (текущего) управления инвестиционной деятельностью путем формирования инвестиционного портфеля предприятия (инвестиционной корзины, программы). В свою очередь тактическое управление является базой оперативного управления инвестиционной деятельностью путем реализации отдельных реальных инвестиционных проектов и реструктуризации портфеля финансовых инструментов.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Формирование инвестиционного портфеля является среднесрочным управленческим процессом, осуществляемым в рамках стратегических решений и текущих инвестиционных возможностей предприятия.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Оперативное управление реализацией реальных инвестиционных проектов и реструктуризацией портфеля финансовых инструментов является краткосрочным управленческим процессом и предусматривает разработку и принятие оперативных решений по отдельным инвестиционным проектам и финансовым инструментам, а в необходимых случаях подготовку решений о пересмотре портфеля.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 xml:space="preserve">Принцип преимущественной ориентации на предпринимательский стиль стратегического управления. </w:t>
      </w:r>
      <w:r w:rsidRPr="008F1B55">
        <w:rPr>
          <w:rFonts w:ascii="Times New Roman" w:hAnsi="Times New Roman"/>
          <w:sz w:val="28"/>
          <w:szCs w:val="28"/>
        </w:rPr>
        <w:t xml:space="preserve">Различают два стиля инвестиционного поведения предприятия в стратегической перспективе: приростной (рассматривается как консервативный) и предпринимательский (рассматривается как агрессивный, ориентированный на ускоренный рост).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Основу приростного стиля составляет постановка стратегических целей от достигнутого уровня инвестиционной деятельности с минимизацией альтернативности принимаемых стратегических инвестиционных решений. Кардинальные изменения направлений и форм инвестиционной деятельности осуществляются лишь при изменении операционной стратегии предприятия. Приростной стиль характерен для предприятий, достигших стадии зрелости жизненного цикла. Основу предпринимательского стиля инвестиционного поведения составляет активный поиск эффективных инвестиционных решений по всем направлениям и формам инвестиционной деятельности. Направления, формы и методы осуществления инвестиционной деятельности при этом стиле постоянно меняются с учетом изменяющихся факторов внешней инвестиционной среды.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Принцип инвестиционной гибкости и альтернативности</w:t>
      </w:r>
      <w:r w:rsidRPr="008F1B55">
        <w:rPr>
          <w:rFonts w:ascii="Times New Roman" w:hAnsi="Times New Roman"/>
          <w:sz w:val="28"/>
          <w:szCs w:val="28"/>
        </w:rPr>
        <w:t xml:space="preserve">. Инвестиционная стратегия должна быть разработана с учетом адаптивности к изменениям факторов внешней инвестиционной среды. Помимо прочего в основе стратегических инвестиционных решений должен лежать активный поиск альтернативных вариантов направлений, форм и методов осуществления инвестиционной деятельности, выбор наилучших из них, построение на этой основе общей инвестиционной стратегии и формирование механизмов эффективной ее реализации.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Инновационный принцип</w:t>
      </w:r>
      <w:r w:rsidRPr="008F1B55">
        <w:rPr>
          <w:rFonts w:ascii="Times New Roman" w:hAnsi="Times New Roman"/>
          <w:sz w:val="28"/>
          <w:szCs w:val="28"/>
        </w:rPr>
        <w:t xml:space="preserve">. Формируя инвестиционную стратегию, следует иметь в виду, что инвестиционная деятельность является главным механизмом внедрения технологических нововведений, обеспечивающих рост конкурентной позиции предприятия на рынке. Реализация общих целей стратегического развития предприятия в значительной степени зависит от того, насколько его инвестиционная стратегия отражает достигнутые результаты научно-технического прогресса и адаптирована к быстрому использованию новых его результатов.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Принцип минимизации инвестиционного риска</w:t>
      </w:r>
      <w:r w:rsidRPr="008F1B55">
        <w:rPr>
          <w:rFonts w:ascii="Times New Roman" w:hAnsi="Times New Roman"/>
          <w:sz w:val="28"/>
          <w:szCs w:val="28"/>
        </w:rPr>
        <w:t xml:space="preserve">. Практически все инвестиционные решения, принимаемые на предприятии в процессе формирования инвестиционной стратегии, изменяют уровень инвестиционного риска. В зависимости от различного инвестиционного поведения по отношению к риску уровень его допустимого значения в процессе разработки инвестиционной стратегии на каждом предприятии должен устанавливаться дифференцированно.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i/>
          <w:sz w:val="28"/>
          <w:szCs w:val="28"/>
        </w:rPr>
        <w:t>Принцип компетентности.</w:t>
      </w:r>
      <w:r w:rsidRPr="008F1B55">
        <w:rPr>
          <w:rFonts w:ascii="Times New Roman" w:hAnsi="Times New Roman"/>
          <w:sz w:val="28"/>
          <w:szCs w:val="28"/>
        </w:rPr>
        <w:t xml:space="preserve"> Какие бы специалисты не привлекались к разработке отдельных параметров инвестиционной стратегии предприятия, ее реализацию должны обеспечивать подготовленные, профессиональные специалисты — финансовые (инвестиционные) менеджеры, владеющие не только знаниями, навыками и опытом управления, но и инвестиционной культурой.</w:t>
      </w:r>
      <w:r w:rsidR="00641C09" w:rsidRPr="008F1B55">
        <w:rPr>
          <w:rFonts w:ascii="Times New Roman" w:hAnsi="Times New Roman"/>
          <w:sz w:val="28"/>
          <w:szCs w:val="28"/>
        </w:rPr>
        <w:t>[18;</w:t>
      </w:r>
      <w:r w:rsidR="00641C09" w:rsidRPr="008F1B55">
        <w:rPr>
          <w:rFonts w:ascii="Times New Roman" w:hAnsi="Times New Roman"/>
          <w:sz w:val="28"/>
          <w:szCs w:val="28"/>
          <w:lang w:val="en-US"/>
        </w:rPr>
        <w:t>c</w:t>
      </w:r>
      <w:r w:rsidR="00641C09" w:rsidRPr="008F1B55">
        <w:rPr>
          <w:rFonts w:ascii="Times New Roman" w:hAnsi="Times New Roman"/>
          <w:sz w:val="28"/>
          <w:szCs w:val="28"/>
        </w:rPr>
        <w:t>184]</w:t>
      </w:r>
    </w:p>
    <w:p w:rsidR="00F11AE8" w:rsidRPr="008F1B55" w:rsidRDefault="00F11AE8" w:rsidP="008F1B55">
      <w:pPr>
        <w:spacing w:after="0" w:line="360" w:lineRule="auto"/>
        <w:ind w:firstLine="709"/>
        <w:jc w:val="both"/>
        <w:rPr>
          <w:rFonts w:ascii="Times New Roman" w:hAnsi="Times New Roman"/>
          <w:sz w:val="28"/>
          <w:szCs w:val="28"/>
        </w:rPr>
      </w:pPr>
    </w:p>
    <w:p w:rsidR="00F11AE8" w:rsidRPr="008F1B55" w:rsidRDefault="008F1B55" w:rsidP="008F1B55">
      <w:pPr>
        <w:spacing w:after="0" w:line="360" w:lineRule="auto"/>
        <w:ind w:firstLine="709"/>
        <w:jc w:val="center"/>
        <w:rPr>
          <w:rFonts w:ascii="Times New Roman" w:hAnsi="Times New Roman"/>
          <w:b/>
          <w:sz w:val="28"/>
          <w:szCs w:val="28"/>
        </w:rPr>
      </w:pPr>
      <w:bookmarkStart w:id="4" w:name="_Toc233756844"/>
      <w:r w:rsidRPr="008F1B55">
        <w:rPr>
          <w:rFonts w:ascii="Times New Roman" w:hAnsi="Times New Roman"/>
          <w:b/>
          <w:sz w:val="28"/>
          <w:szCs w:val="28"/>
        </w:rPr>
        <w:t xml:space="preserve">1.3 </w:t>
      </w:r>
      <w:r w:rsidR="00CC4001" w:rsidRPr="008F1B55">
        <w:rPr>
          <w:rFonts w:ascii="Times New Roman" w:hAnsi="Times New Roman"/>
          <w:b/>
          <w:sz w:val="28"/>
          <w:szCs w:val="28"/>
        </w:rPr>
        <w:t xml:space="preserve">Этапы </w:t>
      </w:r>
      <w:r w:rsidR="00F20FCA" w:rsidRPr="008F1B55">
        <w:rPr>
          <w:rFonts w:ascii="Times New Roman" w:hAnsi="Times New Roman"/>
          <w:b/>
          <w:sz w:val="28"/>
          <w:szCs w:val="28"/>
        </w:rPr>
        <w:t>разработки</w:t>
      </w:r>
      <w:r w:rsidR="00F11AE8" w:rsidRPr="008F1B55">
        <w:rPr>
          <w:rFonts w:ascii="Times New Roman" w:hAnsi="Times New Roman"/>
          <w:b/>
          <w:sz w:val="28"/>
          <w:szCs w:val="28"/>
        </w:rPr>
        <w:t xml:space="preserve"> инвестиционной стратегии предприятия</w:t>
      </w:r>
      <w:bookmarkEnd w:id="4"/>
    </w:p>
    <w:p w:rsidR="00F11AE8" w:rsidRPr="008F1B55" w:rsidRDefault="00F11AE8" w:rsidP="008F1B55">
      <w:pPr>
        <w:spacing w:after="0" w:line="360" w:lineRule="auto"/>
        <w:ind w:firstLine="709"/>
        <w:jc w:val="both"/>
        <w:rPr>
          <w:rFonts w:ascii="Times New Roman" w:hAnsi="Times New Roman"/>
          <w:sz w:val="28"/>
          <w:szCs w:val="28"/>
        </w:rPr>
      </w:pP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Процесс разработки инвестиционной стратегии предприятия складывается из следующих этапов: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определение общего периода формирования инвестиционной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стратегии;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формирование стратегических целей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обоснование стратегических направлений и форм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определение стратегических направлений формирования инвестиционных ресурсов;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формирование инвести</w:t>
      </w:r>
      <w:r w:rsidR="009A48B3">
        <w:rPr>
          <w:rFonts w:ascii="Times New Roman" w:hAnsi="Times New Roman"/>
          <w:sz w:val="28"/>
          <w:szCs w:val="28"/>
        </w:rPr>
        <w:t>ционной политики по основным на</w:t>
      </w:r>
      <w:r w:rsidRPr="008F1B55">
        <w:rPr>
          <w:rFonts w:ascii="Times New Roman" w:hAnsi="Times New Roman"/>
          <w:sz w:val="28"/>
          <w:szCs w:val="28"/>
        </w:rPr>
        <w:t xml:space="preserve">правлениям инвестиционной деятельности;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оценка результативности разработанной инвестиционной стратегии.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Период формирования инвестиционной стратегии зависит: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от продолжительности периода, принятого для формирования общей стратегии развития предприятия — инвестиционная стратегия предприятия не может выходить за пределы этого периода;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возможностей прогнозирования состояния развития экономики и инвестиционного рынка — инвестиционная стратегия крупнейших компаний Запада разрабатывается на 10—15 лет; в условиях нестабильности экономической и политической ситуации в России этот период не может превышать в среднем 3—5 лет;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отраслевой принадлежности предприятия — в сфере розничной торговли, услуг, производства потребительских товаров период формирования инвестиционной стратегии короче (на Западе 3—5 лет); в сфере производства средств производства, в добывающих отраслях — дольше (5—10 лет); самый длительный период характерен для институциональных инвесторов (свыше 10 лет); </w:t>
      </w:r>
    </w:p>
    <w:p w:rsidR="00F20FCA"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размеров предприятия. Чем крупнее предприятие, тем на более длительный срок разрабатывается инвестиционная стратегия.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Формирование стратегических целей, анализ стратегических альтернатив, выбор стратегических направлений и форм инвестиционной деятельности, а также определение стратегических направлений формирования инвестиционных ресурсов являются важнейшими этапами разработки инвестиционной стратегии предприятия. Их сущность и содержание будут рассмотрены подробно в следующих разделах. Инвестиционная политика представляет собой форму реализации инвестиционной стратегии предприятия в разрезе наиболее важных направлений инвестиционной деятельности на отдельных этапах ее осуществления. В отличие от инвестиционной стратегии </w:t>
      </w:r>
      <w:r w:rsidR="00F20FCA" w:rsidRPr="008F1B55">
        <w:rPr>
          <w:rFonts w:ascii="Times New Roman" w:hAnsi="Times New Roman"/>
          <w:sz w:val="28"/>
          <w:szCs w:val="28"/>
        </w:rPr>
        <w:t xml:space="preserve">инвестиционная </w:t>
      </w:r>
      <w:r w:rsidRPr="008F1B55">
        <w:rPr>
          <w:rFonts w:ascii="Times New Roman" w:hAnsi="Times New Roman"/>
          <w:sz w:val="28"/>
          <w:szCs w:val="28"/>
        </w:rPr>
        <w:t xml:space="preserve">политика формируется только по конкретным направлениям деятельности, требующим обеспечения наиболее эффективного управления для достижения главной стратегической цели.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В рамках инвестиционной стратегии предприятия разрабатывается политика: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управления реальными инвестициями;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управления финансовыми инвестициями;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 формирования инвестиционных ресурсов; </w:t>
      </w:r>
    </w:p>
    <w:p w:rsidR="00F11AE8" w:rsidRPr="008F1B55" w:rsidRDefault="00F11AE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управления инвестиционными рисками.</w:t>
      </w:r>
    </w:p>
    <w:p w:rsidR="00F20FCA" w:rsidRPr="008F1B55" w:rsidRDefault="00F20FCA" w:rsidP="008F1B55">
      <w:pPr>
        <w:spacing w:after="0" w:line="360" w:lineRule="auto"/>
        <w:ind w:firstLine="709"/>
        <w:jc w:val="center"/>
        <w:rPr>
          <w:rFonts w:ascii="Times New Roman" w:hAnsi="Times New Roman"/>
          <w:b/>
          <w:sz w:val="28"/>
          <w:szCs w:val="28"/>
        </w:rPr>
      </w:pPr>
      <w:r w:rsidRPr="008F1B55">
        <w:rPr>
          <w:rFonts w:ascii="Times New Roman" w:hAnsi="Times New Roman"/>
          <w:sz w:val="28"/>
          <w:szCs w:val="28"/>
        </w:rPr>
        <w:br w:type="page"/>
      </w:r>
      <w:bookmarkStart w:id="5" w:name="_Toc230406192"/>
      <w:bookmarkStart w:id="6" w:name="_Toc233756845"/>
      <w:r w:rsidR="008F1B55" w:rsidRPr="008F1B55">
        <w:rPr>
          <w:rFonts w:ascii="Times New Roman" w:hAnsi="Times New Roman"/>
          <w:b/>
          <w:sz w:val="28"/>
          <w:szCs w:val="28"/>
        </w:rPr>
        <w:t xml:space="preserve">2. </w:t>
      </w:r>
      <w:r w:rsidRPr="008F1B55">
        <w:rPr>
          <w:rFonts w:ascii="Times New Roman" w:hAnsi="Times New Roman"/>
          <w:b/>
          <w:sz w:val="28"/>
          <w:szCs w:val="28"/>
        </w:rPr>
        <w:t xml:space="preserve">Оценка </w:t>
      </w:r>
      <w:r w:rsidR="003D439E" w:rsidRPr="008F1B55">
        <w:rPr>
          <w:rFonts w:ascii="Times New Roman" w:hAnsi="Times New Roman"/>
          <w:b/>
          <w:sz w:val="28"/>
          <w:szCs w:val="28"/>
        </w:rPr>
        <w:t xml:space="preserve">(анализ) </w:t>
      </w:r>
      <w:r w:rsidRPr="008F1B55">
        <w:rPr>
          <w:rFonts w:ascii="Times New Roman" w:hAnsi="Times New Roman"/>
          <w:b/>
          <w:sz w:val="28"/>
          <w:szCs w:val="28"/>
        </w:rPr>
        <w:t>финансово</w:t>
      </w:r>
      <w:r w:rsidR="001A0F32" w:rsidRPr="008F1B55">
        <w:rPr>
          <w:rFonts w:ascii="Times New Roman" w:hAnsi="Times New Roman"/>
          <w:b/>
          <w:sz w:val="28"/>
          <w:szCs w:val="28"/>
        </w:rPr>
        <w:t>го состояния</w:t>
      </w:r>
      <w:r w:rsidRPr="008F1B55">
        <w:rPr>
          <w:rFonts w:ascii="Times New Roman" w:hAnsi="Times New Roman"/>
          <w:b/>
          <w:sz w:val="28"/>
          <w:szCs w:val="28"/>
        </w:rPr>
        <w:t xml:space="preserve"> ОАО «Племзавод «Чикский»</w:t>
      </w:r>
      <w:bookmarkEnd w:id="5"/>
      <w:bookmarkEnd w:id="6"/>
    </w:p>
    <w:p w:rsidR="00F20FCA" w:rsidRPr="008F1B55" w:rsidRDefault="00F20FCA" w:rsidP="008F1B55">
      <w:pPr>
        <w:spacing w:after="0" w:line="360" w:lineRule="auto"/>
        <w:ind w:firstLine="709"/>
        <w:jc w:val="center"/>
        <w:rPr>
          <w:rFonts w:ascii="Times New Roman" w:hAnsi="Times New Roman"/>
          <w:b/>
          <w:sz w:val="28"/>
          <w:szCs w:val="28"/>
        </w:rPr>
      </w:pPr>
    </w:p>
    <w:p w:rsidR="00F20FCA" w:rsidRPr="008F1B55" w:rsidRDefault="008F1B55" w:rsidP="008F1B55">
      <w:pPr>
        <w:spacing w:after="0" w:line="360" w:lineRule="auto"/>
        <w:ind w:firstLine="709"/>
        <w:jc w:val="center"/>
        <w:rPr>
          <w:rFonts w:ascii="Times New Roman" w:hAnsi="Times New Roman"/>
          <w:b/>
          <w:sz w:val="28"/>
          <w:szCs w:val="28"/>
        </w:rPr>
      </w:pPr>
      <w:bookmarkStart w:id="7" w:name="_Toc230406193"/>
      <w:bookmarkStart w:id="8" w:name="_Toc233756846"/>
      <w:r w:rsidRPr="008F1B55">
        <w:rPr>
          <w:rFonts w:ascii="Times New Roman" w:hAnsi="Times New Roman"/>
          <w:b/>
          <w:sz w:val="28"/>
          <w:szCs w:val="28"/>
        </w:rPr>
        <w:t xml:space="preserve">2.1 </w:t>
      </w:r>
      <w:r w:rsidR="00F20FCA" w:rsidRPr="008F1B55">
        <w:rPr>
          <w:rFonts w:ascii="Times New Roman" w:hAnsi="Times New Roman"/>
          <w:b/>
          <w:sz w:val="28"/>
          <w:szCs w:val="28"/>
        </w:rPr>
        <w:t>Характеристика ОАО «Племзавод «Чикский»</w:t>
      </w:r>
      <w:bookmarkEnd w:id="7"/>
      <w:r w:rsidR="00840AA6" w:rsidRPr="008F1B55">
        <w:rPr>
          <w:rFonts w:ascii="Times New Roman" w:hAnsi="Times New Roman"/>
          <w:b/>
          <w:sz w:val="28"/>
          <w:szCs w:val="28"/>
        </w:rPr>
        <w:t xml:space="preserve"> и показатели его финансового состояния</w:t>
      </w:r>
      <w:bookmarkEnd w:id="8"/>
    </w:p>
    <w:p w:rsidR="00F20FCA" w:rsidRPr="008F1B55" w:rsidRDefault="00F20FC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ОАО «Племзавод «Чикский» – крупное сельскохозяйственное предприятие. Находится в центральной части Новосибирской области в Коченевском районе.</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Количество рабочих на 31.12.07г составляло 676 человек, на 31.12.08. – 635 человек.</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Основные виды деятельности предприятия: производство зерна (пшеница, овес, рожь, ячмень), животноводство (молочное направление, мясное направление, разведение племенных лошадей). Кроме того, на предприятии функционирует собственные колбасный и пельменный цех, пекарня, а также налажено производство концентрированных кормов для нужд хозяйства.</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В ОАО «Племзавод «Чикский» постоянно совершенствуется производство продукции, как в растениеводстве, так и в животноводстве. Ежегодно закупается современная импортная сельскохозяйственная техника.</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При оценке имущественного положения предприятия необходимо составить сравнительный аналитический баланс, в который включаются основные агрегированные показатели бухгалтерского баланса (табл. </w:t>
      </w:r>
      <w:r w:rsidR="00840AA6" w:rsidRPr="008F1B55">
        <w:rPr>
          <w:rFonts w:ascii="Times New Roman" w:hAnsi="Times New Roman"/>
          <w:sz w:val="28"/>
          <w:szCs w:val="28"/>
        </w:rPr>
        <w:t>1</w:t>
      </w:r>
      <w:r w:rsidRPr="008F1B55">
        <w:rPr>
          <w:rFonts w:ascii="Times New Roman" w:hAnsi="Times New Roman"/>
          <w:sz w:val="28"/>
          <w:szCs w:val="28"/>
        </w:rPr>
        <w:t>).</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По данным Таблицы </w:t>
      </w:r>
      <w:r w:rsidR="00BC1455" w:rsidRPr="008F1B55">
        <w:rPr>
          <w:rFonts w:ascii="Times New Roman" w:hAnsi="Times New Roman"/>
          <w:sz w:val="28"/>
          <w:szCs w:val="28"/>
        </w:rPr>
        <w:t>1</w:t>
      </w:r>
      <w:r w:rsidRPr="008F1B55">
        <w:rPr>
          <w:rFonts w:ascii="Times New Roman" w:hAnsi="Times New Roman"/>
          <w:sz w:val="28"/>
          <w:szCs w:val="28"/>
        </w:rPr>
        <w:t xml:space="preserve"> за 2008 год стоимость имущества предприятия увеличилась на 45460 тыс. руб., в основном это обеспечивалось за счет прироста оборотных активов. Увеличение стоимости имущества на 81,1% обеспечивалась ростом оборотных активов и на 18,81% внеоборотных. </w:t>
      </w:r>
    </w:p>
    <w:p w:rsidR="00F20FCA" w:rsidRPr="008F1B55" w:rsidRDefault="00F20FCA" w:rsidP="008F1B55">
      <w:pPr>
        <w:spacing w:after="0" w:line="360" w:lineRule="auto"/>
        <w:ind w:firstLine="709"/>
        <w:jc w:val="both"/>
        <w:rPr>
          <w:rFonts w:ascii="Times New Roman" w:hAnsi="Times New Roman"/>
          <w:sz w:val="28"/>
          <w:szCs w:val="28"/>
        </w:rPr>
        <w:sectPr w:rsidR="00F20FCA" w:rsidRPr="008F1B55" w:rsidSect="008F1B55">
          <w:pgSz w:w="11906" w:h="16838"/>
          <w:pgMar w:top="1134" w:right="851" w:bottom="1134" w:left="1701" w:header="708" w:footer="708" w:gutter="0"/>
          <w:cols w:space="708"/>
          <w:titlePg/>
          <w:docGrid w:linePitch="360"/>
        </w:sect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Таблица </w:t>
      </w:r>
      <w:r w:rsidR="00840AA6" w:rsidRPr="008F1B55">
        <w:rPr>
          <w:rFonts w:ascii="Times New Roman" w:hAnsi="Times New Roman"/>
          <w:sz w:val="28"/>
          <w:szCs w:val="28"/>
        </w:rPr>
        <w:t>1</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Сравнительный аналитический баланс ОАО «Племзавод «Чикский» на31 декабря 2008г.,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1316"/>
        <w:gridCol w:w="1278"/>
        <w:gridCol w:w="1187"/>
        <w:gridCol w:w="1163"/>
        <w:gridCol w:w="1587"/>
        <w:gridCol w:w="1236"/>
        <w:gridCol w:w="1906"/>
        <w:gridCol w:w="1885"/>
      </w:tblGrid>
      <w:tr w:rsidR="00F20FCA" w:rsidRPr="000F5DFD" w:rsidTr="000F5DFD">
        <w:trPr>
          <w:trHeight w:val="300"/>
        </w:trPr>
        <w:tc>
          <w:tcPr>
            <w:tcW w:w="0" w:type="auto"/>
            <w:vMerge w:val="restart"/>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Показатель баланса</w:t>
            </w:r>
          </w:p>
        </w:tc>
        <w:tc>
          <w:tcPr>
            <w:tcW w:w="0" w:type="auto"/>
            <w:gridSpan w:val="2"/>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Абсолютные величины</w:t>
            </w:r>
          </w:p>
        </w:tc>
        <w:tc>
          <w:tcPr>
            <w:tcW w:w="0" w:type="auto"/>
            <w:gridSpan w:val="2"/>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Удельные веса</w:t>
            </w:r>
          </w:p>
        </w:tc>
        <w:tc>
          <w:tcPr>
            <w:tcW w:w="0" w:type="auto"/>
            <w:gridSpan w:val="4"/>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Изменения</w:t>
            </w:r>
          </w:p>
        </w:tc>
      </w:tr>
      <w:tr w:rsidR="00F20FCA" w:rsidRPr="000F5DFD" w:rsidTr="000F5DFD">
        <w:trPr>
          <w:trHeight w:val="70"/>
        </w:trPr>
        <w:tc>
          <w:tcPr>
            <w:tcW w:w="0" w:type="auto"/>
            <w:vMerge/>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На начало периода</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На конец периода</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На начало периода</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На конец периода</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В абсолютных значениях</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В удельных весах</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В процентах к значению на начало периода</w:t>
            </w:r>
          </w:p>
        </w:tc>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В процентах к изменению итога баланса</w:t>
            </w:r>
          </w:p>
        </w:tc>
      </w:tr>
      <w:tr w:rsidR="00F20FCA" w:rsidRPr="000F5DFD" w:rsidTr="000F5DFD">
        <w:trPr>
          <w:trHeight w:val="300"/>
        </w:trPr>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Актив</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 Внеоборотные активы</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178449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187001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58,70%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53,51%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8552</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-5,19%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4,79%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18,81%</w:t>
            </w:r>
          </w:p>
        </w:tc>
      </w:tr>
      <w:tr w:rsidR="00F20FCA" w:rsidRPr="000F5DFD" w:rsidTr="000F5DFD">
        <w:trPr>
          <w:trHeight w:val="525"/>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 Оборотные активы, в том числе</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125539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162447</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41,30%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46,49%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36908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5,19%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29,40%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81,19%</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а) запасы;</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115384</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139542</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37,96%</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39,93%</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24158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1,98%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20,94%</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53,14%</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б) дебиторская задолженность;</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9445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16765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3,11%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4,80%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7320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1,69%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77,50%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16,10%</w:t>
            </w:r>
          </w:p>
        </w:tc>
      </w:tr>
      <w:tr w:rsidR="00F20FCA" w:rsidRPr="000F5DFD" w:rsidTr="000F5DFD">
        <w:trPr>
          <w:trHeight w:val="78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в) краткосрочные финансовые вложения и денежные средства;</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455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5950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0,15%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1,70%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5495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1,55%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1207,69%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12,09%</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Баланс</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303988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349448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45460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14,95%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Пассив</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 </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 Капитал и резервы</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266589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278161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87,70%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79,60%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11572</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-8,10%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4,34%</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25,46%</w:t>
            </w:r>
          </w:p>
        </w:tc>
      </w:tr>
      <w:tr w:rsidR="00F20FCA" w:rsidRPr="000F5DFD" w:rsidTr="000F5DFD">
        <w:trPr>
          <w:trHeight w:val="525"/>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 Долгосрочные кредиты и займы</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6855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15966</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2,26%</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4,57%</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9111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2,31%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132,91%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20,04%</w:t>
            </w:r>
          </w:p>
        </w:tc>
      </w:tr>
      <w:tr w:rsidR="00F20FCA" w:rsidRPr="000F5DFD" w:rsidTr="000F5DFD">
        <w:trPr>
          <w:trHeight w:val="525"/>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 Краткосрочные кредиты и займы</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0,66%</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-0,66%</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-4,40%</w:t>
            </w:r>
          </w:p>
        </w:tc>
      </w:tr>
      <w:tr w:rsidR="00F20FCA" w:rsidRPr="000F5DFD" w:rsidTr="000F5DFD">
        <w:trPr>
          <w:trHeight w:val="7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6. Кредиторская задолженность и прочие пассивы</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28544</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55321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9,39%</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15,83%</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26777</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6,44%</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93,81%</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58,90%</w:t>
            </w:r>
          </w:p>
        </w:tc>
      </w:tr>
      <w:tr w:rsidR="00F20FCA" w:rsidRPr="000F5DFD" w:rsidTr="000F5DFD">
        <w:trPr>
          <w:trHeight w:val="300"/>
        </w:trPr>
        <w:tc>
          <w:tcPr>
            <w:tcW w:w="0" w:type="auto"/>
            <w:shd w:val="clear" w:color="auto" w:fill="auto"/>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Баланс</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303988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349448</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45460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0,00%</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14,95%</w:t>
            </w:r>
          </w:p>
        </w:tc>
        <w:tc>
          <w:tcPr>
            <w:tcW w:w="0" w:type="auto"/>
            <w:shd w:val="clear" w:color="auto" w:fill="auto"/>
            <w:noWrap/>
            <w:hideMark/>
          </w:tcPr>
          <w:p w:rsidR="00F20FCA" w:rsidRPr="000F5DFD" w:rsidRDefault="00F20FCA"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100,00%</w:t>
            </w:r>
          </w:p>
        </w:tc>
      </w:tr>
    </w:tbl>
    <w:p w:rsidR="00F20FCA" w:rsidRPr="008F1B55" w:rsidRDefault="00F20FC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sectPr w:rsidR="00F20FCA" w:rsidRPr="008F1B55" w:rsidSect="008F1B55">
          <w:pgSz w:w="16838" w:h="11906" w:orient="landscape"/>
          <w:pgMar w:top="1134" w:right="851" w:bottom="1134" w:left="1701" w:header="709" w:footer="709" w:gutter="0"/>
          <w:cols w:space="708"/>
          <w:titlePg/>
          <w:docGrid w:linePitch="360"/>
        </w:sect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В структуре актива баланса наблюдалось увеличение доли оборотных активов на 5,19%. </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Увеличение источников финансирования обеспечивалось на 58,90% за счет увеличения объема кредиторской задолженности и прочих пассивов. Собственный капитал организации за год вырос на 4,34%, однако уменьшилась его доля в структуре пассивов на 8,10%.</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Наблюдалось увеличение денежных средств предприятия на 1207,69% по сравнению с данными на начало периода, что говорит о слабой организации планирования движения денежных средств.</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Увеличение имущества и собственного капитала ОАО «Племзавод «Чикский» характеризует улучшение его финансового состояния. Однако горизонтальный анализ показывает: при росте внеоборотных активов на 4,79% собственный капитал увеличился на 4,34%. Это говорит о том, что снизилось финансирование оборотных активов за счет собственных средств предприятия, которые были заменены на долгосрочные кредиты, кредиторскую задолженность и прочие пассивы. Это негативно отражается на финансовой устойчивости хозяйства.</w:t>
      </w:r>
    </w:p>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Оценку имущественного положения предприятия с позиции качества можно провести с помощью показателей (Табл. 2).</w:t>
      </w:r>
    </w:p>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Анализ данных показывает, что произошел рост доли активных основных средств в общей сумме основных средств на 6,97%, что говорит об улучшении их структуры. </w:t>
      </w:r>
    </w:p>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Высокое значение коэффициента износа основных средств говорит о том, что материально-техническая база предприятия устарела, и обновление основных производственных фондов идет низкими темпами. Это подтверждают коэффициенты обновления и выбытия, которые не изменились с 2007 по 2008 гг. </w:t>
      </w:r>
    </w:p>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Значение коэффициента износа машин, оборудования, транспортных средств выше значения этого показателя для всех основных средств и его снижение происходит более низкими темпами, что говорит о слабом обновлении парка сельскохозяйственной техники. Это подтверждает коэффициент обновления равный 0,09 (при среднем нормативном сроке службы техники 5-7 лет он должен быть равен 0,14-0,2)</w:t>
      </w:r>
    </w:p>
    <w:p w:rsidR="008F1B55" w:rsidRDefault="008F1B55" w:rsidP="008F1B55">
      <w:pPr>
        <w:spacing w:after="0" w:line="360" w:lineRule="auto"/>
        <w:ind w:firstLine="709"/>
        <w:jc w:val="both"/>
        <w:rPr>
          <w:rFonts w:ascii="Times New Roman" w:hAnsi="Times New Roman"/>
          <w:sz w:val="28"/>
          <w:szCs w:val="28"/>
        </w:rPr>
      </w:pPr>
    </w:p>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Таблица 2</w:t>
      </w:r>
    </w:p>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Оценка имущественного положения ОАО «Племзавод «Чикский» в 2008г. с помощью показателей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1228"/>
        <w:gridCol w:w="1168"/>
        <w:gridCol w:w="1357"/>
      </w:tblGrid>
      <w:tr w:rsidR="00F861D4" w:rsidRPr="008F1B55" w:rsidTr="008F1B55">
        <w:trPr>
          <w:trHeight w:val="340"/>
        </w:trPr>
        <w:tc>
          <w:tcPr>
            <w:tcW w:w="0" w:type="auto"/>
            <w:vMerge w:val="restart"/>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Наименование показателя</w:t>
            </w:r>
          </w:p>
        </w:tc>
        <w:tc>
          <w:tcPr>
            <w:tcW w:w="0" w:type="auto"/>
            <w:gridSpan w:val="2"/>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Значение</w:t>
            </w:r>
          </w:p>
        </w:tc>
        <w:tc>
          <w:tcPr>
            <w:tcW w:w="0" w:type="auto"/>
            <w:vMerge w:val="restart"/>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Изменение, %</w:t>
            </w:r>
          </w:p>
        </w:tc>
      </w:tr>
      <w:tr w:rsidR="00F861D4" w:rsidRPr="008F1B55" w:rsidTr="008F1B55">
        <w:trPr>
          <w:trHeight w:val="340"/>
        </w:trPr>
        <w:tc>
          <w:tcPr>
            <w:tcW w:w="0" w:type="auto"/>
            <w:vMerge/>
            <w:vAlign w:val="center"/>
          </w:tcPr>
          <w:p w:rsidR="00F861D4" w:rsidRPr="008F1B55" w:rsidRDefault="00F861D4" w:rsidP="008F1B55">
            <w:pPr>
              <w:spacing w:after="0" w:line="360" w:lineRule="auto"/>
              <w:jc w:val="both"/>
              <w:rPr>
                <w:rFonts w:ascii="Times New Roman" w:hAnsi="Times New Roman"/>
                <w:sz w:val="20"/>
                <w:szCs w:val="20"/>
                <w:lang w:eastAsia="ru-RU"/>
              </w:rPr>
            </w:pP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Начало года</w:t>
            </w:r>
          </w:p>
        </w:tc>
        <w:tc>
          <w:tcPr>
            <w:tcW w:w="0" w:type="auto"/>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Конец года</w:t>
            </w:r>
          </w:p>
        </w:tc>
        <w:tc>
          <w:tcPr>
            <w:tcW w:w="0" w:type="auto"/>
            <w:vMerge/>
          </w:tcPr>
          <w:p w:rsidR="00F861D4" w:rsidRPr="008F1B55" w:rsidRDefault="00F861D4" w:rsidP="008F1B55">
            <w:pPr>
              <w:spacing w:after="0" w:line="360" w:lineRule="auto"/>
              <w:jc w:val="both"/>
              <w:rPr>
                <w:rFonts w:ascii="Times New Roman" w:hAnsi="Times New Roman"/>
                <w:sz w:val="20"/>
                <w:szCs w:val="20"/>
                <w:lang w:eastAsia="ru-RU"/>
              </w:rPr>
            </w:pPr>
          </w:p>
        </w:tc>
      </w:tr>
      <w:tr w:rsidR="00F861D4" w:rsidRPr="008F1B55" w:rsidTr="008F1B55">
        <w:trPr>
          <w:trHeight w:val="34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 Сумма хозяйственных средств, находящихся в распоряжении организации, тыс.руб.</w:t>
            </w:r>
          </w:p>
        </w:tc>
        <w:tc>
          <w:tcPr>
            <w:tcW w:w="0" w:type="auto"/>
            <w:vAlign w:val="center"/>
          </w:tcPr>
          <w:p w:rsidR="00F861D4" w:rsidRPr="008F1B55" w:rsidRDefault="00F861D4"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303988</w:t>
            </w:r>
          </w:p>
        </w:tc>
        <w:tc>
          <w:tcPr>
            <w:tcW w:w="0" w:type="auto"/>
            <w:vAlign w:val="center"/>
          </w:tcPr>
          <w:p w:rsidR="00F861D4" w:rsidRPr="008F1B55" w:rsidRDefault="00F861D4"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349448</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color w:val="000000"/>
                <w:sz w:val="20"/>
                <w:szCs w:val="20"/>
                <w:lang w:eastAsia="ru-RU"/>
              </w:rPr>
              <w:t>+14,95</w:t>
            </w:r>
          </w:p>
        </w:tc>
      </w:tr>
      <w:tr w:rsidR="00F861D4" w:rsidRPr="008F1B55" w:rsidTr="008F1B55">
        <w:trPr>
          <w:trHeight w:val="7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 Доля основных средств в активах</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0,58</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0,53</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-8,62</w:t>
            </w:r>
          </w:p>
        </w:tc>
      </w:tr>
      <w:tr w:rsidR="00F861D4" w:rsidRPr="008F1B55" w:rsidTr="008F1B55">
        <w:trPr>
          <w:trHeight w:val="34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3. Доля активной части основных средств</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0,43</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0,46</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+6,97</w:t>
            </w:r>
          </w:p>
        </w:tc>
      </w:tr>
      <w:tr w:rsidR="00F861D4" w:rsidRPr="008F1B55" w:rsidTr="008F1B55">
        <w:trPr>
          <w:trHeight w:val="34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4. Коэффициент износа основных средств</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0,51</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0,52</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+1,96</w:t>
            </w:r>
          </w:p>
        </w:tc>
      </w:tr>
      <w:tr w:rsidR="00F861D4" w:rsidRPr="008F1B55" w:rsidTr="008F1B55">
        <w:trPr>
          <w:trHeight w:val="34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5. Коэффициент износа активной части основных средств</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0,42(0,55*)</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0,41(0,54*)</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-2,48(-1,8*)</w:t>
            </w:r>
          </w:p>
        </w:tc>
      </w:tr>
      <w:tr w:rsidR="00F861D4" w:rsidRPr="008F1B55" w:rsidTr="008F1B55">
        <w:trPr>
          <w:trHeight w:val="34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6. Коэффициент обновления</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0,09</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0,09</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w:t>
            </w:r>
          </w:p>
        </w:tc>
      </w:tr>
      <w:tr w:rsidR="00F861D4" w:rsidRPr="008F1B55" w:rsidTr="008F1B55">
        <w:trPr>
          <w:trHeight w:val="340"/>
        </w:trPr>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7. Коэффициент выбытия</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0,04</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0,04</w:t>
            </w:r>
          </w:p>
        </w:tc>
        <w:tc>
          <w:tcPr>
            <w:tcW w:w="0" w:type="auto"/>
            <w:vAlign w:val="center"/>
          </w:tcPr>
          <w:p w:rsidR="00F861D4" w:rsidRPr="008F1B55" w:rsidRDefault="00F861D4"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w:t>
            </w:r>
          </w:p>
        </w:tc>
      </w:tr>
    </w:tbl>
    <w:p w:rsidR="00F861D4"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 для машин, оборудования, транспортных средств.</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Анализ ликвидности баланса ОАО «Племзавод «Чикский» (Табл. </w:t>
      </w:r>
      <w:r w:rsidR="00840AA6" w:rsidRPr="008F1B55">
        <w:rPr>
          <w:rFonts w:ascii="Times New Roman" w:hAnsi="Times New Roman"/>
          <w:sz w:val="28"/>
          <w:szCs w:val="28"/>
        </w:rPr>
        <w:t>3</w:t>
      </w:r>
      <w:r w:rsidRPr="008F1B55">
        <w:rPr>
          <w:rFonts w:ascii="Times New Roman" w:hAnsi="Times New Roman"/>
          <w:sz w:val="28"/>
          <w:szCs w:val="28"/>
        </w:rPr>
        <w:t xml:space="preserve">) показывает недостаток наиболее ликвидных активов (краткосрочные финансовые вложения и денежные средства). Что подтверждает расчет коэффициента абсолютной ликвидности и коэффициента промежуточного покрытия, которые не достигают нормативного значения (Табл. </w:t>
      </w:r>
      <w:r w:rsidR="00840AA6" w:rsidRPr="008F1B55">
        <w:rPr>
          <w:rFonts w:ascii="Times New Roman" w:hAnsi="Times New Roman"/>
          <w:sz w:val="28"/>
          <w:szCs w:val="28"/>
        </w:rPr>
        <w:t>4</w:t>
      </w:r>
      <w:r w:rsidRPr="008F1B55">
        <w:rPr>
          <w:rFonts w:ascii="Times New Roman" w:hAnsi="Times New Roman"/>
          <w:sz w:val="28"/>
          <w:szCs w:val="28"/>
        </w:rPr>
        <w:t xml:space="preserve">). </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Также наблюдается платежный недостаток в соотношении труднореализуемых активов и постоянных пассивов, что говорит о финансировании части текущей деятельности за счет долгосрочных инструментов.</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Проведя анализ ликвидности можно сделать вывод, что предприятие в ближайшем периоде не сможет в случае необходимости достаточно быстро погасить свои наиболее срочные обязательства.</w:t>
      </w:r>
    </w:p>
    <w:p w:rsidR="00F20FCA" w:rsidRPr="008F1B55" w:rsidRDefault="009A48B3" w:rsidP="008F1B55">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20FCA" w:rsidRPr="008F1B55">
        <w:rPr>
          <w:rFonts w:ascii="Times New Roman" w:hAnsi="Times New Roman"/>
          <w:sz w:val="28"/>
          <w:szCs w:val="28"/>
        </w:rPr>
        <w:t xml:space="preserve">Таблица </w:t>
      </w:r>
      <w:r w:rsidR="00840AA6" w:rsidRPr="008F1B55">
        <w:rPr>
          <w:rFonts w:ascii="Times New Roman" w:hAnsi="Times New Roman"/>
          <w:sz w:val="28"/>
          <w:szCs w:val="28"/>
        </w:rPr>
        <w:t>3</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Анализ ликвидности баланса ОАО «Племзавод «Чикский» за 2008г., тыс. руб.</w:t>
      </w:r>
    </w:p>
    <w:tbl>
      <w:tblPr>
        <w:tblW w:w="0" w:type="auto"/>
        <w:tblLook w:val="04A0" w:firstRow="1" w:lastRow="0" w:firstColumn="1" w:lastColumn="0" w:noHBand="0" w:noVBand="1"/>
      </w:tblPr>
      <w:tblGrid>
        <w:gridCol w:w="2245"/>
        <w:gridCol w:w="895"/>
        <w:gridCol w:w="885"/>
        <w:gridCol w:w="1985"/>
        <w:gridCol w:w="895"/>
        <w:gridCol w:w="885"/>
        <w:gridCol w:w="895"/>
        <w:gridCol w:w="885"/>
      </w:tblGrid>
      <w:tr w:rsidR="00F20FCA" w:rsidRPr="008F1B55" w:rsidTr="008F1B55">
        <w:trPr>
          <w:trHeight w:val="81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Актив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начало периода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конец периода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Пассив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начало периода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конец периода</w:t>
            </w:r>
          </w:p>
        </w:tc>
        <w:tc>
          <w:tcPr>
            <w:tcW w:w="0" w:type="auto"/>
            <w:gridSpan w:val="2"/>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Платежный излишек или недостаток</w:t>
            </w:r>
          </w:p>
        </w:tc>
      </w:tr>
      <w:tr w:rsidR="00F20FCA" w:rsidRPr="008F1B55" w:rsidTr="008F1B55">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начало периода</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конец периода</w:t>
            </w:r>
          </w:p>
        </w:tc>
      </w:tr>
      <w:tr w:rsidR="00F20FCA" w:rsidRPr="008F1B55" w:rsidTr="008F1B55">
        <w:trPr>
          <w:trHeight w:val="1020"/>
        </w:trPr>
        <w:tc>
          <w:tcPr>
            <w:tcW w:w="0" w:type="auto"/>
            <w:tcBorders>
              <w:top w:val="nil"/>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 Наиболее ликвидные активы, стр. 250 + стр. 260.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455</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5950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 Наиболее срочные обязательства, стр. 620.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14025</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37030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-13570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-31080</w:t>
            </w:r>
          </w:p>
        </w:tc>
      </w:tr>
      <w:tr w:rsidR="00F20FCA" w:rsidRPr="008F1B55" w:rsidTr="008F1B55">
        <w:trPr>
          <w:trHeight w:val="1020"/>
        </w:trPr>
        <w:tc>
          <w:tcPr>
            <w:tcW w:w="0" w:type="auto"/>
            <w:tcBorders>
              <w:top w:val="nil"/>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 Быстрореализуемые активы, стр. 230 + стр. 240 + стр. 270.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9700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16955</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 Краткосрочные пассивы, стр. 610 + стр. 630.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2826</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2727</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6874</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14228</w:t>
            </w:r>
          </w:p>
        </w:tc>
      </w:tr>
      <w:tr w:rsidR="00F20FCA" w:rsidRPr="008F1B55" w:rsidTr="008F1B55">
        <w:trPr>
          <w:trHeight w:val="1020"/>
        </w:trPr>
        <w:tc>
          <w:tcPr>
            <w:tcW w:w="0" w:type="auto"/>
            <w:tcBorders>
              <w:top w:val="nil"/>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 Медленно реализуемые активы, стр. 210 + стр. 140 – стр. 216.</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115280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139389</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 Долгосрочные пассивы, стр. 590.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6855</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15966</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108425</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123423</w:t>
            </w:r>
          </w:p>
        </w:tc>
      </w:tr>
      <w:tr w:rsidR="00F20FCA" w:rsidRPr="008F1B55" w:rsidTr="008F1B55">
        <w:trPr>
          <w:trHeight w:val="1275"/>
        </w:trPr>
        <w:tc>
          <w:tcPr>
            <w:tcW w:w="0" w:type="auto"/>
            <w:tcBorders>
              <w:top w:val="nil"/>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4. Трудно реализуемые активы, стр. 190 - стр. 140.</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178249</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186801</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4. Постоянные пассивы, стр. 490 + стр. 640 + стр. 650 + стр. 660 - стр. 216.</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279978</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293372</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-101729</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-106571</w:t>
            </w:r>
          </w:p>
        </w:tc>
      </w:tr>
    </w:tbl>
    <w:p w:rsidR="00F20FCA" w:rsidRPr="008F1B55" w:rsidRDefault="00F20FC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Таблица </w:t>
      </w:r>
      <w:r w:rsidR="00840AA6" w:rsidRPr="008F1B55">
        <w:rPr>
          <w:rFonts w:ascii="Times New Roman" w:hAnsi="Times New Roman"/>
          <w:sz w:val="28"/>
          <w:szCs w:val="28"/>
        </w:rPr>
        <w:t>4</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Коэффициенты ликвидности ОАО «Племзавод «Чикский», 2008г.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828"/>
        <w:gridCol w:w="1743"/>
        <w:gridCol w:w="2047"/>
        <w:gridCol w:w="1154"/>
      </w:tblGrid>
      <w:tr w:rsidR="008F1B55" w:rsidRPr="000F5DFD" w:rsidTr="000F5DFD">
        <w:trPr>
          <w:trHeight w:val="70"/>
        </w:trPr>
        <w:tc>
          <w:tcPr>
            <w:tcW w:w="0" w:type="auto"/>
            <w:shd w:val="clear" w:color="auto" w:fill="auto"/>
            <w:noWrap/>
            <w:hideMark/>
          </w:tcPr>
          <w:p w:rsidR="008F1B55" w:rsidRPr="000F5DFD" w:rsidRDefault="008F1B55"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Коэффициент</w:t>
            </w:r>
          </w:p>
        </w:tc>
        <w:tc>
          <w:tcPr>
            <w:tcW w:w="0" w:type="auto"/>
            <w:shd w:val="clear" w:color="auto" w:fill="auto"/>
            <w:hideMark/>
          </w:tcPr>
          <w:p w:rsidR="008F1B55" w:rsidRPr="000F5DFD" w:rsidRDefault="008F1B55"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На начало</w:t>
            </w:r>
            <w:r w:rsidR="009A48B3" w:rsidRPr="000F5DFD">
              <w:rPr>
                <w:rFonts w:ascii="Times New Roman" w:hAnsi="Times New Roman"/>
                <w:color w:val="000000"/>
                <w:sz w:val="20"/>
                <w:szCs w:val="20"/>
              </w:rPr>
              <w:t xml:space="preserve"> </w:t>
            </w:r>
            <w:r w:rsidRPr="000F5DFD">
              <w:rPr>
                <w:rFonts w:ascii="Times New Roman" w:hAnsi="Times New Roman"/>
                <w:color w:val="000000"/>
                <w:sz w:val="20"/>
                <w:szCs w:val="20"/>
              </w:rPr>
              <w:t>периода</w:t>
            </w:r>
          </w:p>
        </w:tc>
        <w:tc>
          <w:tcPr>
            <w:tcW w:w="0" w:type="auto"/>
            <w:shd w:val="clear" w:color="auto" w:fill="auto"/>
            <w:hideMark/>
          </w:tcPr>
          <w:p w:rsidR="008F1B55" w:rsidRPr="000F5DFD" w:rsidRDefault="008F1B55"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На конец периода</w:t>
            </w:r>
          </w:p>
        </w:tc>
        <w:tc>
          <w:tcPr>
            <w:tcW w:w="0" w:type="auto"/>
            <w:shd w:val="clear" w:color="auto" w:fill="auto"/>
            <w:hideMark/>
          </w:tcPr>
          <w:p w:rsidR="008F1B55" w:rsidRPr="000F5DFD" w:rsidRDefault="008F1B55"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Нормальный уровень</w:t>
            </w:r>
          </w:p>
        </w:tc>
        <w:tc>
          <w:tcPr>
            <w:tcW w:w="0" w:type="auto"/>
            <w:shd w:val="clear" w:color="auto" w:fill="auto"/>
            <w:hideMark/>
          </w:tcPr>
          <w:p w:rsidR="008F1B55" w:rsidRPr="000F5DFD" w:rsidRDefault="008F1B55"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Изменение</w:t>
            </w:r>
          </w:p>
        </w:tc>
      </w:tr>
      <w:tr w:rsidR="0020272F" w:rsidRPr="000F5DFD" w:rsidTr="000F5DFD">
        <w:trPr>
          <w:trHeight w:val="300"/>
        </w:trPr>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Кал</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0,028393</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0,160681</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≥0,2</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0,132288</w:t>
            </w:r>
          </w:p>
        </w:tc>
      </w:tr>
      <w:tr w:rsidR="0020272F" w:rsidRPr="000F5DFD" w:rsidTr="000F5DFD">
        <w:trPr>
          <w:trHeight w:val="300"/>
        </w:trPr>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Кбл</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0,617161</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0,613422</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≥0,7-1,5</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-0,003739</w:t>
            </w:r>
          </w:p>
        </w:tc>
      </w:tr>
      <w:tr w:rsidR="0020272F" w:rsidRPr="000F5DFD" w:rsidTr="000F5DFD">
        <w:trPr>
          <w:trHeight w:val="300"/>
        </w:trPr>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Ктл</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7,817410</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5,663408</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≥1,0-2,0</w:t>
            </w:r>
          </w:p>
        </w:tc>
        <w:tc>
          <w:tcPr>
            <w:tcW w:w="0" w:type="auto"/>
            <w:shd w:val="clear" w:color="auto" w:fill="auto"/>
            <w:noWrap/>
            <w:hideMark/>
          </w:tcPr>
          <w:p w:rsidR="0020272F" w:rsidRPr="000F5DFD" w:rsidRDefault="0020272F" w:rsidP="000F5DFD">
            <w:pPr>
              <w:spacing w:after="0" w:line="360" w:lineRule="auto"/>
              <w:jc w:val="both"/>
              <w:rPr>
                <w:rFonts w:ascii="Times New Roman" w:hAnsi="Times New Roman"/>
                <w:color w:val="000000"/>
                <w:sz w:val="20"/>
                <w:szCs w:val="20"/>
              </w:rPr>
            </w:pPr>
            <w:r w:rsidRPr="000F5DFD">
              <w:rPr>
                <w:rFonts w:ascii="Times New Roman" w:hAnsi="Times New Roman"/>
                <w:color w:val="000000"/>
                <w:sz w:val="20"/>
                <w:szCs w:val="20"/>
              </w:rPr>
              <w:t>-2,154002</w:t>
            </w:r>
          </w:p>
        </w:tc>
      </w:tr>
    </w:tbl>
    <w:p w:rsidR="00F20FCA" w:rsidRPr="008F1B55" w:rsidRDefault="00F20FC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На основании данных Таблицы </w:t>
      </w:r>
      <w:r w:rsidR="00F861D4" w:rsidRPr="008F1B55">
        <w:rPr>
          <w:rFonts w:ascii="Times New Roman" w:hAnsi="Times New Roman"/>
          <w:sz w:val="28"/>
          <w:szCs w:val="28"/>
        </w:rPr>
        <w:t>5</w:t>
      </w:r>
      <w:r w:rsidRPr="008F1B55">
        <w:rPr>
          <w:rFonts w:ascii="Times New Roman" w:hAnsi="Times New Roman"/>
          <w:sz w:val="28"/>
          <w:szCs w:val="28"/>
        </w:rPr>
        <w:t xml:space="preserve"> можно сделать вывод, что ОАО «Племзавод «Чикский» на протяжении 2008г. находилось в неустойчивом финансовом состоянии. Однако расчет коэффициентов финансовой устойчивости показывает, что все показатели, кроме коэффициента маневренности, находятся в пределах нормы.</w:t>
      </w:r>
    </w:p>
    <w:p w:rsidR="00F20FCA" w:rsidRPr="008F1B55" w:rsidRDefault="009A48B3" w:rsidP="008F1B55">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20FCA" w:rsidRPr="008F1B55">
        <w:rPr>
          <w:rFonts w:ascii="Times New Roman" w:hAnsi="Times New Roman"/>
          <w:sz w:val="28"/>
          <w:szCs w:val="28"/>
        </w:rPr>
        <w:t xml:space="preserve">Таблица </w:t>
      </w:r>
      <w:r w:rsidR="00840AA6" w:rsidRPr="008F1B55">
        <w:rPr>
          <w:rFonts w:ascii="Times New Roman" w:hAnsi="Times New Roman"/>
          <w:sz w:val="28"/>
          <w:szCs w:val="28"/>
        </w:rPr>
        <w:t>5</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Определение показателей обеспеченности запасов источниками их формирования ОАО «Племзавод «Чикский» в 2008г., тыс. руб.</w:t>
      </w:r>
    </w:p>
    <w:tbl>
      <w:tblPr>
        <w:tblW w:w="4888" w:type="pct"/>
        <w:jc w:val="center"/>
        <w:tblLayout w:type="fixed"/>
        <w:tblLook w:val="04A0" w:firstRow="1" w:lastRow="0" w:firstColumn="1" w:lastColumn="0" w:noHBand="0" w:noVBand="1"/>
      </w:tblPr>
      <w:tblGrid>
        <w:gridCol w:w="4218"/>
        <w:gridCol w:w="1761"/>
        <w:gridCol w:w="1761"/>
        <w:gridCol w:w="677"/>
        <w:gridCol w:w="939"/>
      </w:tblGrid>
      <w:tr w:rsidR="00F20FCA" w:rsidRPr="008F1B55" w:rsidTr="008F1B55">
        <w:trPr>
          <w:trHeight w:val="555"/>
          <w:jc w:val="center"/>
        </w:trPr>
        <w:tc>
          <w:tcPr>
            <w:tcW w:w="2254" w:type="pc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Показатель</w:t>
            </w:r>
          </w:p>
        </w:tc>
        <w:tc>
          <w:tcPr>
            <w:tcW w:w="941" w:type="pct"/>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начало периода</w:t>
            </w:r>
          </w:p>
        </w:tc>
        <w:tc>
          <w:tcPr>
            <w:tcW w:w="941" w:type="pct"/>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На конец периода</w:t>
            </w:r>
          </w:p>
        </w:tc>
        <w:tc>
          <w:tcPr>
            <w:tcW w:w="362" w:type="pct"/>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Отклонение</w:t>
            </w:r>
          </w:p>
        </w:tc>
        <w:tc>
          <w:tcPr>
            <w:tcW w:w="503" w:type="pct"/>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Изменение, %</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sz w:val="20"/>
                <w:szCs w:val="20"/>
              </w:rPr>
              <w:t>Собственные оборотные средства</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88140</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91160</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3020</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3,43%</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Собственные и долгосрочные заемные источники формирования запасов</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94995</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107126</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12131</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12,77%</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Общая величина основных источников формирования запасов</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125539</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162447</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36908</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29,40%</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З</w:t>
            </w:r>
            <w:r w:rsidR="0020272F" w:rsidRPr="008F1B55">
              <w:rPr>
                <w:rFonts w:ascii="Times New Roman" w:hAnsi="Times New Roman"/>
                <w:color w:val="000000"/>
                <w:sz w:val="20"/>
                <w:szCs w:val="20"/>
              </w:rPr>
              <w:t>апасы</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115384</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139542</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24158</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20,94%</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Излишек (+) или недостаток (-) собственных оборотных средств</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-27244</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-48382</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-21138</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77,59%</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Излишек (+) или недостаток (-) собственных и долгосрочных заемных источников формирования запасов</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-20389</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-32416</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-12027</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58,99%</w:t>
            </w:r>
          </w:p>
        </w:tc>
      </w:tr>
      <w:tr w:rsidR="00F20FCA" w:rsidRPr="008F1B55" w:rsidTr="008F1B55">
        <w:trPr>
          <w:trHeight w:val="300"/>
          <w:jc w:val="center"/>
        </w:trPr>
        <w:tc>
          <w:tcPr>
            <w:tcW w:w="2254" w:type="pct"/>
            <w:tcBorders>
              <w:top w:val="nil"/>
              <w:left w:val="single" w:sz="4" w:space="0" w:color="auto"/>
              <w:bottom w:val="single" w:sz="4" w:space="0" w:color="auto"/>
              <w:right w:val="single" w:sz="4" w:space="0" w:color="auto"/>
            </w:tcBorders>
            <w:noWrap/>
            <w:vAlign w:val="center"/>
            <w:hideMark/>
          </w:tcPr>
          <w:p w:rsidR="00F20FCA"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Излишек (+) или недостаток (-) общей величины основных источников формирования запасов</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10155</w:t>
            </w:r>
          </w:p>
        </w:tc>
        <w:tc>
          <w:tcPr>
            <w:tcW w:w="941"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22905</w:t>
            </w:r>
          </w:p>
        </w:tc>
        <w:tc>
          <w:tcPr>
            <w:tcW w:w="362"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12750</w:t>
            </w:r>
          </w:p>
        </w:tc>
        <w:tc>
          <w:tcPr>
            <w:tcW w:w="503" w:type="pct"/>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125,55%</w:t>
            </w:r>
          </w:p>
        </w:tc>
      </w:tr>
      <w:tr w:rsidR="0020272F" w:rsidRPr="008F1B55" w:rsidTr="008F1B55">
        <w:trPr>
          <w:trHeight w:val="300"/>
          <w:jc w:val="center"/>
        </w:trPr>
        <w:tc>
          <w:tcPr>
            <w:tcW w:w="2254" w:type="pct"/>
            <w:tcBorders>
              <w:top w:val="single" w:sz="4" w:space="0" w:color="auto"/>
              <w:left w:val="single" w:sz="4" w:space="0" w:color="auto"/>
              <w:bottom w:val="single" w:sz="4" w:space="0" w:color="auto"/>
              <w:right w:val="single" w:sz="4" w:space="0" w:color="auto"/>
            </w:tcBorders>
            <w:noWrap/>
            <w:vAlign w:val="center"/>
            <w:hideMark/>
          </w:tcPr>
          <w:p w:rsidR="0020272F"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Тип финансовой устойчивости</w:t>
            </w:r>
          </w:p>
        </w:tc>
        <w:tc>
          <w:tcPr>
            <w:tcW w:w="941" w:type="pct"/>
            <w:tcBorders>
              <w:top w:val="single" w:sz="4" w:space="0" w:color="auto"/>
              <w:left w:val="nil"/>
              <w:bottom w:val="single" w:sz="4" w:space="0" w:color="auto"/>
              <w:right w:val="single" w:sz="4" w:space="0" w:color="auto"/>
            </w:tcBorders>
            <w:noWrap/>
            <w:vAlign w:val="center"/>
            <w:hideMark/>
          </w:tcPr>
          <w:p w:rsidR="0020272F"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Неустойчивое финансовое состояние</w:t>
            </w:r>
          </w:p>
        </w:tc>
        <w:tc>
          <w:tcPr>
            <w:tcW w:w="941" w:type="pct"/>
            <w:tcBorders>
              <w:top w:val="single" w:sz="4" w:space="0" w:color="auto"/>
              <w:left w:val="nil"/>
              <w:bottom w:val="single" w:sz="4" w:space="0" w:color="auto"/>
              <w:right w:val="single" w:sz="4" w:space="0" w:color="auto"/>
            </w:tcBorders>
            <w:noWrap/>
            <w:vAlign w:val="center"/>
            <w:hideMark/>
          </w:tcPr>
          <w:p w:rsidR="0020272F"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Неустойчивое финансовое состояние</w:t>
            </w:r>
          </w:p>
        </w:tc>
        <w:tc>
          <w:tcPr>
            <w:tcW w:w="362" w:type="pct"/>
            <w:tcBorders>
              <w:top w:val="single" w:sz="4" w:space="0" w:color="auto"/>
              <w:left w:val="nil"/>
              <w:bottom w:val="single" w:sz="4" w:space="0" w:color="auto"/>
              <w:right w:val="single" w:sz="4" w:space="0" w:color="auto"/>
            </w:tcBorders>
            <w:noWrap/>
            <w:vAlign w:val="center"/>
            <w:hideMark/>
          </w:tcPr>
          <w:p w:rsidR="0020272F"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w:t>
            </w:r>
          </w:p>
        </w:tc>
        <w:tc>
          <w:tcPr>
            <w:tcW w:w="503" w:type="pct"/>
            <w:tcBorders>
              <w:top w:val="single" w:sz="4" w:space="0" w:color="auto"/>
              <w:left w:val="nil"/>
              <w:bottom w:val="single" w:sz="4" w:space="0" w:color="auto"/>
              <w:right w:val="single" w:sz="4" w:space="0" w:color="auto"/>
            </w:tcBorders>
            <w:noWrap/>
            <w:vAlign w:val="center"/>
            <w:hideMark/>
          </w:tcPr>
          <w:p w:rsidR="0020272F" w:rsidRPr="008F1B55" w:rsidRDefault="0020272F" w:rsidP="008F1B55">
            <w:pPr>
              <w:spacing w:after="0" w:line="360" w:lineRule="auto"/>
              <w:ind w:right="-113"/>
              <w:jc w:val="both"/>
              <w:rPr>
                <w:rFonts w:ascii="Times New Roman" w:hAnsi="Times New Roman"/>
                <w:color w:val="000000"/>
                <w:sz w:val="20"/>
                <w:szCs w:val="20"/>
              </w:rPr>
            </w:pPr>
            <w:r w:rsidRPr="008F1B55">
              <w:rPr>
                <w:rFonts w:ascii="Times New Roman" w:hAnsi="Times New Roman"/>
                <w:color w:val="000000"/>
                <w:sz w:val="20"/>
                <w:szCs w:val="20"/>
              </w:rPr>
              <w:t>-</w:t>
            </w:r>
          </w:p>
        </w:tc>
      </w:tr>
    </w:tbl>
    <w:p w:rsidR="00F20FCA" w:rsidRPr="008F1B55" w:rsidRDefault="00F20FC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Таблица </w:t>
      </w:r>
      <w:r w:rsidR="00840AA6" w:rsidRPr="008F1B55">
        <w:rPr>
          <w:rFonts w:ascii="Times New Roman" w:hAnsi="Times New Roman"/>
          <w:sz w:val="28"/>
          <w:szCs w:val="28"/>
        </w:rPr>
        <w:t>6</w:t>
      </w:r>
      <w:r w:rsidRPr="008F1B55">
        <w:rPr>
          <w:rFonts w:ascii="Times New Roman" w:hAnsi="Times New Roman"/>
          <w:sz w:val="28"/>
          <w:szCs w:val="28"/>
        </w:rPr>
        <w:t>.</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Расчет коэффициентов финансовой устойчивости ОАО «Племзавод «Чикский» в 2008г.</w:t>
      </w:r>
    </w:p>
    <w:tbl>
      <w:tblPr>
        <w:tblW w:w="0" w:type="auto"/>
        <w:tblLook w:val="04A0" w:firstRow="1" w:lastRow="0" w:firstColumn="1" w:lastColumn="0" w:noHBand="0" w:noVBand="1"/>
      </w:tblPr>
      <w:tblGrid>
        <w:gridCol w:w="1182"/>
        <w:gridCol w:w="2178"/>
        <w:gridCol w:w="1791"/>
        <w:gridCol w:w="1706"/>
        <w:gridCol w:w="1244"/>
      </w:tblGrid>
      <w:tr w:rsidR="00F20FCA" w:rsidRPr="008F1B55" w:rsidTr="008F1B55">
        <w:trPr>
          <w:trHeight w:val="30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Показатель</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Нормативное значение</w:t>
            </w:r>
          </w:p>
        </w:tc>
        <w:tc>
          <w:tcPr>
            <w:tcW w:w="0" w:type="auto"/>
            <w:gridSpan w:val="2"/>
            <w:tcBorders>
              <w:top w:val="single" w:sz="4" w:space="0" w:color="auto"/>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Фактическое значение</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Отклонение</w:t>
            </w:r>
          </w:p>
        </w:tc>
      </w:tr>
      <w:tr w:rsidR="00F20FCA" w:rsidRPr="008F1B55" w:rsidTr="008F1B5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на начало периода</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на конец периода</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p>
        </w:tc>
      </w:tr>
      <w:tr w:rsidR="00F20FCA" w:rsidRPr="008F1B55" w:rsidTr="008F1B55">
        <w:trPr>
          <w:trHeight w:val="300"/>
        </w:trPr>
        <w:tc>
          <w:tcPr>
            <w:tcW w:w="0" w:type="auto"/>
            <w:tcBorders>
              <w:top w:val="nil"/>
              <w:left w:val="single" w:sz="4" w:space="0" w:color="auto"/>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ККС</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&gt; 0,5</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0,877</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0,796</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-0,081</w:t>
            </w:r>
          </w:p>
        </w:tc>
      </w:tr>
      <w:tr w:rsidR="00F20FCA" w:rsidRPr="008F1B55" w:rsidTr="008F1B55">
        <w:trPr>
          <w:trHeight w:val="300"/>
        </w:trPr>
        <w:tc>
          <w:tcPr>
            <w:tcW w:w="0" w:type="auto"/>
            <w:tcBorders>
              <w:top w:val="nil"/>
              <w:left w:val="single" w:sz="4" w:space="0" w:color="auto"/>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КС</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&lt; 1</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0,140</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0,256</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0,116</w:t>
            </w:r>
          </w:p>
        </w:tc>
      </w:tr>
      <w:tr w:rsidR="00F20FCA" w:rsidRPr="008F1B55" w:rsidTr="008F1B55">
        <w:trPr>
          <w:trHeight w:val="300"/>
        </w:trPr>
        <w:tc>
          <w:tcPr>
            <w:tcW w:w="0" w:type="auto"/>
            <w:tcBorders>
              <w:top w:val="nil"/>
              <w:left w:val="single" w:sz="4" w:space="0" w:color="auto"/>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КО</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&gt; 0,1</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0,702</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0,561</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-0,141</w:t>
            </w:r>
          </w:p>
        </w:tc>
      </w:tr>
      <w:tr w:rsidR="00F20FCA" w:rsidRPr="008F1B55" w:rsidTr="008F1B55">
        <w:trPr>
          <w:trHeight w:val="300"/>
        </w:trPr>
        <w:tc>
          <w:tcPr>
            <w:tcW w:w="0" w:type="auto"/>
            <w:tcBorders>
              <w:top w:val="nil"/>
              <w:left w:val="single" w:sz="4" w:space="0" w:color="auto"/>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КМ</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&gt; 0,5</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0,331</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0,328</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-0,003</w:t>
            </w:r>
          </w:p>
        </w:tc>
      </w:tr>
    </w:tbl>
    <w:p w:rsidR="00F20FCA" w:rsidRPr="008F1B55" w:rsidRDefault="00F20FC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Из таблицы </w:t>
      </w:r>
      <w:r w:rsidR="00840AA6" w:rsidRPr="008F1B55">
        <w:rPr>
          <w:rFonts w:ascii="Times New Roman" w:hAnsi="Times New Roman"/>
          <w:sz w:val="28"/>
          <w:szCs w:val="28"/>
        </w:rPr>
        <w:t>6</w:t>
      </w:r>
      <w:r w:rsidRPr="008F1B55">
        <w:rPr>
          <w:rFonts w:ascii="Times New Roman" w:hAnsi="Times New Roman"/>
          <w:sz w:val="28"/>
          <w:szCs w:val="28"/>
        </w:rPr>
        <w:t xml:space="preserve"> видно, что все показатели имеют негативную динамику. Это говорит об ухудшении финансовой устойчивости ОАО «Племзавод «Чикский» в 2008г. А значение коэффициента маневренности ниже нормативного говорит о недостатке собственных оборотных средств, подтверждая расчет обеспеченности запасов источниками их формирования.</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Одна из целей финансового анализа – своевременное выявление признаков банкротства предприятия.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r w:rsidR="007A5A5B" w:rsidRPr="008F1B55">
        <w:rPr>
          <w:rFonts w:ascii="Times New Roman" w:hAnsi="Times New Roman"/>
          <w:sz w:val="28"/>
          <w:szCs w:val="28"/>
        </w:rPr>
        <w:t xml:space="preserve"> </w:t>
      </w:r>
      <w:r w:rsidRPr="008F1B55">
        <w:rPr>
          <w:rFonts w:ascii="Times New Roman" w:hAnsi="Times New Roman"/>
          <w:sz w:val="28"/>
          <w:szCs w:val="28"/>
        </w:rPr>
        <w:t>Анализ потенциального банкротства предприятия можно провести с помощью модели Альтмана:</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Z=0,717x1+0,847x2+3,107x3+0,42x4+0,995x5, где:</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X1-это отношение собственного оборотного капитала к величине активов предприятия;</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X2-это отношение чистой прибыли к величине активов (экономическая рентабельность);</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X3-это отношение прибыли до уплаты налогов и % к величине активов предприятия;</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X4- это отношение собственного капитала к заемному;</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X5-это отношение выручки от продажи к величине активов.</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Если Z&lt;1,23, то вероятность банкротства очень высокая.</w:t>
      </w:r>
      <w:r w:rsidR="007A5A5B" w:rsidRPr="008F1B55">
        <w:rPr>
          <w:rFonts w:ascii="Times New Roman" w:hAnsi="Times New Roman"/>
          <w:sz w:val="28"/>
          <w:szCs w:val="28"/>
        </w:rPr>
        <w:t xml:space="preserve"> </w:t>
      </w:r>
      <w:r w:rsidRPr="008F1B55">
        <w:rPr>
          <w:rFonts w:ascii="Times New Roman" w:hAnsi="Times New Roman"/>
          <w:sz w:val="28"/>
          <w:szCs w:val="28"/>
        </w:rPr>
        <w:t>Если Z &gt;1,23, то банкротство не грозит.</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Z=0,717*0,261+0,847*0,041+3,107*0,041+0,42*3,9+0,995*0,526 = 2,511</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Следовательно в ближайший период банкротство предприятию не грозит.</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Главным показателем результативности деятельности любой коммерческой организации является прибыль. Для наиболее эффективного управления предприятием необходимо постоянно отслеживать изменение результатов деятельности. Анализ абсолютных показателей результатов финансово-хозяйственной деятельности ОАО «Племзавод «Чикский» (Табл. </w:t>
      </w:r>
      <w:r w:rsidR="00840AA6" w:rsidRPr="008F1B55">
        <w:rPr>
          <w:rFonts w:ascii="Times New Roman" w:hAnsi="Times New Roman"/>
          <w:sz w:val="28"/>
          <w:szCs w:val="28"/>
        </w:rPr>
        <w:t>7</w:t>
      </w:r>
      <w:r w:rsidRPr="008F1B55">
        <w:rPr>
          <w:rFonts w:ascii="Times New Roman" w:hAnsi="Times New Roman"/>
          <w:sz w:val="28"/>
          <w:szCs w:val="28"/>
        </w:rPr>
        <w:t>) показывает, что непропорциональный рост себестоимости относительно выручки от реализации (18,25% против 9,96%) и увеличение коммерческих расходов предприятия вызвало снижение прибыли от продаж на 56,44% (чистая прибыль снизилась на 48,32% по сравнению с 2007г.).</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Таблица </w:t>
      </w:r>
      <w:r w:rsidR="00840AA6" w:rsidRPr="008F1B55">
        <w:rPr>
          <w:rFonts w:ascii="Times New Roman" w:hAnsi="Times New Roman"/>
          <w:sz w:val="28"/>
          <w:szCs w:val="28"/>
        </w:rPr>
        <w:t>7</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Анализ абсолютных показателей результатов финансово-хозяйственной деятельности ОАО «Племзавод «Чикский» в 2007 - 2008гг., тыс. руб.</w:t>
      </w:r>
    </w:p>
    <w:tbl>
      <w:tblPr>
        <w:tblW w:w="0" w:type="auto"/>
        <w:tblLook w:val="04A0" w:firstRow="1" w:lastRow="0" w:firstColumn="1" w:lastColumn="0" w:noHBand="0" w:noVBand="1"/>
      </w:tblPr>
      <w:tblGrid>
        <w:gridCol w:w="4654"/>
        <w:gridCol w:w="816"/>
        <w:gridCol w:w="816"/>
        <w:gridCol w:w="1154"/>
        <w:gridCol w:w="1490"/>
      </w:tblGrid>
      <w:tr w:rsidR="00F20FCA" w:rsidRPr="008F1B55" w:rsidTr="008F1B55">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Показатель</w:t>
            </w:r>
          </w:p>
        </w:tc>
        <w:tc>
          <w:tcPr>
            <w:tcW w:w="0" w:type="auto"/>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2007</w:t>
            </w:r>
          </w:p>
        </w:tc>
        <w:tc>
          <w:tcPr>
            <w:tcW w:w="0" w:type="auto"/>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2008</w:t>
            </w:r>
          </w:p>
        </w:tc>
        <w:tc>
          <w:tcPr>
            <w:tcW w:w="0" w:type="auto"/>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Изменение</w:t>
            </w:r>
          </w:p>
        </w:tc>
        <w:tc>
          <w:tcPr>
            <w:tcW w:w="0" w:type="auto"/>
            <w:tcBorders>
              <w:top w:val="single" w:sz="4" w:space="0" w:color="auto"/>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Темп прироста</w:t>
            </w:r>
          </w:p>
        </w:tc>
      </w:tr>
      <w:tr w:rsidR="00F20FCA" w:rsidRPr="008F1B55" w:rsidTr="008F1B55">
        <w:trPr>
          <w:trHeight w:val="70"/>
        </w:trPr>
        <w:tc>
          <w:tcPr>
            <w:tcW w:w="0" w:type="auto"/>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Выручка от реализации (без НДС и акцизов)</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167206</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183862</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16656</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9,96%</w:t>
            </w:r>
          </w:p>
        </w:tc>
      </w:tr>
      <w:tr w:rsidR="00F20FCA" w:rsidRPr="008F1B55" w:rsidTr="008F1B55">
        <w:trPr>
          <w:trHeight w:val="70"/>
        </w:trPr>
        <w:tc>
          <w:tcPr>
            <w:tcW w:w="0" w:type="auto"/>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Затраты на производство реализованной продукции</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146939</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173762</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26823</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18,25%</w:t>
            </w:r>
          </w:p>
        </w:tc>
      </w:tr>
      <w:tr w:rsidR="00F20FCA" w:rsidRPr="008F1B55" w:rsidTr="008F1B55">
        <w:trPr>
          <w:trHeight w:val="299"/>
        </w:trPr>
        <w:tc>
          <w:tcPr>
            <w:tcW w:w="0" w:type="auto"/>
            <w:tcBorders>
              <w:top w:val="nil"/>
              <w:left w:val="single" w:sz="4" w:space="0" w:color="auto"/>
              <w:bottom w:val="single" w:sz="4" w:space="0" w:color="auto"/>
              <w:right w:val="single" w:sz="4" w:space="0" w:color="auto"/>
            </w:tcBorders>
            <w:hideMark/>
          </w:tcPr>
          <w:p w:rsidR="00F20FCA" w:rsidRPr="008F1B55" w:rsidRDefault="00F20FCA" w:rsidP="008F1B55">
            <w:pPr>
              <w:spacing w:after="0" w:line="360" w:lineRule="auto"/>
              <w:jc w:val="both"/>
              <w:rPr>
                <w:rFonts w:ascii="Times New Roman" w:hAnsi="Times New Roman"/>
                <w:sz w:val="20"/>
                <w:szCs w:val="20"/>
              </w:rPr>
            </w:pPr>
            <w:r w:rsidRPr="008F1B55">
              <w:rPr>
                <w:rFonts w:ascii="Times New Roman" w:hAnsi="Times New Roman"/>
                <w:sz w:val="20"/>
                <w:szCs w:val="20"/>
              </w:rPr>
              <w:t>Коммерческие расходы</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sz w:val="20"/>
                <w:szCs w:val="20"/>
              </w:rPr>
            </w:pPr>
            <w:r w:rsidRPr="008F1B55">
              <w:rPr>
                <w:rFonts w:ascii="Times New Roman" w:hAnsi="Times New Roman"/>
                <w:sz w:val="20"/>
                <w:szCs w:val="20"/>
              </w:rPr>
              <w:t>1352</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sz w:val="20"/>
                <w:szCs w:val="20"/>
              </w:rPr>
            </w:pPr>
            <w:r w:rsidRPr="008F1B55">
              <w:rPr>
                <w:rFonts w:ascii="Times New Roman" w:hAnsi="Times New Roman"/>
                <w:sz w:val="20"/>
                <w:szCs w:val="20"/>
              </w:rPr>
              <w:t>1861</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sz w:val="20"/>
                <w:szCs w:val="20"/>
              </w:rPr>
            </w:pPr>
            <w:r w:rsidRPr="008F1B55">
              <w:rPr>
                <w:rFonts w:ascii="Times New Roman" w:hAnsi="Times New Roman"/>
                <w:sz w:val="20"/>
                <w:szCs w:val="20"/>
              </w:rPr>
              <w:t>509</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sz w:val="20"/>
                <w:szCs w:val="20"/>
              </w:rPr>
            </w:pPr>
            <w:r w:rsidRPr="008F1B55">
              <w:rPr>
                <w:rFonts w:ascii="Times New Roman" w:hAnsi="Times New Roman"/>
                <w:sz w:val="20"/>
                <w:szCs w:val="20"/>
              </w:rPr>
              <w:t>37,65%</w:t>
            </w:r>
          </w:p>
        </w:tc>
      </w:tr>
      <w:tr w:rsidR="00F20FCA" w:rsidRPr="008F1B55" w:rsidTr="008F1B55">
        <w:trPr>
          <w:trHeight w:val="70"/>
        </w:trPr>
        <w:tc>
          <w:tcPr>
            <w:tcW w:w="0" w:type="auto"/>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Прибыль от реализации продукции</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18915</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8239</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-10676</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-56,44%</w:t>
            </w:r>
          </w:p>
        </w:tc>
      </w:tr>
      <w:tr w:rsidR="00F20FCA" w:rsidRPr="008F1B55" w:rsidTr="008F1B55">
        <w:trPr>
          <w:trHeight w:val="300"/>
        </w:trPr>
        <w:tc>
          <w:tcPr>
            <w:tcW w:w="0" w:type="auto"/>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Балансовая прибыль</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27847</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14396</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-13451</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-48,30%</w:t>
            </w:r>
          </w:p>
        </w:tc>
      </w:tr>
      <w:tr w:rsidR="00F20FCA" w:rsidRPr="008F1B55" w:rsidTr="008F1B55">
        <w:trPr>
          <w:trHeight w:val="300"/>
        </w:trPr>
        <w:tc>
          <w:tcPr>
            <w:tcW w:w="0" w:type="auto"/>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Чистая прибыль</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27667</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14299</w:t>
            </w:r>
          </w:p>
        </w:tc>
        <w:tc>
          <w:tcPr>
            <w:tcW w:w="0" w:type="auto"/>
            <w:tcBorders>
              <w:top w:val="nil"/>
              <w:left w:val="nil"/>
              <w:bottom w:val="single" w:sz="4" w:space="0" w:color="auto"/>
              <w:right w:val="single" w:sz="4" w:space="0" w:color="auto"/>
            </w:tcBorders>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-13368</w:t>
            </w:r>
          </w:p>
        </w:tc>
        <w:tc>
          <w:tcPr>
            <w:tcW w:w="0" w:type="auto"/>
            <w:tcBorders>
              <w:top w:val="nil"/>
              <w:left w:val="nil"/>
              <w:bottom w:val="single" w:sz="4" w:space="0" w:color="auto"/>
              <w:right w:val="single" w:sz="4" w:space="0" w:color="auto"/>
            </w:tcBorders>
            <w:noWrap/>
            <w:vAlign w:val="center"/>
            <w:hideMark/>
          </w:tcPr>
          <w:p w:rsidR="00F20FCA" w:rsidRPr="008F1B55" w:rsidRDefault="00F20FCA" w:rsidP="008F1B55">
            <w:pPr>
              <w:spacing w:after="0" w:line="360" w:lineRule="auto"/>
              <w:jc w:val="both"/>
              <w:rPr>
                <w:rFonts w:ascii="Times New Roman" w:hAnsi="Times New Roman"/>
                <w:color w:val="000000"/>
                <w:sz w:val="20"/>
                <w:szCs w:val="20"/>
              </w:rPr>
            </w:pPr>
            <w:r w:rsidRPr="008F1B55">
              <w:rPr>
                <w:rFonts w:ascii="Times New Roman" w:hAnsi="Times New Roman"/>
                <w:color w:val="000000"/>
                <w:sz w:val="20"/>
                <w:szCs w:val="20"/>
              </w:rPr>
              <w:t>-48,32%</w:t>
            </w:r>
          </w:p>
        </w:tc>
      </w:tr>
    </w:tbl>
    <w:p w:rsidR="00F520BA" w:rsidRPr="008F1B55" w:rsidRDefault="00F520BA"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Анализ деловой активности предприятия заключается в расчете общих показателей оборачиваемости и расчете показателей оборачиваемости по видам средств предприятия и источникам формирования этих средств (Табл. </w:t>
      </w:r>
      <w:r w:rsidR="00840AA6" w:rsidRPr="008F1B55">
        <w:rPr>
          <w:rFonts w:ascii="Times New Roman" w:hAnsi="Times New Roman"/>
          <w:sz w:val="28"/>
          <w:szCs w:val="28"/>
        </w:rPr>
        <w:t>8</w:t>
      </w:r>
      <w:r w:rsidRPr="008F1B55">
        <w:rPr>
          <w:rFonts w:ascii="Times New Roman" w:hAnsi="Times New Roman"/>
          <w:sz w:val="28"/>
          <w:szCs w:val="28"/>
        </w:rPr>
        <w:t xml:space="preserve">). </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Таблица </w:t>
      </w:r>
      <w:r w:rsidR="00840AA6" w:rsidRPr="008F1B55">
        <w:rPr>
          <w:rFonts w:ascii="Times New Roman" w:hAnsi="Times New Roman"/>
          <w:sz w:val="28"/>
          <w:szCs w:val="28"/>
        </w:rPr>
        <w:t>8</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Расчет показателей оборачиваемости по ОАО «Племзавод «Чикский» в 2007 – 2008гг.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7"/>
        <w:gridCol w:w="866"/>
        <w:gridCol w:w="966"/>
        <w:gridCol w:w="1244"/>
      </w:tblGrid>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Показатель</w:t>
            </w:r>
          </w:p>
        </w:tc>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2007</w:t>
            </w:r>
          </w:p>
        </w:tc>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2008</w:t>
            </w:r>
          </w:p>
        </w:tc>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Отклонение</w:t>
            </w:r>
          </w:p>
        </w:tc>
      </w:tr>
      <w:tr w:rsidR="007A5A5B" w:rsidRPr="008F1B55" w:rsidTr="008F1B55">
        <w:tc>
          <w:tcPr>
            <w:tcW w:w="0" w:type="auto"/>
            <w:vAlign w:val="center"/>
          </w:tcPr>
          <w:p w:rsidR="007A5A5B" w:rsidRPr="008F1B55" w:rsidRDefault="007A5A5B"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w:t>
            </w:r>
          </w:p>
        </w:tc>
        <w:tc>
          <w:tcPr>
            <w:tcW w:w="0" w:type="auto"/>
            <w:vAlign w:val="center"/>
          </w:tcPr>
          <w:p w:rsidR="007A5A5B" w:rsidRPr="008F1B55" w:rsidRDefault="007A5A5B"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2</w:t>
            </w:r>
          </w:p>
        </w:tc>
        <w:tc>
          <w:tcPr>
            <w:tcW w:w="0" w:type="auto"/>
            <w:vAlign w:val="center"/>
          </w:tcPr>
          <w:p w:rsidR="007A5A5B" w:rsidRPr="008F1B55" w:rsidRDefault="007A5A5B"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3</w:t>
            </w:r>
          </w:p>
        </w:tc>
        <w:tc>
          <w:tcPr>
            <w:tcW w:w="0" w:type="auto"/>
            <w:vAlign w:val="center"/>
          </w:tcPr>
          <w:p w:rsidR="007A5A5B" w:rsidRPr="008F1B55" w:rsidRDefault="007A5A5B"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4</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 xml:space="preserve">1. К-т оборачиваемости оборотных средств (обороты) </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1,411</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1,277</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-0,134</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 Длительность одного оборота (дн.)</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255,12</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281,94</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+26,82</w:t>
            </w:r>
          </w:p>
        </w:tc>
      </w:tr>
      <w:tr w:rsidR="00F20FCA" w:rsidRPr="008F1B55" w:rsidTr="008F1B55">
        <w:trPr>
          <w:trHeight w:val="278"/>
        </w:trPr>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3. Привлечение (высвобождение) средств в оборот, тыс. руб.</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13693,18</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w:t>
            </w:r>
          </w:p>
        </w:tc>
      </w:tr>
      <w:tr w:rsidR="00F20FCA" w:rsidRPr="008F1B55" w:rsidTr="008F1B55">
        <w:trPr>
          <w:trHeight w:val="297"/>
        </w:trPr>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4. Фондоотдача</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0,966</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1,015</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+0,049</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5. Оборачиваемость совокупного капитала в оборотах</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0,563</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0,571</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+0,008</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6. Оборачиваемость собственного капитала в оборотах</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0,661</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0,675</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+0,014</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7. Оборачиваемость запасов в оборотах</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1,550</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1,442</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-0,108</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8. Оборачиваемость запасов в днях</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232,26</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249,65</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+17,39</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9. Оборачиваемость дебиторской задолженности в днях</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20,918</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25,659</w:t>
            </w:r>
          </w:p>
        </w:tc>
        <w:tc>
          <w:tcPr>
            <w:tcW w:w="0" w:type="auto"/>
            <w:vAlign w:val="center"/>
          </w:tcPr>
          <w:p w:rsidR="00F20FCA" w:rsidRPr="008F1B55" w:rsidRDefault="00F20FCA" w:rsidP="008F1B55">
            <w:pPr>
              <w:spacing w:after="0" w:line="360" w:lineRule="auto"/>
              <w:jc w:val="both"/>
              <w:rPr>
                <w:rFonts w:ascii="Times New Roman" w:hAnsi="Times New Roman"/>
                <w:color w:val="000000"/>
                <w:sz w:val="20"/>
                <w:szCs w:val="20"/>
                <w:lang w:eastAsia="ru-RU"/>
              </w:rPr>
            </w:pPr>
            <w:r w:rsidRPr="008F1B55">
              <w:rPr>
                <w:rFonts w:ascii="Times New Roman" w:hAnsi="Times New Roman"/>
                <w:color w:val="000000"/>
                <w:sz w:val="20"/>
                <w:szCs w:val="20"/>
                <w:lang w:eastAsia="ru-RU"/>
              </w:rPr>
              <w:t>+4,742</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11. Оборачиваемость кредиторской задолженности в днях</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30</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50</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+20</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12. Продолжительность операционного цикла</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253,178</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275,309</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+22,131</w:t>
            </w:r>
          </w:p>
        </w:tc>
      </w:tr>
      <w:tr w:rsidR="00F20FCA" w:rsidRPr="008F1B55" w:rsidTr="008F1B55">
        <w:tc>
          <w:tcPr>
            <w:tcW w:w="0" w:type="auto"/>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13. Продолжительность финансового цикла</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223,178</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225,309</w:t>
            </w:r>
          </w:p>
        </w:tc>
        <w:tc>
          <w:tcPr>
            <w:tcW w:w="0" w:type="auto"/>
            <w:vAlign w:val="center"/>
          </w:tcPr>
          <w:p w:rsidR="00F20FCA" w:rsidRPr="008F1B55" w:rsidRDefault="00F20FCA" w:rsidP="008F1B55">
            <w:pPr>
              <w:spacing w:after="0" w:line="360" w:lineRule="auto"/>
              <w:jc w:val="both"/>
              <w:rPr>
                <w:rFonts w:ascii="Times New Roman" w:hAnsi="Times New Roman"/>
                <w:sz w:val="20"/>
                <w:szCs w:val="20"/>
                <w:lang w:eastAsia="ru-RU"/>
              </w:rPr>
            </w:pPr>
            <w:r w:rsidRPr="008F1B55">
              <w:rPr>
                <w:rFonts w:ascii="Times New Roman" w:hAnsi="Times New Roman"/>
                <w:sz w:val="20"/>
                <w:szCs w:val="20"/>
                <w:lang w:eastAsia="ru-RU"/>
              </w:rPr>
              <w:t>+2,131</w:t>
            </w:r>
          </w:p>
        </w:tc>
      </w:tr>
    </w:tbl>
    <w:p w:rsidR="008F1B55" w:rsidRDefault="008F1B55" w:rsidP="008F1B55">
      <w:pPr>
        <w:spacing w:after="0" w:line="360" w:lineRule="auto"/>
        <w:ind w:firstLine="709"/>
        <w:jc w:val="both"/>
        <w:rPr>
          <w:rFonts w:ascii="Times New Roman" w:hAnsi="Times New Roman"/>
          <w:sz w:val="28"/>
          <w:szCs w:val="28"/>
        </w:rPr>
      </w:pPr>
    </w:p>
    <w:p w:rsidR="00F20FCA" w:rsidRPr="008F1B55" w:rsidRDefault="00F520B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Показатели оборачиваемости характеризуют эффективность использования оборотных средств на предприятии, а также эффективность управления капиталом организации. </w:t>
      </w:r>
      <w:r w:rsidR="00F20FCA" w:rsidRPr="008F1B55">
        <w:rPr>
          <w:rFonts w:ascii="Times New Roman" w:hAnsi="Times New Roman"/>
          <w:sz w:val="28"/>
          <w:szCs w:val="28"/>
        </w:rPr>
        <w:t xml:space="preserve">По данным таблицы </w:t>
      </w:r>
      <w:r w:rsidRPr="008F1B55">
        <w:rPr>
          <w:rFonts w:ascii="Times New Roman" w:hAnsi="Times New Roman"/>
          <w:sz w:val="28"/>
          <w:szCs w:val="28"/>
        </w:rPr>
        <w:t>8</w:t>
      </w:r>
      <w:r w:rsidR="00F20FCA" w:rsidRPr="008F1B55">
        <w:rPr>
          <w:rFonts w:ascii="Times New Roman" w:hAnsi="Times New Roman"/>
          <w:sz w:val="28"/>
          <w:szCs w:val="28"/>
        </w:rPr>
        <w:t xml:space="preserve"> можно сделать вывод, что произошло увеличение и без того высокого периода обращения оборотных средств предприятия причем по всем их компонентам. Высокое значение длительности одного оборота во многом связано со спецификой сельскохозяйственного производства. Кроме того в 2008 году наблюдались довольно низкие цены на продукцию растениеводства, поэтому зерно урожая 2008 года реализовывалось только в феврале-марте 2009 года. Это в свою очередь привело к росту объемов запасов на предприятии. Увеличение объема выручки в 2008г. по сравнению с 2007г. привело к незначительному росту фондоотдачи на предприятии. Этот показатель отражает повышение эффективности использования основных производственных фондов предприятия.</w:t>
      </w:r>
    </w:p>
    <w:p w:rsidR="008F1B55" w:rsidRDefault="008F1B55" w:rsidP="008F1B55">
      <w:pPr>
        <w:spacing w:after="0" w:line="360" w:lineRule="auto"/>
        <w:ind w:firstLine="709"/>
        <w:jc w:val="both"/>
        <w:rPr>
          <w:rFonts w:ascii="Times New Roman" w:hAnsi="Times New Roman"/>
          <w:sz w:val="28"/>
          <w:szCs w:val="28"/>
        </w:rPr>
      </w:pP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Таблица </w:t>
      </w:r>
      <w:r w:rsidR="00840AA6" w:rsidRPr="008F1B55">
        <w:rPr>
          <w:rFonts w:ascii="Times New Roman" w:hAnsi="Times New Roman"/>
          <w:sz w:val="28"/>
          <w:szCs w:val="28"/>
        </w:rPr>
        <w:t>9</w:t>
      </w:r>
    </w:p>
    <w:p w:rsidR="00F20FC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Показатели рентабельности ОАО «Племзавод «Чикский» в 2007- 2008гг., %</w:t>
      </w:r>
    </w:p>
    <w:tbl>
      <w:tblPr>
        <w:tblW w:w="0" w:type="auto"/>
        <w:tblLook w:val="04A0" w:firstRow="1" w:lastRow="0" w:firstColumn="1" w:lastColumn="0" w:noHBand="0" w:noVBand="1"/>
      </w:tblPr>
      <w:tblGrid>
        <w:gridCol w:w="4361"/>
        <w:gridCol w:w="850"/>
        <w:gridCol w:w="851"/>
        <w:gridCol w:w="1559"/>
      </w:tblGrid>
      <w:tr w:rsidR="00F20FCA" w:rsidRPr="008F1B55" w:rsidTr="009A48B3">
        <w:trPr>
          <w:trHeight w:val="300"/>
        </w:trPr>
        <w:tc>
          <w:tcPr>
            <w:tcW w:w="4361" w:type="dxa"/>
            <w:tcBorders>
              <w:top w:val="single" w:sz="4" w:space="0" w:color="auto"/>
              <w:left w:val="single" w:sz="4" w:space="0" w:color="auto"/>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Показатель</w:t>
            </w:r>
          </w:p>
        </w:tc>
        <w:tc>
          <w:tcPr>
            <w:tcW w:w="850"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2007г.</w:t>
            </w:r>
          </w:p>
        </w:tc>
        <w:tc>
          <w:tcPr>
            <w:tcW w:w="851"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2008г.</w:t>
            </w:r>
          </w:p>
        </w:tc>
        <w:tc>
          <w:tcPr>
            <w:tcW w:w="1559"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Отклонение</w:t>
            </w:r>
          </w:p>
        </w:tc>
      </w:tr>
      <w:tr w:rsidR="00F20FCA" w:rsidRPr="008F1B55" w:rsidTr="009A48B3">
        <w:trPr>
          <w:trHeight w:val="326"/>
        </w:trPr>
        <w:tc>
          <w:tcPr>
            <w:tcW w:w="4361" w:type="dxa"/>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имущества</w:t>
            </w:r>
          </w:p>
        </w:tc>
        <w:tc>
          <w:tcPr>
            <w:tcW w:w="850"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9,44</w:t>
            </w:r>
          </w:p>
        </w:tc>
        <w:tc>
          <w:tcPr>
            <w:tcW w:w="851"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4,38</w:t>
            </w:r>
          </w:p>
        </w:tc>
        <w:tc>
          <w:tcPr>
            <w:tcW w:w="1559"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-5,06</w:t>
            </w:r>
          </w:p>
        </w:tc>
      </w:tr>
      <w:tr w:rsidR="00F20FCA" w:rsidRPr="008F1B55" w:rsidTr="009A48B3">
        <w:trPr>
          <w:trHeight w:val="70"/>
        </w:trPr>
        <w:tc>
          <w:tcPr>
            <w:tcW w:w="4361" w:type="dxa"/>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внеоборотных активов</w:t>
            </w:r>
          </w:p>
        </w:tc>
        <w:tc>
          <w:tcPr>
            <w:tcW w:w="850"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15,85</w:t>
            </w:r>
          </w:p>
        </w:tc>
        <w:tc>
          <w:tcPr>
            <w:tcW w:w="851"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7,83</w:t>
            </w:r>
          </w:p>
        </w:tc>
        <w:tc>
          <w:tcPr>
            <w:tcW w:w="1559"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-8,02</w:t>
            </w:r>
          </w:p>
        </w:tc>
      </w:tr>
      <w:tr w:rsidR="00F20FCA" w:rsidRPr="008F1B55" w:rsidTr="009A48B3">
        <w:trPr>
          <w:trHeight w:val="70"/>
        </w:trPr>
        <w:tc>
          <w:tcPr>
            <w:tcW w:w="4361" w:type="dxa"/>
            <w:tcBorders>
              <w:top w:val="single" w:sz="4" w:space="0" w:color="auto"/>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оборотных активов</w:t>
            </w:r>
          </w:p>
        </w:tc>
        <w:tc>
          <w:tcPr>
            <w:tcW w:w="850"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23,35</w:t>
            </w:r>
          </w:p>
        </w:tc>
        <w:tc>
          <w:tcPr>
            <w:tcW w:w="851"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9,93</w:t>
            </w:r>
          </w:p>
        </w:tc>
        <w:tc>
          <w:tcPr>
            <w:tcW w:w="1559"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-13,42</w:t>
            </w:r>
          </w:p>
        </w:tc>
      </w:tr>
      <w:tr w:rsidR="00F20FCA" w:rsidRPr="008F1B55" w:rsidTr="009A48B3">
        <w:trPr>
          <w:trHeight w:val="300"/>
        </w:trPr>
        <w:tc>
          <w:tcPr>
            <w:tcW w:w="4361" w:type="dxa"/>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инвестиций</w:t>
            </w:r>
          </w:p>
        </w:tc>
        <w:tc>
          <w:tcPr>
            <w:tcW w:w="850"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10,57</w:t>
            </w:r>
          </w:p>
        </w:tc>
        <w:tc>
          <w:tcPr>
            <w:tcW w:w="851"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5,07</w:t>
            </w:r>
          </w:p>
        </w:tc>
        <w:tc>
          <w:tcPr>
            <w:tcW w:w="1559"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-5,5</w:t>
            </w:r>
          </w:p>
        </w:tc>
      </w:tr>
      <w:tr w:rsidR="00F20FCA" w:rsidRPr="008F1B55" w:rsidTr="009A48B3">
        <w:trPr>
          <w:trHeight w:val="70"/>
        </w:trPr>
        <w:tc>
          <w:tcPr>
            <w:tcW w:w="4361" w:type="dxa"/>
            <w:tcBorders>
              <w:top w:val="single" w:sz="4" w:space="0" w:color="auto"/>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собственного капитала</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10,94</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5,25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-5,69</w:t>
            </w:r>
          </w:p>
        </w:tc>
      </w:tr>
      <w:tr w:rsidR="00F20FCA" w:rsidRPr="008F1B55" w:rsidTr="009A48B3">
        <w:trPr>
          <w:trHeight w:val="259"/>
        </w:trPr>
        <w:tc>
          <w:tcPr>
            <w:tcW w:w="4361" w:type="dxa"/>
            <w:tcBorders>
              <w:top w:val="single" w:sz="4" w:space="0" w:color="auto"/>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заемных средств</w:t>
            </w:r>
          </w:p>
        </w:tc>
        <w:tc>
          <w:tcPr>
            <w:tcW w:w="850"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12,18</w:t>
            </w:r>
          </w:p>
        </w:tc>
        <w:tc>
          <w:tcPr>
            <w:tcW w:w="851"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22,96</w:t>
            </w:r>
          </w:p>
        </w:tc>
        <w:tc>
          <w:tcPr>
            <w:tcW w:w="1559" w:type="dxa"/>
            <w:tcBorders>
              <w:top w:val="single" w:sz="4" w:space="0" w:color="auto"/>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+10,78</w:t>
            </w:r>
          </w:p>
        </w:tc>
      </w:tr>
      <w:tr w:rsidR="00F20FCA" w:rsidRPr="008F1B55" w:rsidTr="009A48B3">
        <w:trPr>
          <w:trHeight w:val="70"/>
        </w:trPr>
        <w:tc>
          <w:tcPr>
            <w:tcW w:w="4361" w:type="dxa"/>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совокупного капитала</w:t>
            </w:r>
          </w:p>
        </w:tc>
        <w:tc>
          <w:tcPr>
            <w:tcW w:w="850"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9,97</w:t>
            </w:r>
          </w:p>
        </w:tc>
        <w:tc>
          <w:tcPr>
            <w:tcW w:w="851"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5,26</w:t>
            </w:r>
          </w:p>
        </w:tc>
        <w:tc>
          <w:tcPr>
            <w:tcW w:w="1559"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-4,71</w:t>
            </w:r>
          </w:p>
        </w:tc>
      </w:tr>
      <w:tr w:rsidR="00F20FCA" w:rsidRPr="008F1B55" w:rsidTr="009A48B3">
        <w:trPr>
          <w:trHeight w:val="70"/>
        </w:trPr>
        <w:tc>
          <w:tcPr>
            <w:tcW w:w="4361" w:type="dxa"/>
            <w:tcBorders>
              <w:top w:val="nil"/>
              <w:left w:val="single" w:sz="4" w:space="0" w:color="auto"/>
              <w:bottom w:val="single" w:sz="4" w:space="0" w:color="auto"/>
              <w:right w:val="single" w:sz="4" w:space="0" w:color="auto"/>
            </w:tcBorders>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Рентабельность реализованной продукции</w:t>
            </w:r>
          </w:p>
        </w:tc>
        <w:tc>
          <w:tcPr>
            <w:tcW w:w="850"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16,55</w:t>
            </w:r>
          </w:p>
        </w:tc>
        <w:tc>
          <w:tcPr>
            <w:tcW w:w="851"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7,78</w:t>
            </w:r>
          </w:p>
        </w:tc>
        <w:tc>
          <w:tcPr>
            <w:tcW w:w="1559" w:type="dxa"/>
            <w:tcBorders>
              <w:top w:val="nil"/>
              <w:left w:val="nil"/>
              <w:bottom w:val="single" w:sz="4" w:space="0" w:color="auto"/>
              <w:right w:val="single" w:sz="4" w:space="0" w:color="auto"/>
            </w:tcBorders>
            <w:noWrap/>
            <w:vAlign w:val="bottom"/>
            <w:hideMark/>
          </w:tcPr>
          <w:p w:rsidR="00F20FCA" w:rsidRPr="008F1B55" w:rsidRDefault="00F20FCA" w:rsidP="008F1B55">
            <w:pPr>
              <w:spacing w:after="0" w:line="360" w:lineRule="auto"/>
              <w:ind w:firstLine="4"/>
              <w:jc w:val="both"/>
              <w:rPr>
                <w:rFonts w:ascii="Times New Roman" w:hAnsi="Times New Roman"/>
                <w:color w:val="000000"/>
                <w:sz w:val="20"/>
                <w:szCs w:val="20"/>
              </w:rPr>
            </w:pPr>
            <w:r w:rsidRPr="008F1B55">
              <w:rPr>
                <w:rFonts w:ascii="Times New Roman" w:hAnsi="Times New Roman"/>
                <w:color w:val="000000"/>
                <w:sz w:val="20"/>
                <w:szCs w:val="20"/>
              </w:rPr>
              <w:t>-8,77</w:t>
            </w:r>
          </w:p>
        </w:tc>
      </w:tr>
    </w:tbl>
    <w:p w:rsidR="009A48B3" w:rsidRDefault="009A48B3" w:rsidP="008F1B55">
      <w:pPr>
        <w:spacing w:after="0" w:line="360" w:lineRule="auto"/>
        <w:ind w:firstLine="709"/>
        <w:jc w:val="both"/>
        <w:rPr>
          <w:rFonts w:ascii="Times New Roman" w:hAnsi="Times New Roman"/>
          <w:sz w:val="28"/>
          <w:szCs w:val="28"/>
        </w:rPr>
      </w:pPr>
    </w:p>
    <w:p w:rsidR="00F520BA" w:rsidRPr="008F1B55" w:rsidRDefault="00F20FC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Показатели рентабельности в 2008г. по сравнению с 2007г. снизились за счет снижения чистой прибыли. Сравнение показателей рентабельности заемных средств (22,96) и рентабельности реализованной продукции (7,78) говорит о неэффективности деятельности организации.</w:t>
      </w:r>
    </w:p>
    <w:p w:rsidR="009A48B3" w:rsidRDefault="009A48B3" w:rsidP="008F1B55">
      <w:pPr>
        <w:spacing w:after="0" w:line="360" w:lineRule="auto"/>
        <w:ind w:firstLine="709"/>
        <w:jc w:val="both"/>
        <w:rPr>
          <w:rFonts w:ascii="Times New Roman" w:hAnsi="Times New Roman"/>
          <w:sz w:val="28"/>
          <w:szCs w:val="28"/>
        </w:rPr>
      </w:pPr>
      <w:bookmarkStart w:id="9" w:name="_Toc233756847"/>
    </w:p>
    <w:p w:rsidR="00F520BA" w:rsidRPr="009A48B3" w:rsidRDefault="009A48B3" w:rsidP="009A48B3">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2.2 </w:t>
      </w:r>
      <w:r w:rsidR="00F520BA" w:rsidRPr="009A48B3">
        <w:rPr>
          <w:rFonts w:ascii="Times New Roman" w:hAnsi="Times New Roman"/>
          <w:b/>
          <w:sz w:val="28"/>
          <w:szCs w:val="28"/>
        </w:rPr>
        <w:t>Потребность предприятия в привлечении инвестиций</w:t>
      </w:r>
      <w:bookmarkEnd w:id="9"/>
    </w:p>
    <w:p w:rsidR="00F520BA" w:rsidRPr="008F1B55" w:rsidRDefault="00F520BA" w:rsidP="008F1B55">
      <w:pPr>
        <w:spacing w:after="0" w:line="360" w:lineRule="auto"/>
        <w:ind w:firstLine="709"/>
        <w:jc w:val="both"/>
        <w:rPr>
          <w:rFonts w:ascii="Times New Roman" w:hAnsi="Times New Roman"/>
          <w:sz w:val="28"/>
          <w:szCs w:val="28"/>
        </w:rPr>
      </w:pPr>
    </w:p>
    <w:p w:rsidR="006703D8" w:rsidRPr="008F1B55" w:rsidRDefault="006703D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Реализация инвестиционного процесса связана с поиском решений в области определения возможных источников финансирования инвестиций, способов их мобилизации, повышения эффективности использования. На уровне предприятия внутренними источниками инвестирования являются: прибыль, амортизация, инвестиции собственников предприятия; внешними – государственное финансирование, инвестиционные кредиты, средства, привлекаемые путем размещения собственных ценных бумаг.</w:t>
      </w:r>
    </w:p>
    <w:p w:rsidR="00911B76" w:rsidRPr="008F1B55" w:rsidRDefault="00911B7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Одной из важнейших форм финансового обеспечения инвестиционной деятельности фирм (компаний) является самофинансирование. Оно основано на использовании собственных финансовых ресурсов, в первую очередь прибыли и амортизационных отчислений.</w:t>
      </w:r>
    </w:p>
    <w:p w:rsidR="00F520BA" w:rsidRPr="008F1B55" w:rsidRDefault="00F861D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Анализ финансового состояния </w:t>
      </w:r>
      <w:r w:rsidR="00BC1455" w:rsidRPr="008F1B55">
        <w:rPr>
          <w:rFonts w:ascii="Times New Roman" w:hAnsi="Times New Roman"/>
          <w:sz w:val="28"/>
          <w:szCs w:val="28"/>
        </w:rPr>
        <w:t xml:space="preserve">ОАО «Племзавод «Чикский», проведенный выше, дает понятие о недостатках в управлении организацией. Основываясь на данном анализе можно выделить следующие проблемные </w:t>
      </w:r>
      <w:r w:rsidR="00EA7704" w:rsidRPr="008F1B55">
        <w:rPr>
          <w:rFonts w:ascii="Times New Roman" w:hAnsi="Times New Roman"/>
          <w:sz w:val="28"/>
          <w:szCs w:val="28"/>
        </w:rPr>
        <w:t>моменты в организации финансов на предприятии:</w:t>
      </w:r>
    </w:p>
    <w:p w:rsidR="00EA7704" w:rsidRPr="008F1B55" w:rsidRDefault="003122E1"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нестабильность потока денежных средств;</w:t>
      </w:r>
    </w:p>
    <w:p w:rsidR="003122E1" w:rsidRPr="008F1B55" w:rsidRDefault="003122E1"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недостаток собственных оборотных средств;</w:t>
      </w:r>
    </w:p>
    <w:p w:rsidR="003122E1" w:rsidRPr="008F1B55" w:rsidRDefault="003122E1"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нехватка ликвидности;</w:t>
      </w:r>
    </w:p>
    <w:p w:rsidR="003122E1" w:rsidRPr="008F1B55" w:rsidRDefault="0086024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низкая оборачиваемость оборотных средств;</w:t>
      </w:r>
    </w:p>
    <w:p w:rsidR="00860248" w:rsidRPr="008F1B55" w:rsidRDefault="0086024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низкая рентабельность вложенных в производство средств.</w:t>
      </w:r>
    </w:p>
    <w:p w:rsidR="00860248" w:rsidRPr="008F1B55" w:rsidRDefault="0086024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Все перечисленные проблемы негативно отражаются на формировании источников собственных средств, которые необходимы для инвестирования в дальнейшее развитие предприятия. Кроме того</w:t>
      </w:r>
      <w:r w:rsidR="005D5A51" w:rsidRPr="008F1B55">
        <w:rPr>
          <w:rFonts w:ascii="Times New Roman" w:hAnsi="Times New Roman"/>
          <w:sz w:val="28"/>
          <w:szCs w:val="28"/>
        </w:rPr>
        <w:t>,</w:t>
      </w:r>
      <w:r w:rsidRPr="008F1B55">
        <w:rPr>
          <w:rFonts w:ascii="Times New Roman" w:hAnsi="Times New Roman"/>
          <w:sz w:val="28"/>
          <w:szCs w:val="28"/>
        </w:rPr>
        <w:t xml:space="preserve"> </w:t>
      </w:r>
      <w:r w:rsidR="005D5A51" w:rsidRPr="008F1B55">
        <w:rPr>
          <w:rFonts w:ascii="Times New Roman" w:hAnsi="Times New Roman"/>
          <w:sz w:val="28"/>
          <w:szCs w:val="28"/>
        </w:rPr>
        <w:t>данные факторы</w:t>
      </w:r>
      <w:r w:rsidRPr="008F1B55">
        <w:rPr>
          <w:rFonts w:ascii="Times New Roman" w:hAnsi="Times New Roman"/>
          <w:sz w:val="28"/>
          <w:szCs w:val="28"/>
        </w:rPr>
        <w:t xml:space="preserve"> </w:t>
      </w:r>
      <w:r w:rsidR="005D5A51" w:rsidRPr="008F1B55">
        <w:rPr>
          <w:rFonts w:ascii="Times New Roman" w:hAnsi="Times New Roman"/>
          <w:sz w:val="28"/>
          <w:szCs w:val="28"/>
        </w:rPr>
        <w:t xml:space="preserve">отрицательно влияют и </w:t>
      </w:r>
      <w:r w:rsidRPr="008F1B55">
        <w:rPr>
          <w:rFonts w:ascii="Times New Roman" w:hAnsi="Times New Roman"/>
          <w:sz w:val="28"/>
          <w:szCs w:val="28"/>
        </w:rPr>
        <w:t>на обновлени</w:t>
      </w:r>
      <w:r w:rsidR="005D5A51" w:rsidRPr="008F1B55">
        <w:rPr>
          <w:rFonts w:ascii="Times New Roman" w:hAnsi="Times New Roman"/>
          <w:sz w:val="28"/>
          <w:szCs w:val="28"/>
        </w:rPr>
        <w:t>е</w:t>
      </w:r>
      <w:r w:rsidRPr="008F1B55">
        <w:rPr>
          <w:rFonts w:ascii="Times New Roman" w:hAnsi="Times New Roman"/>
          <w:sz w:val="28"/>
          <w:szCs w:val="28"/>
        </w:rPr>
        <w:t xml:space="preserve"> уже существующих производственных фондов</w:t>
      </w:r>
      <w:r w:rsidR="005D5A51" w:rsidRPr="008F1B55">
        <w:rPr>
          <w:rFonts w:ascii="Times New Roman" w:hAnsi="Times New Roman"/>
          <w:sz w:val="28"/>
          <w:szCs w:val="28"/>
        </w:rPr>
        <w:t xml:space="preserve">, что проявляется в их низком обновлении и в большом, продолжающемся увеличиваться, износе основных средств. </w:t>
      </w:r>
    </w:p>
    <w:p w:rsidR="00AA5AA6" w:rsidRPr="008F1B55" w:rsidRDefault="00C8265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Устаревание же производственных фондов ведет к увеличению затрат на производство не только в связи с потерями из-за физического износа техники и оборудования, но и в связи с появлением более современных средств труда</w:t>
      </w:r>
      <w:r w:rsidR="00F90C30" w:rsidRPr="008F1B55">
        <w:rPr>
          <w:rFonts w:ascii="Times New Roman" w:hAnsi="Times New Roman"/>
          <w:sz w:val="28"/>
          <w:szCs w:val="28"/>
        </w:rPr>
        <w:t>, позволяющих производить тот же объем работ при мень</w:t>
      </w:r>
      <w:r w:rsidR="005C4E15" w:rsidRPr="008F1B55">
        <w:rPr>
          <w:rFonts w:ascii="Times New Roman" w:hAnsi="Times New Roman"/>
          <w:sz w:val="28"/>
          <w:szCs w:val="28"/>
        </w:rPr>
        <w:t>ших затратах (моральный износ).</w:t>
      </w:r>
    </w:p>
    <w:p w:rsidR="005D5A51" w:rsidRPr="008F1B55" w:rsidRDefault="00AA5AA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На </w:t>
      </w:r>
      <w:r w:rsidR="00447565" w:rsidRPr="008F1B55">
        <w:rPr>
          <w:rFonts w:ascii="Times New Roman" w:hAnsi="Times New Roman"/>
          <w:sz w:val="28"/>
          <w:szCs w:val="28"/>
        </w:rPr>
        <w:t xml:space="preserve">прибыльность современного сельскохозяйственного производства большое влияние </w:t>
      </w:r>
      <w:r w:rsidRPr="008F1B55">
        <w:rPr>
          <w:rFonts w:ascii="Times New Roman" w:hAnsi="Times New Roman"/>
          <w:sz w:val="28"/>
          <w:szCs w:val="28"/>
        </w:rPr>
        <w:t xml:space="preserve">оказывают используемые технологии в растениеводстве и животноводстве, а также степень самостоятельной переработки продукции на предприятии. Изменение технологии производства и введение в структуру предприятия перерабатывающих производств требует затрат не только на </w:t>
      </w:r>
      <w:r w:rsidR="00937BE6" w:rsidRPr="008F1B55">
        <w:rPr>
          <w:rFonts w:ascii="Times New Roman" w:hAnsi="Times New Roman"/>
          <w:sz w:val="28"/>
          <w:szCs w:val="28"/>
        </w:rPr>
        <w:t>приобретение соответствующего оборудования, но и на обучение рабочих, на привлечение или повышение квалификации специалистов, на пересмотр сложившейся модели управления предприятием, на поиск рынков сбыта для новых видов продукции.</w:t>
      </w:r>
    </w:p>
    <w:p w:rsidR="00937BE6" w:rsidRPr="008F1B55" w:rsidRDefault="00520860"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По результатам оценки финансового состояния ОАО «Племзавод «Чикский» нуждается не только в обновлении устаревших основных средств</w:t>
      </w:r>
      <w:r w:rsidR="0093189F" w:rsidRPr="008F1B55">
        <w:rPr>
          <w:rFonts w:ascii="Times New Roman" w:hAnsi="Times New Roman"/>
          <w:sz w:val="28"/>
          <w:szCs w:val="28"/>
        </w:rPr>
        <w:t>,</w:t>
      </w:r>
      <w:r w:rsidRPr="008F1B55">
        <w:rPr>
          <w:rFonts w:ascii="Times New Roman" w:hAnsi="Times New Roman"/>
          <w:sz w:val="28"/>
          <w:szCs w:val="28"/>
        </w:rPr>
        <w:t xml:space="preserve"> </w:t>
      </w:r>
      <w:r w:rsidR="0093189F" w:rsidRPr="008F1B55">
        <w:rPr>
          <w:rFonts w:ascii="Times New Roman" w:hAnsi="Times New Roman"/>
          <w:sz w:val="28"/>
          <w:szCs w:val="28"/>
        </w:rPr>
        <w:t>но и в реструктуризации организационной структуры предприятия для повышения эффективности управления.</w:t>
      </w:r>
    </w:p>
    <w:p w:rsidR="0093189F" w:rsidRPr="008F1B55" w:rsidRDefault="00A8294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Однако для модернизации предприятия необходимы немалые вложения. А при современном финансовом состоянии ОАО «Племзавод «Чикский» не может обеспечить дальнейшее развитие только за счет собственных средств. Кроме того, анализ финансового состояния показывает, что часть текущей деятельности предприятия финансируется за счет долгосрочных пассивов, и даже небольшая задержка в производственном цикле может привести к </w:t>
      </w:r>
      <w:r w:rsidR="00007FBE" w:rsidRPr="008F1B55">
        <w:rPr>
          <w:rFonts w:ascii="Times New Roman" w:hAnsi="Times New Roman"/>
          <w:sz w:val="28"/>
          <w:szCs w:val="28"/>
        </w:rPr>
        <w:t>просрочке текущих платежей.</w:t>
      </w:r>
    </w:p>
    <w:p w:rsidR="004213F9" w:rsidRPr="008F1B55" w:rsidRDefault="004213F9"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Следовательно, в современных условиях при разработке своей инвестиционной стратегии ОАО «Племзавод «Чикский» должен рассматривать кроме собственных источников финансирования привлеченные и заемные.</w:t>
      </w:r>
    </w:p>
    <w:p w:rsidR="004213F9" w:rsidRPr="008F1B55" w:rsidRDefault="004213F9"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К привлеченным относят средства, предоставленные на постоянной основе, по которым может осуществляться выплата владельцам этих средств дохода (в виде дивиденда, процента) и которые могут практически не возвращаться владельцам. В их числе можно назвать: средства от эмиссии акций, дополнительные взносы (паи) в уставный капитал, а также целевое государственное финансирование на безвозмездной или долевой основе. </w:t>
      </w:r>
    </w:p>
    <w:p w:rsidR="00F520BA" w:rsidRPr="008F1B55" w:rsidRDefault="004213F9"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Под заемными понимаются денежные ресурсы, полученные в ссуду на определенный срок и подлежащие возврату с уплатой процента. Заемные средства включают: средства, полученные от выпуска облигаций, других долговых обязательств, а также кредиты банков, других финансово-кредитных институтов, государства. Мобилизация привлеченных и заемных средств осуществляется различными способами, основными из которых являются: привлечение капитала через рынок ценных бумаг, рынок кредитных ресурсов, государственное финансирование.</w:t>
      </w:r>
      <w:r w:rsidR="004F6326" w:rsidRPr="008F1B55">
        <w:rPr>
          <w:rFonts w:ascii="Times New Roman" w:hAnsi="Times New Roman"/>
          <w:sz w:val="28"/>
          <w:szCs w:val="28"/>
        </w:rPr>
        <w:t>[14;</w:t>
      </w:r>
      <w:r w:rsidR="004F6326" w:rsidRPr="008F1B55">
        <w:rPr>
          <w:rFonts w:ascii="Times New Roman" w:hAnsi="Times New Roman"/>
          <w:sz w:val="28"/>
          <w:szCs w:val="28"/>
          <w:lang w:val="en-US"/>
        </w:rPr>
        <w:t>c</w:t>
      </w:r>
      <w:r w:rsidR="004F6326" w:rsidRPr="008F1B55">
        <w:rPr>
          <w:rFonts w:ascii="Times New Roman" w:hAnsi="Times New Roman"/>
          <w:sz w:val="28"/>
          <w:szCs w:val="28"/>
        </w:rPr>
        <w:t>465]</w:t>
      </w:r>
    </w:p>
    <w:p w:rsidR="003D439E" w:rsidRPr="009A48B3" w:rsidRDefault="00F20FCA" w:rsidP="009A48B3">
      <w:pPr>
        <w:spacing w:after="0" w:line="360" w:lineRule="auto"/>
        <w:ind w:firstLine="709"/>
        <w:jc w:val="center"/>
        <w:rPr>
          <w:rFonts w:ascii="Times New Roman" w:hAnsi="Times New Roman"/>
          <w:b/>
          <w:sz w:val="28"/>
          <w:szCs w:val="28"/>
        </w:rPr>
      </w:pPr>
      <w:r w:rsidRPr="008F1B55">
        <w:rPr>
          <w:rFonts w:ascii="Times New Roman" w:hAnsi="Times New Roman"/>
          <w:sz w:val="28"/>
          <w:szCs w:val="28"/>
        </w:rPr>
        <w:br w:type="page"/>
      </w:r>
      <w:bookmarkStart w:id="10" w:name="_Toc233756848"/>
      <w:r w:rsidR="009A48B3" w:rsidRPr="009A48B3">
        <w:rPr>
          <w:rFonts w:ascii="Times New Roman" w:hAnsi="Times New Roman"/>
          <w:b/>
          <w:sz w:val="28"/>
          <w:szCs w:val="28"/>
        </w:rPr>
        <w:t xml:space="preserve">3. </w:t>
      </w:r>
      <w:r w:rsidR="003D439E" w:rsidRPr="009A48B3">
        <w:rPr>
          <w:rFonts w:ascii="Times New Roman" w:hAnsi="Times New Roman"/>
          <w:b/>
          <w:sz w:val="28"/>
          <w:szCs w:val="28"/>
        </w:rPr>
        <w:t>Разработка инвестиционной стратегии ОАО «Племзавод «Чикский»</w:t>
      </w:r>
      <w:bookmarkEnd w:id="10"/>
    </w:p>
    <w:p w:rsidR="003D439E" w:rsidRPr="008F1B55" w:rsidRDefault="003D439E" w:rsidP="008F1B55">
      <w:pPr>
        <w:spacing w:after="0" w:line="360" w:lineRule="auto"/>
        <w:ind w:firstLine="709"/>
        <w:jc w:val="both"/>
        <w:rPr>
          <w:rFonts w:ascii="Times New Roman" w:hAnsi="Times New Roman"/>
          <w:sz w:val="28"/>
          <w:szCs w:val="28"/>
        </w:rPr>
      </w:pPr>
    </w:p>
    <w:p w:rsidR="00107466" w:rsidRPr="008F1B55" w:rsidRDefault="00870FF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Современное состояние сельскохозяйственного производства в России показывает, что в данной отрасли можно работать довольно стабильно и с приемлемыми объемами прибыли. Однако, для успешного развития предприятия требуются немалые вложения, направленные на модернизацию технологий производства, систем управления, методов сбыта собственной</w:t>
      </w:r>
      <w:r w:rsidR="00E77CCC" w:rsidRPr="008F1B55">
        <w:rPr>
          <w:rFonts w:ascii="Times New Roman" w:hAnsi="Times New Roman"/>
          <w:sz w:val="28"/>
          <w:szCs w:val="28"/>
        </w:rPr>
        <w:t xml:space="preserve"> продукции. Именно для решения данных проблем необходимо разрабатывать инвестиционную стратегию сельскохозяйственного предприятия.</w:t>
      </w:r>
    </w:p>
    <w:p w:rsidR="00BB693F" w:rsidRPr="008F1B55" w:rsidRDefault="00BB693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При разработке инвестиционной стратегии ОАО «Племзавод «Чикский» необходимо проанализировать рентабельность отдельных видов продукции, чтобы выявить направления инвестирования средств (Табл. 10). </w:t>
      </w:r>
    </w:p>
    <w:p w:rsidR="009A48B3" w:rsidRDefault="009A48B3" w:rsidP="008F1B55">
      <w:pPr>
        <w:spacing w:after="0" w:line="360" w:lineRule="auto"/>
        <w:ind w:firstLine="709"/>
        <w:jc w:val="both"/>
        <w:rPr>
          <w:rFonts w:ascii="Times New Roman" w:hAnsi="Times New Roman"/>
          <w:sz w:val="28"/>
          <w:szCs w:val="28"/>
        </w:rPr>
      </w:pPr>
    </w:p>
    <w:p w:rsidR="00E77CCC" w:rsidRPr="008F1B55" w:rsidRDefault="00E77CC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Таблица 10</w:t>
      </w:r>
    </w:p>
    <w:p w:rsidR="00E77CCC" w:rsidRPr="008F1B55" w:rsidRDefault="00E77CC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Анализ реализации продукции растениеводства и животноводства в ОАО «Племзавод «Чикский» в 2008г.</w:t>
      </w:r>
    </w:p>
    <w:tbl>
      <w:tblPr>
        <w:tblW w:w="0" w:type="auto"/>
        <w:tblLook w:val="04A0" w:firstRow="1" w:lastRow="0" w:firstColumn="1" w:lastColumn="0" w:noHBand="0" w:noVBand="1"/>
      </w:tblPr>
      <w:tblGrid>
        <w:gridCol w:w="1953"/>
        <w:gridCol w:w="1053"/>
        <w:gridCol w:w="1942"/>
        <w:gridCol w:w="1365"/>
        <w:gridCol w:w="1279"/>
        <w:gridCol w:w="1978"/>
      </w:tblGrid>
      <w:tr w:rsidR="00E77CCC" w:rsidRPr="008F1B55" w:rsidTr="009A48B3">
        <w:trPr>
          <w:trHeight w:val="900"/>
        </w:trPr>
        <w:tc>
          <w:tcPr>
            <w:tcW w:w="0" w:type="auto"/>
            <w:tcBorders>
              <w:top w:val="single" w:sz="4" w:space="0" w:color="auto"/>
              <w:left w:val="single" w:sz="4" w:space="0" w:color="auto"/>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Продукция</w:t>
            </w:r>
          </w:p>
        </w:tc>
        <w:tc>
          <w:tcPr>
            <w:tcW w:w="0" w:type="auto"/>
            <w:tcBorders>
              <w:top w:val="single" w:sz="4" w:space="0" w:color="auto"/>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Продано, ц</w:t>
            </w:r>
          </w:p>
        </w:tc>
        <w:tc>
          <w:tcPr>
            <w:tcW w:w="0" w:type="auto"/>
            <w:tcBorders>
              <w:top w:val="single" w:sz="4" w:space="0" w:color="auto"/>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Полная себестоимость, тыс. руб.</w:t>
            </w:r>
          </w:p>
        </w:tc>
        <w:tc>
          <w:tcPr>
            <w:tcW w:w="0" w:type="auto"/>
            <w:tcBorders>
              <w:top w:val="single" w:sz="4" w:space="0" w:color="auto"/>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Выручено, тыс. руб.</w:t>
            </w:r>
          </w:p>
        </w:tc>
        <w:tc>
          <w:tcPr>
            <w:tcW w:w="0" w:type="auto"/>
            <w:tcBorders>
              <w:top w:val="single" w:sz="4" w:space="0" w:color="auto"/>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Прибыль, тыс. руб.</w:t>
            </w:r>
          </w:p>
        </w:tc>
        <w:tc>
          <w:tcPr>
            <w:tcW w:w="0" w:type="auto"/>
            <w:tcBorders>
              <w:top w:val="single" w:sz="4" w:space="0" w:color="auto"/>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Рентабельность производства, %</w:t>
            </w:r>
          </w:p>
        </w:tc>
      </w:tr>
      <w:tr w:rsidR="00E77CCC" w:rsidRPr="008F1B55" w:rsidTr="009A48B3">
        <w:trPr>
          <w:trHeight w:val="6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Растениеводство, всего</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36850</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48019</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11169</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30,31%</w:t>
            </w:r>
          </w:p>
        </w:tc>
      </w:tr>
      <w:tr w:rsidR="00E77CCC" w:rsidRPr="008F1B55" w:rsidTr="009A48B3">
        <w:trPr>
          <w:trHeight w:val="6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В том числе: Пшеница</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47920</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21454</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27930</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6476</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30,19%</w:t>
            </w:r>
          </w:p>
        </w:tc>
      </w:tr>
      <w:tr w:rsidR="00E77CCC" w:rsidRPr="008F1B55" w:rsidTr="009A48B3">
        <w:trPr>
          <w:trHeight w:val="3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Ячмень</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2214</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363</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888</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525</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144,63%</w:t>
            </w:r>
          </w:p>
        </w:tc>
      </w:tr>
      <w:tr w:rsidR="00E77CCC" w:rsidRPr="008F1B55" w:rsidTr="009A48B3">
        <w:trPr>
          <w:trHeight w:val="3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Горох</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33</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20</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19</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-5,00%</w:t>
            </w:r>
          </w:p>
        </w:tc>
      </w:tr>
      <w:tr w:rsidR="00E77CCC" w:rsidRPr="008F1B55" w:rsidTr="009A48B3">
        <w:trPr>
          <w:trHeight w:val="3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Овес</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5419</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809</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1919</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1110</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137,21%</w:t>
            </w:r>
          </w:p>
        </w:tc>
      </w:tr>
      <w:tr w:rsidR="00E77CCC" w:rsidRPr="008F1B55" w:rsidTr="009A48B3">
        <w:trPr>
          <w:trHeight w:val="6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Переработанная продукция</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13379</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16273</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2894</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21,63%</w:t>
            </w:r>
          </w:p>
        </w:tc>
      </w:tr>
      <w:tr w:rsidR="00E77CCC" w:rsidRPr="008F1B55" w:rsidTr="009A48B3">
        <w:trPr>
          <w:trHeight w:val="6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Животноводство, всего</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118525</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114857</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-3668</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-3,09%</w:t>
            </w:r>
          </w:p>
        </w:tc>
      </w:tr>
      <w:tr w:rsidR="00E77CCC" w:rsidRPr="008F1B55" w:rsidTr="009A48B3">
        <w:trPr>
          <w:trHeight w:val="3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КРС</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3177</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19000</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14325</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-4675</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-24,61%</w:t>
            </w:r>
          </w:p>
        </w:tc>
      </w:tr>
      <w:tr w:rsidR="00E77CCC" w:rsidRPr="008F1B55" w:rsidTr="009A48B3">
        <w:trPr>
          <w:trHeight w:val="3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Лошади</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206</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2922</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2146</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-776</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-26,56%</w:t>
            </w:r>
          </w:p>
        </w:tc>
      </w:tr>
      <w:tr w:rsidR="00E77CCC" w:rsidRPr="008F1B55" w:rsidTr="009A48B3">
        <w:trPr>
          <w:trHeight w:val="6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Молоко после переработки</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73219</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72497</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85733</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13236</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18,26%</w:t>
            </w:r>
          </w:p>
        </w:tc>
      </w:tr>
      <w:tr w:rsidR="00E77CCC" w:rsidRPr="008F1B55" w:rsidTr="009A48B3">
        <w:trPr>
          <w:trHeight w:val="600"/>
        </w:trPr>
        <w:tc>
          <w:tcPr>
            <w:tcW w:w="0" w:type="auto"/>
            <w:tcBorders>
              <w:top w:val="nil"/>
              <w:left w:val="single" w:sz="4" w:space="0" w:color="auto"/>
              <w:bottom w:val="single" w:sz="4" w:space="0" w:color="auto"/>
              <w:right w:val="single" w:sz="4" w:space="0" w:color="auto"/>
            </w:tcBorders>
            <w:vAlign w:val="bottom"/>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Мясо после переработки</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3687</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23849</w:t>
            </w:r>
          </w:p>
        </w:tc>
        <w:tc>
          <w:tcPr>
            <w:tcW w:w="0" w:type="auto"/>
            <w:tcBorders>
              <w:top w:val="nil"/>
              <w:left w:val="nil"/>
              <w:bottom w:val="single" w:sz="4" w:space="0" w:color="auto"/>
              <w:right w:val="single" w:sz="4" w:space="0" w:color="auto"/>
            </w:tcBorders>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12447</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-11402</w:t>
            </w:r>
          </w:p>
        </w:tc>
        <w:tc>
          <w:tcPr>
            <w:tcW w:w="0" w:type="auto"/>
            <w:tcBorders>
              <w:top w:val="nil"/>
              <w:left w:val="nil"/>
              <w:bottom w:val="single" w:sz="4" w:space="0" w:color="auto"/>
              <w:right w:val="single" w:sz="4" w:space="0" w:color="auto"/>
            </w:tcBorders>
            <w:noWrap/>
            <w:vAlign w:val="center"/>
            <w:hideMark/>
          </w:tcPr>
          <w:p w:rsidR="00E77CCC" w:rsidRPr="009A48B3" w:rsidRDefault="00E77CCC"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-47,81%</w:t>
            </w:r>
          </w:p>
        </w:tc>
      </w:tr>
    </w:tbl>
    <w:p w:rsidR="00E77CCC" w:rsidRPr="008F1B55" w:rsidRDefault="00E77CCC" w:rsidP="008F1B55">
      <w:pPr>
        <w:spacing w:after="0" w:line="360" w:lineRule="auto"/>
        <w:ind w:firstLine="709"/>
        <w:jc w:val="both"/>
        <w:rPr>
          <w:rFonts w:ascii="Times New Roman" w:hAnsi="Times New Roman"/>
          <w:sz w:val="28"/>
          <w:szCs w:val="28"/>
        </w:rPr>
      </w:pPr>
    </w:p>
    <w:p w:rsidR="00BB693F" w:rsidRPr="008F1B55" w:rsidRDefault="00BB693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Исходя из данных таблицы 1</w:t>
      </w:r>
      <w:r w:rsidR="008B7B1B" w:rsidRPr="008F1B55">
        <w:rPr>
          <w:rFonts w:ascii="Times New Roman" w:hAnsi="Times New Roman"/>
          <w:sz w:val="28"/>
          <w:szCs w:val="28"/>
        </w:rPr>
        <w:t>0</w:t>
      </w:r>
      <w:r w:rsidRPr="008F1B55">
        <w:rPr>
          <w:rFonts w:ascii="Times New Roman" w:hAnsi="Times New Roman"/>
          <w:sz w:val="28"/>
          <w:szCs w:val="28"/>
        </w:rPr>
        <w:t xml:space="preserve">, можно выделить прибыльные и убыточные направления деятельности организации. Наиболее прибыльным направлением деятельности организации является растениеводство (рентабельность продаж 30,31%). Однако расширение производства пшеницы затруднено нестабильностью цен на данную продукцию, поэтому предприятие вынуждено хранить ее 4-6 месяцев до установления наиболее благоприятных цен. </w:t>
      </w:r>
    </w:p>
    <w:p w:rsidR="00BB693F" w:rsidRPr="008F1B55" w:rsidRDefault="0018631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Убыточным видом деятельности ОАО «Племзавод «Чикский» является мясное направление животноводства даже после переработки. Во многом это связано с тем, что в хозяйстве только началось освоение данного направления. В 2006 году был закуплен для разведения крупнорогатый скот галштинской породы специально для развития мясного направления. На 31 декабря 2008 года поголовье данного стада составляло 216 голов (прирост в 2007 году составил 37 голов, а в 2008 – 22). При таком темпе прироста поголовья мясного направления оптимальный объем производства будет достигнут только через несколько лет.</w:t>
      </w:r>
    </w:p>
    <w:p w:rsidR="0018631A" w:rsidRPr="008F1B55" w:rsidRDefault="002379A2"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На основе </w:t>
      </w:r>
      <w:r w:rsidR="003915BE" w:rsidRPr="008F1B55">
        <w:rPr>
          <w:rFonts w:ascii="Times New Roman" w:hAnsi="Times New Roman"/>
          <w:sz w:val="28"/>
          <w:szCs w:val="28"/>
        </w:rPr>
        <w:t xml:space="preserve">оценки финансового состояния ОАО «Племзавод «Чикский» и </w:t>
      </w:r>
      <w:r w:rsidRPr="008F1B55">
        <w:rPr>
          <w:rFonts w:ascii="Times New Roman" w:hAnsi="Times New Roman"/>
          <w:sz w:val="28"/>
          <w:szCs w:val="28"/>
        </w:rPr>
        <w:t>анализа реализации продукции растениеводства и животноводства</w:t>
      </w:r>
      <w:r w:rsidR="00352ACC" w:rsidRPr="008F1B55">
        <w:rPr>
          <w:rFonts w:ascii="Times New Roman" w:hAnsi="Times New Roman"/>
          <w:sz w:val="28"/>
          <w:szCs w:val="28"/>
        </w:rPr>
        <w:t xml:space="preserve"> можно определить следующие направления осуществления инвестиционной стратегии:</w:t>
      </w:r>
    </w:p>
    <w:p w:rsidR="00352ACC" w:rsidRPr="008F1B55" w:rsidRDefault="00352AC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модернизация технологических процессов производства продукции;</w:t>
      </w:r>
    </w:p>
    <w:p w:rsidR="00352ACC" w:rsidRPr="008F1B55" w:rsidRDefault="00352AC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увеличение </w:t>
      </w:r>
      <w:r w:rsidR="003915BE" w:rsidRPr="008F1B55">
        <w:rPr>
          <w:rFonts w:ascii="Times New Roman" w:hAnsi="Times New Roman"/>
          <w:sz w:val="28"/>
          <w:szCs w:val="28"/>
        </w:rPr>
        <w:t xml:space="preserve">и оптимизация структуры </w:t>
      </w:r>
      <w:r w:rsidRPr="008F1B55">
        <w:rPr>
          <w:rFonts w:ascii="Times New Roman" w:hAnsi="Times New Roman"/>
          <w:sz w:val="28"/>
          <w:szCs w:val="28"/>
        </w:rPr>
        <w:t>номенклатуры выпускаемой продукции;</w:t>
      </w:r>
    </w:p>
    <w:p w:rsidR="00352ACC" w:rsidRPr="008F1B55" w:rsidRDefault="00352AC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оптимизация структуры управления предприятия.</w:t>
      </w:r>
    </w:p>
    <w:p w:rsidR="00352ACC" w:rsidRPr="008F1B55" w:rsidRDefault="00757A0E"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Инвестиционную стратегию ОАО «Племзавод «Чикский» можно детализировать по отдельным проектам:</w:t>
      </w:r>
    </w:p>
    <w:p w:rsidR="00757A0E" w:rsidRPr="008F1B55" w:rsidRDefault="00757A0E"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пополнение поголовья мясных пород крупнорогатого скота</w:t>
      </w:r>
      <w:r w:rsidR="00F83101" w:rsidRPr="008F1B55">
        <w:rPr>
          <w:rFonts w:ascii="Times New Roman" w:hAnsi="Times New Roman"/>
          <w:sz w:val="28"/>
          <w:szCs w:val="28"/>
        </w:rPr>
        <w:t xml:space="preserve"> и совершенствование переработки продукции животноводства</w:t>
      </w:r>
      <w:r w:rsidRPr="008F1B55">
        <w:rPr>
          <w:rFonts w:ascii="Times New Roman" w:hAnsi="Times New Roman"/>
          <w:sz w:val="28"/>
          <w:szCs w:val="28"/>
        </w:rPr>
        <w:t>;</w:t>
      </w:r>
    </w:p>
    <w:p w:rsidR="00757A0E" w:rsidRPr="008F1B55" w:rsidRDefault="00757A0E"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внедрение перераб</w:t>
      </w:r>
      <w:r w:rsidR="00C933D3" w:rsidRPr="008F1B55">
        <w:rPr>
          <w:rFonts w:ascii="Times New Roman" w:hAnsi="Times New Roman"/>
          <w:sz w:val="28"/>
          <w:szCs w:val="28"/>
        </w:rPr>
        <w:t xml:space="preserve">отки </w:t>
      </w:r>
      <w:r w:rsidRPr="008F1B55">
        <w:rPr>
          <w:rFonts w:ascii="Times New Roman" w:hAnsi="Times New Roman"/>
          <w:sz w:val="28"/>
          <w:szCs w:val="28"/>
        </w:rPr>
        <w:t>молока;</w:t>
      </w:r>
    </w:p>
    <w:p w:rsidR="00757A0E" w:rsidRPr="008F1B55" w:rsidRDefault="00C933D3"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совершенствование производства зерна;</w:t>
      </w:r>
    </w:p>
    <w:p w:rsidR="00C032DF" w:rsidRPr="008F1B55" w:rsidRDefault="00C032DF"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оптимизация системы управления предприятием.</w:t>
      </w:r>
    </w:p>
    <w:p w:rsidR="008B7B1B" w:rsidRPr="008F1B55" w:rsidRDefault="00C3122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Сроки выполнения каждого проекта будут разными, например, расширение поголовья </w:t>
      </w:r>
      <w:r w:rsidR="00A34CE8" w:rsidRPr="008F1B55">
        <w:rPr>
          <w:rFonts w:ascii="Times New Roman" w:hAnsi="Times New Roman"/>
          <w:sz w:val="28"/>
          <w:szCs w:val="28"/>
        </w:rPr>
        <w:t>галштинской</w:t>
      </w:r>
      <w:r w:rsidRPr="008F1B55">
        <w:rPr>
          <w:rFonts w:ascii="Times New Roman" w:hAnsi="Times New Roman"/>
          <w:sz w:val="28"/>
          <w:szCs w:val="28"/>
        </w:rPr>
        <w:t xml:space="preserve"> пород</w:t>
      </w:r>
      <w:r w:rsidR="00A34CE8" w:rsidRPr="008F1B55">
        <w:rPr>
          <w:rFonts w:ascii="Times New Roman" w:hAnsi="Times New Roman"/>
          <w:sz w:val="28"/>
          <w:szCs w:val="28"/>
        </w:rPr>
        <w:t>ы</w:t>
      </w:r>
      <w:r w:rsidRPr="008F1B55">
        <w:rPr>
          <w:rFonts w:ascii="Times New Roman" w:hAnsi="Times New Roman"/>
          <w:sz w:val="28"/>
          <w:szCs w:val="28"/>
        </w:rPr>
        <w:t xml:space="preserve"> скота с помощью самостоятельного выращивания до объемов обеспечивающих уровен</w:t>
      </w:r>
      <w:r w:rsidR="00A34CE8" w:rsidRPr="008F1B55">
        <w:rPr>
          <w:rFonts w:ascii="Times New Roman" w:hAnsi="Times New Roman"/>
          <w:sz w:val="28"/>
          <w:szCs w:val="28"/>
        </w:rPr>
        <w:t xml:space="preserve">ь производства 2008 года займет, при годовом приросте племенного стада в среднем на 30 голов, более 12 лет. </w:t>
      </w:r>
    </w:p>
    <w:p w:rsidR="00C032DF" w:rsidRPr="008F1B55" w:rsidRDefault="008B7B1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Приобретение </w:t>
      </w:r>
      <w:r w:rsidR="00A34CE8" w:rsidRPr="008F1B55">
        <w:rPr>
          <w:rFonts w:ascii="Times New Roman" w:hAnsi="Times New Roman"/>
          <w:sz w:val="28"/>
          <w:szCs w:val="28"/>
        </w:rPr>
        <w:t>одной племенной телки данной породы обойдется хозяйству от 80 до 120 тыс. руб.</w:t>
      </w:r>
      <w:r w:rsidR="00295419" w:rsidRPr="008F1B55">
        <w:rPr>
          <w:rFonts w:ascii="Times New Roman" w:hAnsi="Times New Roman"/>
          <w:sz w:val="28"/>
          <w:szCs w:val="28"/>
        </w:rPr>
        <w:t xml:space="preserve"> [1</w:t>
      </w:r>
      <w:r w:rsidR="00734898" w:rsidRPr="008F1B55">
        <w:rPr>
          <w:rFonts w:ascii="Times New Roman" w:hAnsi="Times New Roman"/>
          <w:sz w:val="28"/>
          <w:szCs w:val="28"/>
        </w:rPr>
        <w:t>2</w:t>
      </w:r>
      <w:r w:rsidR="00295419" w:rsidRPr="008F1B55">
        <w:rPr>
          <w:rFonts w:ascii="Times New Roman" w:hAnsi="Times New Roman"/>
          <w:sz w:val="28"/>
          <w:szCs w:val="28"/>
        </w:rPr>
        <w:t>]</w:t>
      </w:r>
      <w:r w:rsidR="00FA67E4" w:rsidRPr="008F1B55">
        <w:rPr>
          <w:rFonts w:ascii="Times New Roman" w:hAnsi="Times New Roman"/>
          <w:sz w:val="28"/>
          <w:szCs w:val="28"/>
        </w:rPr>
        <w:t xml:space="preserve">, а для производства 3177 ц. живого веса КРС требуется приблизительно 578 голов племенного стада (без учета быков-производителей, при среднем массе одной головы 550 кг.). В итоге получаем затраты на стадо </w:t>
      </w:r>
      <w:r w:rsidR="00AA5A4D" w:rsidRPr="008F1B55">
        <w:rPr>
          <w:rFonts w:ascii="Times New Roman" w:hAnsi="Times New Roman"/>
          <w:sz w:val="28"/>
          <w:szCs w:val="28"/>
        </w:rPr>
        <w:t>от (</w:t>
      </w:r>
      <w:r w:rsidR="00FA67E4" w:rsidRPr="008F1B55">
        <w:rPr>
          <w:rFonts w:ascii="Times New Roman" w:hAnsi="Times New Roman"/>
          <w:sz w:val="28"/>
          <w:szCs w:val="28"/>
        </w:rPr>
        <w:t>578–216</w:t>
      </w:r>
      <w:r w:rsidR="00AA5A4D" w:rsidRPr="008F1B55">
        <w:rPr>
          <w:rFonts w:ascii="Times New Roman" w:hAnsi="Times New Roman"/>
          <w:sz w:val="28"/>
          <w:szCs w:val="28"/>
        </w:rPr>
        <w:t>)*80=</w:t>
      </w:r>
      <w:r w:rsidR="0025446C" w:rsidRPr="008F1B55">
        <w:rPr>
          <w:rFonts w:ascii="Times New Roman" w:hAnsi="Times New Roman"/>
          <w:sz w:val="28"/>
          <w:szCs w:val="28"/>
        </w:rPr>
        <w:t>28960 тыс. руб., до (578–216)*120=43440 тыс. руб.</w:t>
      </w:r>
      <w:r w:rsidR="00A34CE8" w:rsidRPr="008F1B55">
        <w:rPr>
          <w:rFonts w:ascii="Times New Roman" w:hAnsi="Times New Roman"/>
          <w:sz w:val="28"/>
          <w:szCs w:val="28"/>
        </w:rPr>
        <w:t xml:space="preserve"> </w:t>
      </w:r>
      <w:r w:rsidR="0025446C" w:rsidRPr="008F1B55">
        <w:rPr>
          <w:rFonts w:ascii="Times New Roman" w:hAnsi="Times New Roman"/>
          <w:sz w:val="28"/>
          <w:szCs w:val="28"/>
        </w:rPr>
        <w:t xml:space="preserve">А такие объемы инвестиций в животноводство в силу довольно большого цикла производства и финансового состояния в котором находится предприятие невозможны даже при использовании привлеченных и заемных источников финансирования. </w:t>
      </w:r>
      <w:r w:rsidR="00295419" w:rsidRPr="008F1B55">
        <w:rPr>
          <w:rFonts w:ascii="Times New Roman" w:hAnsi="Times New Roman"/>
          <w:sz w:val="28"/>
          <w:szCs w:val="28"/>
        </w:rPr>
        <w:t>В данном случае необходимо комбинировать собственные и заемные источники финансирования</w:t>
      </w:r>
      <w:r w:rsidRPr="008F1B55">
        <w:rPr>
          <w:rFonts w:ascii="Times New Roman" w:hAnsi="Times New Roman"/>
          <w:sz w:val="28"/>
          <w:szCs w:val="28"/>
        </w:rPr>
        <w:t xml:space="preserve"> и, в зависимости от их соотношения, определить сроки осуществления проекта</w:t>
      </w:r>
      <w:r w:rsidR="00295419" w:rsidRPr="008F1B55">
        <w:rPr>
          <w:rFonts w:ascii="Times New Roman" w:hAnsi="Times New Roman"/>
          <w:sz w:val="28"/>
          <w:szCs w:val="28"/>
        </w:rPr>
        <w:t xml:space="preserve">. </w:t>
      </w:r>
    </w:p>
    <w:p w:rsidR="00295419" w:rsidRPr="008F1B55" w:rsidRDefault="00075681"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Единственным видом продукции животноводческого направления, приносящим прибыль, является молоко, однако, для повышения дохода от этого направления необходимо рассмотреть вариант собственного производства готового молока и сметаны в ОАО «Племзавод «Чикский». </w:t>
      </w:r>
    </w:p>
    <w:p w:rsidR="00B737EA" w:rsidRPr="008F1B55" w:rsidRDefault="0039180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Для производства готового молока и сметаны был выбран модульный молочный цех КОЛАКС-1004</w:t>
      </w:r>
      <w:r w:rsidR="00B737EA" w:rsidRPr="008F1B55">
        <w:rPr>
          <w:rFonts w:ascii="Times New Roman" w:hAnsi="Times New Roman"/>
          <w:sz w:val="28"/>
          <w:szCs w:val="28"/>
        </w:rPr>
        <w:t>. Назначение цеха: приемка, очистка, переработка 1000 кг молока в сутки с получением следующих продуктов:</w:t>
      </w:r>
    </w:p>
    <w:p w:rsidR="00B737EA" w:rsidRPr="008F1B55" w:rsidRDefault="00B737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молоко пастеризованное (ГОСТ Р 52090-2003), фасованное в пакеты (вид пакета по желанию Заказчика)</w:t>
      </w:r>
      <w:r w:rsidR="00734898" w:rsidRPr="008F1B55">
        <w:rPr>
          <w:rFonts w:ascii="Times New Roman" w:hAnsi="Times New Roman"/>
          <w:sz w:val="28"/>
          <w:szCs w:val="28"/>
        </w:rPr>
        <w:t xml:space="preserve"> – 970 кг.</w:t>
      </w:r>
      <w:r w:rsidRPr="008F1B55">
        <w:rPr>
          <w:rFonts w:ascii="Times New Roman" w:hAnsi="Times New Roman"/>
          <w:sz w:val="28"/>
          <w:szCs w:val="28"/>
        </w:rPr>
        <w:t>;</w:t>
      </w:r>
    </w:p>
    <w:p w:rsidR="00B737EA" w:rsidRPr="008F1B55" w:rsidRDefault="00B737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сметана (ГОСТ Р 52092-2003), фасованная в пластиковые стаканчики</w:t>
      </w:r>
      <w:r w:rsidR="00734898" w:rsidRPr="008F1B55">
        <w:rPr>
          <w:rFonts w:ascii="Times New Roman" w:hAnsi="Times New Roman"/>
          <w:sz w:val="28"/>
          <w:szCs w:val="28"/>
        </w:rPr>
        <w:t xml:space="preserve"> – 30кг.</w:t>
      </w:r>
    </w:p>
    <w:p w:rsidR="00B737EA" w:rsidRPr="008F1B55" w:rsidRDefault="00B737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Технические характеристики модульного молочного цеха КОЛАКС-1004 представлены в Таблице 11 [</w:t>
      </w:r>
      <w:r w:rsidR="00734898" w:rsidRPr="008F1B55">
        <w:rPr>
          <w:rFonts w:ascii="Times New Roman" w:hAnsi="Times New Roman"/>
          <w:sz w:val="28"/>
          <w:szCs w:val="28"/>
        </w:rPr>
        <w:t>23</w:t>
      </w:r>
      <w:r w:rsidRPr="008F1B55">
        <w:rPr>
          <w:rFonts w:ascii="Times New Roman" w:hAnsi="Times New Roman"/>
          <w:sz w:val="28"/>
          <w:szCs w:val="28"/>
        </w:rPr>
        <w:t>].</w:t>
      </w:r>
    </w:p>
    <w:p w:rsidR="00B737EA" w:rsidRPr="008F1B55" w:rsidRDefault="00B737EA" w:rsidP="008F1B55">
      <w:pPr>
        <w:spacing w:after="0" w:line="360" w:lineRule="auto"/>
        <w:ind w:firstLine="709"/>
        <w:jc w:val="both"/>
        <w:rPr>
          <w:rFonts w:ascii="Times New Roman" w:hAnsi="Times New Roman"/>
          <w:sz w:val="28"/>
          <w:szCs w:val="28"/>
        </w:rPr>
      </w:pPr>
    </w:p>
    <w:p w:rsidR="00391804" w:rsidRPr="008F1B55" w:rsidRDefault="00B737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Таблица 11</w:t>
      </w:r>
    </w:p>
    <w:p w:rsidR="00B737EA" w:rsidRPr="008F1B55" w:rsidRDefault="00B737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Технические характеристики модульного молочного цеха КОЛАКС-1004</w:t>
      </w:r>
    </w:p>
    <w:p w:rsidR="00391804" w:rsidRPr="008F1B55" w:rsidRDefault="0025684D" w:rsidP="008F1B55">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4.25pt;height:203.25pt;visibility:visible">
            <v:imagedata r:id="rId8" o:title=""/>
          </v:shape>
        </w:pict>
      </w:r>
    </w:p>
    <w:p w:rsidR="009A48B3" w:rsidRDefault="009A48B3" w:rsidP="008F1B55">
      <w:pPr>
        <w:spacing w:after="0" w:line="360" w:lineRule="auto"/>
        <w:ind w:firstLine="709"/>
        <w:jc w:val="both"/>
        <w:rPr>
          <w:rFonts w:ascii="Times New Roman" w:hAnsi="Times New Roman"/>
          <w:sz w:val="28"/>
          <w:szCs w:val="28"/>
        </w:rPr>
      </w:pPr>
    </w:p>
    <w:p w:rsidR="00F47197" w:rsidRPr="008F1B55" w:rsidRDefault="0073489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Сроки поставки оборудования составляют 30дней, 30 дней занимают пуско-наладочные работы, обучение персонала и выпуск пробной партии продукта.</w:t>
      </w:r>
      <w:r w:rsidR="00E123EA" w:rsidRPr="008F1B55">
        <w:rPr>
          <w:rFonts w:ascii="Times New Roman" w:hAnsi="Times New Roman"/>
          <w:sz w:val="28"/>
          <w:szCs w:val="28"/>
        </w:rPr>
        <w:t xml:space="preserve"> Цена модульного молочного цеха КОЛАКС-1004 составляет 3500 тыс. руб. с учетом доставки и сборки.</w:t>
      </w:r>
      <w:r w:rsidR="00F47197" w:rsidRPr="008F1B55">
        <w:rPr>
          <w:rFonts w:ascii="Times New Roman" w:hAnsi="Times New Roman"/>
          <w:sz w:val="28"/>
          <w:szCs w:val="28"/>
        </w:rPr>
        <w:t xml:space="preserve"> </w:t>
      </w:r>
    </w:p>
    <w:p w:rsidR="00B737EA" w:rsidRPr="008F1B55" w:rsidRDefault="00F47197"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Стоимость выхода на рынок с новым продуктом будет равна нулю, так как для реализации товара используются собственные торговые точки, как стационарные магазины, так и продажа продукции на рынках г. Новосибирска, осуществляемая с автотранспорта.</w:t>
      </w:r>
    </w:p>
    <w:p w:rsidR="005E5BBD" w:rsidRDefault="005E5BBD"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Эффективность инвестиций в проект характеризуется следующими показателями</w:t>
      </w:r>
      <w:r w:rsidR="0031743E" w:rsidRPr="008F1B55">
        <w:rPr>
          <w:rFonts w:ascii="Times New Roman" w:hAnsi="Times New Roman"/>
          <w:sz w:val="28"/>
          <w:szCs w:val="28"/>
        </w:rPr>
        <w:t xml:space="preserve">; </w:t>
      </w:r>
      <w:r w:rsidRPr="008F1B55">
        <w:rPr>
          <w:rFonts w:ascii="Times New Roman" w:hAnsi="Times New Roman"/>
          <w:sz w:val="28"/>
          <w:szCs w:val="28"/>
        </w:rPr>
        <w:t>срок окупаемости (</w:t>
      </w:r>
      <w:r w:rsidR="00692F75" w:rsidRPr="008F1B55">
        <w:rPr>
          <w:rFonts w:ascii="Times New Roman" w:hAnsi="Times New Roman"/>
          <w:sz w:val="28"/>
          <w:szCs w:val="28"/>
          <w:lang w:val="en-US"/>
        </w:rPr>
        <w:t>D</w:t>
      </w:r>
      <w:r w:rsidR="0031743E" w:rsidRPr="008F1B55">
        <w:rPr>
          <w:rFonts w:ascii="Times New Roman" w:hAnsi="Times New Roman"/>
          <w:sz w:val="28"/>
          <w:szCs w:val="28"/>
        </w:rPr>
        <w:t xml:space="preserve">РР); чистая текущая стоимость (NPV); </w:t>
      </w:r>
      <w:r w:rsidRPr="008F1B55">
        <w:rPr>
          <w:rFonts w:ascii="Times New Roman" w:hAnsi="Times New Roman"/>
          <w:sz w:val="28"/>
          <w:szCs w:val="28"/>
        </w:rPr>
        <w:t>индекс рентабельности (Р</w:t>
      </w:r>
      <w:r w:rsidRPr="008F1B55">
        <w:rPr>
          <w:rFonts w:ascii="Times New Roman" w:hAnsi="Times New Roman"/>
          <w:sz w:val="28"/>
          <w:szCs w:val="28"/>
          <w:lang w:val="en-US"/>
        </w:rPr>
        <w:t>I</w:t>
      </w:r>
      <w:r w:rsidR="0031743E" w:rsidRPr="008F1B55">
        <w:rPr>
          <w:rFonts w:ascii="Times New Roman" w:hAnsi="Times New Roman"/>
          <w:sz w:val="28"/>
          <w:szCs w:val="28"/>
        </w:rPr>
        <w:t>).</w:t>
      </w:r>
      <w:r w:rsidRPr="008F1B55">
        <w:rPr>
          <w:rFonts w:ascii="Times New Roman" w:hAnsi="Times New Roman"/>
          <w:sz w:val="28"/>
          <w:szCs w:val="28"/>
        </w:rPr>
        <w:t xml:space="preserve"> </w:t>
      </w:r>
    </w:p>
    <w:p w:rsidR="009A48B3" w:rsidRPr="008F1B55" w:rsidRDefault="009A48B3" w:rsidP="008F1B55">
      <w:pPr>
        <w:spacing w:after="0" w:line="360" w:lineRule="auto"/>
        <w:ind w:firstLine="709"/>
        <w:jc w:val="both"/>
        <w:rPr>
          <w:rFonts w:ascii="Times New Roman" w:hAnsi="Times New Roman"/>
          <w:sz w:val="28"/>
          <w:szCs w:val="28"/>
        </w:rPr>
      </w:pPr>
    </w:p>
    <w:p w:rsidR="00CA6DB9" w:rsidRPr="008F1B55" w:rsidRDefault="0025684D" w:rsidP="008F1B55">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5" o:spid="_x0000_i1026" type="#_x0000_t75" style="width:288.75pt;height:47.25pt;visibility:visible">
            <v:imagedata r:id="rId9" o:title=""/>
          </v:shape>
        </w:pict>
      </w:r>
    </w:p>
    <w:p w:rsidR="00CA6DB9" w:rsidRPr="008F1B55" w:rsidRDefault="0025684D" w:rsidP="008F1B55">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9" o:spid="_x0000_i1027" type="#_x0000_t75" style="width:150pt;height:44.25pt;visibility:visible">
            <v:imagedata r:id="rId10" o:title=""/>
          </v:shape>
        </w:pict>
      </w:r>
    </w:p>
    <w:p w:rsidR="00CA6DB9" w:rsidRPr="008F1B55" w:rsidRDefault="0025684D" w:rsidP="008F1B55">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6" o:spid="_x0000_i1028" type="#_x0000_t75" style="width:129.75pt;height:44.25pt;visibility:visible">
            <v:imagedata r:id="rId11" o:title=""/>
          </v:shape>
        </w:pict>
      </w:r>
    </w:p>
    <w:p w:rsidR="009A48B3" w:rsidRDefault="009A48B3" w:rsidP="008F1B55">
      <w:pPr>
        <w:spacing w:after="0" w:line="360" w:lineRule="auto"/>
        <w:ind w:firstLine="709"/>
        <w:jc w:val="both"/>
        <w:rPr>
          <w:rFonts w:ascii="Times New Roman" w:hAnsi="Times New Roman"/>
          <w:sz w:val="28"/>
          <w:szCs w:val="28"/>
        </w:rPr>
      </w:pPr>
    </w:p>
    <w:p w:rsidR="00CA6DB9" w:rsidRPr="008F1B55" w:rsidRDefault="00CA6DB9"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Где N — продолжительность проекта; CF</w:t>
      </w:r>
      <w:r w:rsidRPr="008F1B55">
        <w:rPr>
          <w:rFonts w:ascii="Times New Roman" w:hAnsi="Times New Roman"/>
          <w:sz w:val="28"/>
          <w:szCs w:val="28"/>
          <w:vertAlign w:val="subscript"/>
        </w:rPr>
        <w:t>n</w:t>
      </w:r>
      <w:r w:rsidR="00692F75" w:rsidRPr="008F1B55">
        <w:rPr>
          <w:rFonts w:ascii="Times New Roman" w:hAnsi="Times New Roman"/>
          <w:sz w:val="28"/>
          <w:szCs w:val="28"/>
        </w:rPr>
        <w:t xml:space="preserve"> – г</w:t>
      </w:r>
      <w:r w:rsidRPr="008F1B55">
        <w:rPr>
          <w:rFonts w:ascii="Times New Roman" w:hAnsi="Times New Roman"/>
          <w:sz w:val="28"/>
          <w:szCs w:val="28"/>
        </w:rPr>
        <w:t xml:space="preserve">одовые денежные потоки (доходы) от проекта; </w:t>
      </w:r>
      <w:r w:rsidR="00692F75" w:rsidRPr="008F1B55">
        <w:rPr>
          <w:rFonts w:ascii="Times New Roman" w:hAnsi="Times New Roman"/>
          <w:sz w:val="28"/>
          <w:szCs w:val="28"/>
          <w:lang w:val="en-US"/>
        </w:rPr>
        <w:t>I</w:t>
      </w:r>
      <w:r w:rsidR="00692F75" w:rsidRPr="008F1B55">
        <w:rPr>
          <w:rFonts w:ascii="Times New Roman" w:hAnsi="Times New Roman"/>
          <w:sz w:val="28"/>
          <w:szCs w:val="28"/>
          <w:vertAlign w:val="subscript"/>
        </w:rPr>
        <w:t>0</w:t>
      </w:r>
      <w:r w:rsidR="00692F75" w:rsidRPr="008F1B55">
        <w:rPr>
          <w:rFonts w:ascii="Times New Roman" w:hAnsi="Times New Roman"/>
          <w:sz w:val="28"/>
          <w:szCs w:val="28"/>
        </w:rPr>
        <w:t xml:space="preserve"> – </w:t>
      </w:r>
      <w:r w:rsidRPr="008F1B55">
        <w:rPr>
          <w:rFonts w:ascii="Times New Roman" w:hAnsi="Times New Roman"/>
          <w:sz w:val="28"/>
          <w:szCs w:val="28"/>
        </w:rPr>
        <w:t>первоначально вложенный капитал (инвестиции).</w:t>
      </w:r>
    </w:p>
    <w:p w:rsidR="009E07CC" w:rsidRPr="008F1B55" w:rsidRDefault="005E5BBD"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На основании оценки эффективности инвестиционного проекта принимается решение об инвестировании, выходе из проекта, корректировке его параметров, условий реализации, возможных путях повышения эффективности и т.д.</w:t>
      </w:r>
      <w:r w:rsidR="0031743E" w:rsidRPr="008F1B55">
        <w:rPr>
          <w:rFonts w:ascii="Times New Roman" w:hAnsi="Times New Roman"/>
          <w:sz w:val="28"/>
          <w:szCs w:val="28"/>
        </w:rPr>
        <w:t xml:space="preserve"> </w:t>
      </w:r>
      <w:r w:rsidR="009E07CC" w:rsidRPr="008F1B55">
        <w:rPr>
          <w:rFonts w:ascii="Times New Roman" w:hAnsi="Times New Roman"/>
          <w:sz w:val="28"/>
          <w:szCs w:val="28"/>
        </w:rPr>
        <w:t>[18]</w:t>
      </w:r>
    </w:p>
    <w:p w:rsidR="00E123EA" w:rsidRPr="008F1B55" w:rsidRDefault="0010211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На первом этапе оценки эффективности освоения производства пастеризованного молока и сметаны составляется график реализации проекта. График реализации проекта составляется на весь расчетный период с разбивкой по шагам (Табл. 12).</w:t>
      </w:r>
    </w:p>
    <w:p w:rsidR="009A48B3" w:rsidRDefault="009A48B3" w:rsidP="008F1B55">
      <w:pPr>
        <w:spacing w:after="0" w:line="360" w:lineRule="auto"/>
        <w:ind w:firstLine="709"/>
        <w:jc w:val="both"/>
        <w:rPr>
          <w:rFonts w:ascii="Times New Roman" w:hAnsi="Times New Roman"/>
          <w:sz w:val="28"/>
          <w:szCs w:val="28"/>
        </w:rPr>
      </w:pPr>
    </w:p>
    <w:p w:rsidR="00647BD7" w:rsidRPr="008F1B55" w:rsidRDefault="00647BD7"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Таблица 12</w:t>
      </w:r>
    </w:p>
    <w:p w:rsidR="00647BD7" w:rsidRPr="008F1B55" w:rsidRDefault="00647BD7"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График реализации проекта освоения переработки молока </w:t>
      </w:r>
    </w:p>
    <w:p w:rsidR="00647BD7" w:rsidRPr="008F1B55" w:rsidRDefault="0025684D" w:rsidP="008F1B55">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20" o:spid="_x0000_i1029" type="#_x0000_t75" style="width:307.5pt;height:237pt;visibility:visible">
            <v:imagedata r:id="rId12" o:title=""/>
          </v:shape>
        </w:pict>
      </w:r>
    </w:p>
    <w:p w:rsidR="00E22D1C" w:rsidRPr="008F1B55" w:rsidRDefault="009A48B3" w:rsidP="008F1B55">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CA6DB9" w:rsidRPr="008F1B55">
        <w:rPr>
          <w:rFonts w:ascii="Times New Roman" w:hAnsi="Times New Roman"/>
          <w:sz w:val="28"/>
          <w:szCs w:val="28"/>
        </w:rPr>
        <w:t xml:space="preserve">Далее необходимо </w:t>
      </w:r>
      <w:r w:rsidR="00692F75" w:rsidRPr="008F1B55">
        <w:rPr>
          <w:rFonts w:ascii="Times New Roman" w:hAnsi="Times New Roman"/>
          <w:sz w:val="28"/>
          <w:szCs w:val="28"/>
        </w:rPr>
        <w:t>вычислить годовые денежные потоки, для чего производится расчет затрат на производство продукции и доходы от ее реализации</w:t>
      </w:r>
      <w:r w:rsidR="009E07CC" w:rsidRPr="008F1B55">
        <w:rPr>
          <w:rFonts w:ascii="Times New Roman" w:hAnsi="Times New Roman"/>
          <w:sz w:val="28"/>
          <w:szCs w:val="28"/>
        </w:rPr>
        <w:t>.</w:t>
      </w:r>
      <w:r w:rsidR="00857BB7" w:rsidRPr="008F1B55">
        <w:rPr>
          <w:rFonts w:ascii="Times New Roman" w:hAnsi="Times New Roman"/>
          <w:sz w:val="28"/>
          <w:szCs w:val="28"/>
        </w:rPr>
        <w:t xml:space="preserve"> Затраты на переработку 1000 кг. цельного молока (согласно данным производителя о ценах на упаковку и расходные материалы</w:t>
      </w:r>
      <w:r w:rsidR="00CC58A3" w:rsidRPr="008F1B55">
        <w:rPr>
          <w:rFonts w:ascii="Times New Roman" w:hAnsi="Times New Roman"/>
          <w:sz w:val="28"/>
          <w:szCs w:val="28"/>
        </w:rPr>
        <w:t xml:space="preserve"> [23]</w:t>
      </w:r>
      <w:r w:rsidR="00857BB7" w:rsidRPr="008F1B55">
        <w:rPr>
          <w:rFonts w:ascii="Times New Roman" w:hAnsi="Times New Roman"/>
          <w:sz w:val="28"/>
          <w:szCs w:val="28"/>
        </w:rPr>
        <w:t>) представлены в Таблице 13.</w:t>
      </w:r>
    </w:p>
    <w:p w:rsidR="009A48B3" w:rsidRDefault="009A48B3" w:rsidP="008F1B55">
      <w:pPr>
        <w:spacing w:after="0" w:line="360" w:lineRule="auto"/>
        <w:ind w:firstLine="709"/>
        <w:jc w:val="both"/>
        <w:rPr>
          <w:rFonts w:ascii="Times New Roman" w:hAnsi="Times New Roman"/>
          <w:sz w:val="28"/>
          <w:szCs w:val="28"/>
        </w:rPr>
      </w:pPr>
    </w:p>
    <w:p w:rsidR="009E07CC" w:rsidRPr="008F1B55" w:rsidRDefault="009E07C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Таблица 13</w:t>
      </w:r>
    </w:p>
    <w:p w:rsidR="009E07CC" w:rsidRPr="008F1B55" w:rsidRDefault="00857BB7"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Затраты на переработку 1000кг. молока</w:t>
      </w:r>
    </w:p>
    <w:tbl>
      <w:tblPr>
        <w:tblW w:w="0" w:type="auto"/>
        <w:tblLook w:val="04A0" w:firstRow="1" w:lastRow="0" w:firstColumn="1" w:lastColumn="0" w:noHBand="0" w:noVBand="1"/>
      </w:tblPr>
      <w:tblGrid>
        <w:gridCol w:w="3141"/>
        <w:gridCol w:w="2208"/>
      </w:tblGrid>
      <w:tr w:rsidR="005917B3" w:rsidRPr="008F1B55" w:rsidTr="009A48B3">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5917B3" w:rsidRPr="009A48B3" w:rsidRDefault="005917B3"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Показатель</w:t>
            </w:r>
          </w:p>
        </w:tc>
        <w:tc>
          <w:tcPr>
            <w:tcW w:w="0" w:type="auto"/>
            <w:tcBorders>
              <w:top w:val="single" w:sz="4" w:space="0" w:color="auto"/>
              <w:left w:val="nil"/>
              <w:bottom w:val="single" w:sz="4" w:space="0" w:color="auto"/>
              <w:right w:val="single" w:sz="4" w:space="0" w:color="auto"/>
            </w:tcBorders>
            <w:noWrap/>
            <w:vAlign w:val="center"/>
            <w:hideMark/>
          </w:tcPr>
          <w:p w:rsidR="005917B3" w:rsidRPr="009A48B3" w:rsidRDefault="005917B3"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Дневное значение, руб.</w:t>
            </w:r>
          </w:p>
        </w:tc>
      </w:tr>
      <w:tr w:rsidR="00C87378" w:rsidRPr="008F1B55" w:rsidTr="009A48B3">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Себестоимость цельного молока</w:t>
            </w:r>
          </w:p>
        </w:tc>
        <w:tc>
          <w:tcPr>
            <w:tcW w:w="0" w:type="auto"/>
            <w:tcBorders>
              <w:top w:val="single" w:sz="4" w:space="0" w:color="auto"/>
              <w:left w:val="nil"/>
              <w:bottom w:val="single" w:sz="4" w:space="0" w:color="auto"/>
              <w:right w:val="single" w:sz="4" w:space="0" w:color="auto"/>
            </w:tcBorders>
            <w:noWrap/>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10140</w:t>
            </w:r>
          </w:p>
        </w:tc>
      </w:tr>
      <w:tr w:rsidR="00C87378" w:rsidRPr="008F1B55" w:rsidTr="009A48B3">
        <w:trPr>
          <w:trHeight w:val="300"/>
        </w:trPr>
        <w:tc>
          <w:tcPr>
            <w:tcW w:w="0" w:type="auto"/>
            <w:tcBorders>
              <w:top w:val="nil"/>
              <w:left w:val="single" w:sz="4" w:space="0" w:color="auto"/>
              <w:bottom w:val="single" w:sz="4" w:space="0" w:color="auto"/>
              <w:right w:val="single" w:sz="4" w:space="0" w:color="auto"/>
            </w:tcBorders>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Зарплата работников</w:t>
            </w:r>
          </w:p>
        </w:tc>
        <w:tc>
          <w:tcPr>
            <w:tcW w:w="0" w:type="auto"/>
            <w:tcBorders>
              <w:top w:val="nil"/>
              <w:left w:val="nil"/>
              <w:bottom w:val="single" w:sz="4" w:space="0" w:color="auto"/>
              <w:right w:val="single" w:sz="4" w:space="0" w:color="auto"/>
            </w:tcBorders>
            <w:noWrap/>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1200</w:t>
            </w:r>
          </w:p>
        </w:tc>
      </w:tr>
      <w:tr w:rsidR="00C87378" w:rsidRPr="008F1B55" w:rsidTr="009A48B3">
        <w:trPr>
          <w:trHeight w:val="70"/>
        </w:trPr>
        <w:tc>
          <w:tcPr>
            <w:tcW w:w="0" w:type="auto"/>
            <w:tcBorders>
              <w:top w:val="nil"/>
              <w:left w:val="single" w:sz="4" w:space="0" w:color="auto"/>
              <w:bottom w:val="single" w:sz="4" w:space="0" w:color="auto"/>
              <w:right w:val="single" w:sz="4" w:space="0" w:color="auto"/>
            </w:tcBorders>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Стоимость расходных материалов</w:t>
            </w:r>
          </w:p>
        </w:tc>
        <w:tc>
          <w:tcPr>
            <w:tcW w:w="0" w:type="auto"/>
            <w:tcBorders>
              <w:top w:val="nil"/>
              <w:left w:val="nil"/>
              <w:bottom w:val="single" w:sz="4" w:space="0" w:color="auto"/>
              <w:right w:val="single" w:sz="4" w:space="0" w:color="auto"/>
            </w:tcBorders>
            <w:noWrap/>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1859</w:t>
            </w:r>
          </w:p>
        </w:tc>
      </w:tr>
      <w:tr w:rsidR="00C87378" w:rsidRPr="008F1B55" w:rsidTr="009A48B3">
        <w:trPr>
          <w:trHeight w:val="70"/>
        </w:trPr>
        <w:tc>
          <w:tcPr>
            <w:tcW w:w="0" w:type="auto"/>
            <w:tcBorders>
              <w:top w:val="nil"/>
              <w:left w:val="single" w:sz="4" w:space="0" w:color="auto"/>
              <w:bottom w:val="single" w:sz="4" w:space="0" w:color="auto"/>
              <w:right w:val="single" w:sz="4" w:space="0" w:color="auto"/>
            </w:tcBorders>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Стоимость электроэнергии</w:t>
            </w:r>
          </w:p>
        </w:tc>
        <w:tc>
          <w:tcPr>
            <w:tcW w:w="0" w:type="auto"/>
            <w:tcBorders>
              <w:top w:val="nil"/>
              <w:left w:val="nil"/>
              <w:bottom w:val="single" w:sz="4" w:space="0" w:color="auto"/>
              <w:right w:val="single" w:sz="4" w:space="0" w:color="auto"/>
            </w:tcBorders>
            <w:noWrap/>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353</w:t>
            </w:r>
          </w:p>
        </w:tc>
      </w:tr>
      <w:tr w:rsidR="00C87378" w:rsidRPr="008F1B55" w:rsidTr="009A48B3">
        <w:trPr>
          <w:trHeight w:val="70"/>
        </w:trPr>
        <w:tc>
          <w:tcPr>
            <w:tcW w:w="0" w:type="auto"/>
            <w:tcBorders>
              <w:top w:val="nil"/>
              <w:left w:val="single" w:sz="4" w:space="0" w:color="auto"/>
              <w:bottom w:val="single" w:sz="4" w:space="0" w:color="auto"/>
              <w:right w:val="single" w:sz="4" w:space="0" w:color="auto"/>
            </w:tcBorders>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Затраты на транспортировку</w:t>
            </w:r>
          </w:p>
        </w:tc>
        <w:tc>
          <w:tcPr>
            <w:tcW w:w="0" w:type="auto"/>
            <w:tcBorders>
              <w:top w:val="nil"/>
              <w:left w:val="nil"/>
              <w:bottom w:val="single" w:sz="4" w:space="0" w:color="auto"/>
              <w:right w:val="single" w:sz="4" w:space="0" w:color="auto"/>
            </w:tcBorders>
            <w:noWrap/>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1000</w:t>
            </w:r>
          </w:p>
        </w:tc>
      </w:tr>
      <w:tr w:rsidR="00C87378" w:rsidRPr="008F1B55" w:rsidTr="009A48B3">
        <w:trPr>
          <w:trHeight w:val="300"/>
        </w:trPr>
        <w:tc>
          <w:tcPr>
            <w:tcW w:w="0" w:type="auto"/>
            <w:tcBorders>
              <w:top w:val="nil"/>
              <w:left w:val="single" w:sz="4" w:space="0" w:color="auto"/>
              <w:bottom w:val="single" w:sz="4" w:space="0" w:color="auto"/>
              <w:right w:val="single" w:sz="4" w:space="0" w:color="auto"/>
            </w:tcBorders>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Всег</w:t>
            </w:r>
            <w:r w:rsidR="005917B3" w:rsidRPr="009A48B3">
              <w:rPr>
                <w:rFonts w:ascii="Times New Roman" w:hAnsi="Times New Roman"/>
                <w:color w:val="000000"/>
                <w:sz w:val="20"/>
                <w:szCs w:val="20"/>
              </w:rPr>
              <w:t>о</w:t>
            </w:r>
            <w:r w:rsidRPr="009A48B3">
              <w:rPr>
                <w:rFonts w:ascii="Times New Roman" w:hAnsi="Times New Roman"/>
                <w:color w:val="000000"/>
                <w:sz w:val="20"/>
                <w:szCs w:val="20"/>
              </w:rPr>
              <w:t xml:space="preserve"> расходов</w:t>
            </w:r>
          </w:p>
        </w:tc>
        <w:tc>
          <w:tcPr>
            <w:tcW w:w="0" w:type="auto"/>
            <w:tcBorders>
              <w:top w:val="nil"/>
              <w:left w:val="nil"/>
              <w:bottom w:val="single" w:sz="4" w:space="0" w:color="auto"/>
              <w:right w:val="single" w:sz="4" w:space="0" w:color="auto"/>
            </w:tcBorders>
            <w:noWrap/>
            <w:vAlign w:val="center"/>
            <w:hideMark/>
          </w:tcPr>
          <w:p w:rsidR="00C87378" w:rsidRPr="009A48B3" w:rsidRDefault="00C87378" w:rsidP="009A48B3">
            <w:pPr>
              <w:spacing w:after="0" w:line="360" w:lineRule="auto"/>
              <w:jc w:val="both"/>
              <w:rPr>
                <w:rFonts w:ascii="Times New Roman" w:hAnsi="Times New Roman"/>
                <w:color w:val="000000"/>
                <w:sz w:val="20"/>
                <w:szCs w:val="20"/>
              </w:rPr>
            </w:pPr>
            <w:r w:rsidRPr="009A48B3">
              <w:rPr>
                <w:rFonts w:ascii="Times New Roman" w:hAnsi="Times New Roman"/>
                <w:color w:val="000000"/>
                <w:sz w:val="20"/>
                <w:szCs w:val="20"/>
              </w:rPr>
              <w:t>14552</w:t>
            </w:r>
          </w:p>
        </w:tc>
      </w:tr>
    </w:tbl>
    <w:p w:rsidR="009E07CC" w:rsidRPr="008F1B55" w:rsidRDefault="009E07CC" w:rsidP="008F1B55">
      <w:pPr>
        <w:spacing w:after="0" w:line="360" w:lineRule="auto"/>
        <w:ind w:firstLine="709"/>
        <w:jc w:val="both"/>
        <w:rPr>
          <w:rFonts w:ascii="Times New Roman" w:hAnsi="Times New Roman"/>
          <w:sz w:val="28"/>
          <w:szCs w:val="28"/>
        </w:rPr>
      </w:pPr>
    </w:p>
    <w:p w:rsidR="009E07CC" w:rsidRPr="008F1B55" w:rsidRDefault="008E504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Себестоимость цельного молока рассчитывается с помощью данных таблицы 10, зарплата работников равна 400 рублей в день (средняя по хозяйству), </w:t>
      </w:r>
      <w:r w:rsidR="00A908F4" w:rsidRPr="008F1B55">
        <w:rPr>
          <w:rFonts w:ascii="Times New Roman" w:hAnsi="Times New Roman"/>
          <w:sz w:val="28"/>
          <w:szCs w:val="28"/>
        </w:rPr>
        <w:t>стоимость кВт/ч электроэнергии была принята равной 1,5 рубля.</w:t>
      </w:r>
    </w:p>
    <w:p w:rsidR="00A908F4" w:rsidRPr="008F1B55" w:rsidRDefault="00A908F4"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При расчете дневной выручки были взяты среднерыночные цена на пастеризованное молоко в полиэтиленовом пакете (20рублей за 1 литр) и на сметану, фасованную в стаканчики (</w:t>
      </w:r>
      <w:r w:rsidR="00917B15" w:rsidRPr="008F1B55">
        <w:rPr>
          <w:rFonts w:ascii="Times New Roman" w:hAnsi="Times New Roman"/>
          <w:sz w:val="28"/>
          <w:szCs w:val="28"/>
        </w:rPr>
        <w:t>45</w:t>
      </w:r>
      <w:r w:rsidRPr="008F1B55">
        <w:rPr>
          <w:rFonts w:ascii="Times New Roman" w:hAnsi="Times New Roman"/>
          <w:sz w:val="28"/>
          <w:szCs w:val="28"/>
        </w:rPr>
        <w:t xml:space="preserve"> рублей за 1 кг.)</w:t>
      </w:r>
      <w:r w:rsidR="00917B15" w:rsidRPr="008F1B55">
        <w:rPr>
          <w:rFonts w:ascii="Times New Roman" w:hAnsi="Times New Roman"/>
          <w:sz w:val="28"/>
          <w:szCs w:val="28"/>
        </w:rPr>
        <w:t>. Дневная выручка от реализации продукции (при объемах производства 970 л. молока и 30 кг. сметаны): 20750 рублей.</w:t>
      </w:r>
    </w:p>
    <w:p w:rsidR="009E07CC" w:rsidRPr="008F1B55" w:rsidRDefault="00D864D2"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При расчете денежного потока для каждого года функционирования проекта также необходимо определить амортизационные отчисления и ставку налога на прибыль. При равномерном способе начисления амортизации, нормативном сроке службы модульного молочного цеха КОЛАКС-1004 равном 5 лет и первоначальной стоимости цеха 3475 тыс. рублей годовые амортизационные отчисления будут равны:</w:t>
      </w:r>
    </w:p>
    <w:p w:rsidR="009A48B3" w:rsidRDefault="009A48B3" w:rsidP="008F1B55">
      <w:pPr>
        <w:spacing w:after="0" w:line="360" w:lineRule="auto"/>
        <w:ind w:firstLine="709"/>
        <w:jc w:val="both"/>
        <w:rPr>
          <w:rFonts w:ascii="Times New Roman" w:hAnsi="Times New Roman"/>
          <w:sz w:val="28"/>
          <w:szCs w:val="28"/>
        </w:rPr>
      </w:pPr>
    </w:p>
    <w:p w:rsidR="00D864D2" w:rsidRPr="008F1B55" w:rsidRDefault="0025684D" w:rsidP="008F1B55">
      <w:pPr>
        <w:spacing w:after="0" w:line="360" w:lineRule="auto"/>
        <w:ind w:firstLine="709"/>
        <w:jc w:val="both"/>
        <w:rPr>
          <w:rFonts w:ascii="Times New Roman" w:hAnsi="Times New Roman"/>
          <w:i/>
          <w:sz w:val="28"/>
          <w:szCs w:val="28"/>
        </w:rPr>
      </w:pPr>
      <w:r>
        <w:rPr>
          <w:rFonts w:ascii="Times New Roman" w:hAnsi="Times New Roman"/>
          <w:position w:val="-20"/>
          <w:sz w:val="28"/>
          <w:szCs w:val="28"/>
        </w:rPr>
        <w:pict>
          <v:shape id="_x0000_i1030" type="#_x0000_t75" style="width:139.5pt;height:26.25pt">
            <v:imagedata r:id="rId13" o:title="" chromakey="white"/>
          </v:shape>
        </w:pict>
      </w:r>
      <w:r w:rsidR="009E3FF6" w:rsidRPr="008F1B55">
        <w:rPr>
          <w:rFonts w:ascii="Times New Roman" w:hAnsi="Times New Roman"/>
          <w:i/>
          <w:sz w:val="28"/>
          <w:szCs w:val="28"/>
        </w:rPr>
        <w:t xml:space="preserve"> </w:t>
      </w:r>
      <w:r w:rsidR="009E3FF6" w:rsidRPr="008F1B55">
        <w:rPr>
          <w:rFonts w:ascii="Times New Roman" w:hAnsi="Times New Roman"/>
          <w:sz w:val="28"/>
          <w:szCs w:val="28"/>
        </w:rPr>
        <w:t>рублей.</w:t>
      </w:r>
    </w:p>
    <w:p w:rsidR="009A48B3" w:rsidRDefault="009A48B3" w:rsidP="008F1B55">
      <w:pPr>
        <w:spacing w:after="0" w:line="360" w:lineRule="auto"/>
        <w:ind w:firstLine="709"/>
        <w:jc w:val="both"/>
        <w:rPr>
          <w:rFonts w:ascii="Times New Roman" w:hAnsi="Times New Roman"/>
          <w:sz w:val="28"/>
          <w:szCs w:val="28"/>
        </w:rPr>
      </w:pPr>
    </w:p>
    <w:p w:rsidR="009E07CC" w:rsidRPr="008F1B55" w:rsidRDefault="009E3FF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ОАО «Племзавод «Чикский» является плательщиком единого сельскохозяйственного налога, поэтому платежи данной организации в бюджет будут составлять 6% от прибыли.</w:t>
      </w:r>
    </w:p>
    <w:p w:rsidR="009E3FF6" w:rsidRPr="008F1B55" w:rsidRDefault="009E3FF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Денежный поток для каждого периода определяется как прибыль после уплаты налогов плюс амортизационные отчисления в данном периоде</w:t>
      </w:r>
      <w:r w:rsidR="005917B3" w:rsidRPr="008F1B55">
        <w:rPr>
          <w:rFonts w:ascii="Times New Roman" w:hAnsi="Times New Roman"/>
          <w:sz w:val="28"/>
          <w:szCs w:val="28"/>
        </w:rPr>
        <w:t xml:space="preserve"> (</w:t>
      </w:r>
      <w:r w:rsidRPr="008F1B55">
        <w:rPr>
          <w:rFonts w:ascii="Times New Roman" w:hAnsi="Times New Roman"/>
          <w:sz w:val="28"/>
          <w:szCs w:val="28"/>
        </w:rPr>
        <w:t>Табл. 14)</w:t>
      </w:r>
    </w:p>
    <w:p w:rsidR="009A48B3" w:rsidRDefault="009A48B3" w:rsidP="008F1B55">
      <w:pPr>
        <w:spacing w:after="0" w:line="360" w:lineRule="auto"/>
        <w:ind w:firstLine="709"/>
        <w:jc w:val="both"/>
        <w:rPr>
          <w:rFonts w:ascii="Times New Roman" w:hAnsi="Times New Roman"/>
          <w:sz w:val="28"/>
          <w:szCs w:val="28"/>
        </w:rPr>
      </w:pPr>
    </w:p>
    <w:p w:rsidR="009E3FF6" w:rsidRPr="008F1B55" w:rsidRDefault="005917B3"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Таблица 14</w:t>
      </w:r>
    </w:p>
    <w:p w:rsidR="005917B3" w:rsidRPr="008F1B55" w:rsidRDefault="005917B3"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Расчет денежного потока</w:t>
      </w:r>
    </w:p>
    <w:p w:rsidR="005917B3" w:rsidRPr="008F1B55" w:rsidRDefault="0025684D" w:rsidP="008F1B55">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23" o:spid="_x0000_i1031" type="#_x0000_t75" style="width:414pt;height:232.5pt;visibility:visible">
            <v:imagedata r:id="rId14" o:title=""/>
          </v:shape>
        </w:pict>
      </w:r>
    </w:p>
    <w:p w:rsidR="009A48B3" w:rsidRDefault="009A48B3" w:rsidP="008F1B55">
      <w:pPr>
        <w:spacing w:after="0" w:line="360" w:lineRule="auto"/>
        <w:ind w:firstLine="709"/>
        <w:jc w:val="both"/>
        <w:rPr>
          <w:rFonts w:ascii="Times New Roman" w:hAnsi="Times New Roman"/>
          <w:sz w:val="28"/>
          <w:szCs w:val="28"/>
        </w:rPr>
      </w:pPr>
    </w:p>
    <w:p w:rsidR="009E3FF6" w:rsidRPr="008F1B55" w:rsidRDefault="00641FFE"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Самый простой способ определения ставки дисконта – приравнять ее к ставке депозита крупного государственного банка с примерно равными условиями («Депозит Сбербанка России» сумма вклада от 3 млн. рублей сроком на 3 года, годовая процентная ставка 10,25</w:t>
      </w:r>
      <w:r w:rsidR="00955FCB" w:rsidRPr="008F1B55">
        <w:rPr>
          <w:rFonts w:ascii="Times New Roman" w:hAnsi="Times New Roman"/>
          <w:sz w:val="28"/>
          <w:szCs w:val="28"/>
        </w:rPr>
        <w:t>%</w:t>
      </w:r>
      <w:r w:rsidRPr="008F1B55">
        <w:rPr>
          <w:rFonts w:ascii="Times New Roman" w:hAnsi="Times New Roman"/>
          <w:sz w:val="28"/>
          <w:szCs w:val="28"/>
        </w:rPr>
        <w:t>).</w:t>
      </w:r>
    </w:p>
    <w:p w:rsidR="00641FFE" w:rsidRPr="008F1B55" w:rsidRDefault="00955FC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Из Таблицы 14 видно, что проект использования модульного молочного цеха КОЛАКС-1004 для переработки цельного молоко в ОАО Племзавод «Чикский», окупится на 3-м году использования.</w:t>
      </w:r>
    </w:p>
    <w:p w:rsidR="009A48B3" w:rsidRDefault="009A48B3" w:rsidP="008F1B55">
      <w:pPr>
        <w:spacing w:after="0" w:line="360" w:lineRule="auto"/>
        <w:ind w:firstLine="709"/>
        <w:jc w:val="both"/>
        <w:rPr>
          <w:rFonts w:ascii="Times New Roman" w:hAnsi="Times New Roman"/>
          <w:i/>
          <w:sz w:val="28"/>
          <w:szCs w:val="28"/>
        </w:rPr>
      </w:pPr>
    </w:p>
    <w:p w:rsidR="00955FCB" w:rsidRPr="008F1B55" w:rsidRDefault="00955FCB" w:rsidP="008F1B55">
      <w:pPr>
        <w:spacing w:after="0" w:line="360" w:lineRule="auto"/>
        <w:ind w:firstLine="709"/>
        <w:jc w:val="both"/>
        <w:rPr>
          <w:rFonts w:ascii="Times New Roman" w:hAnsi="Times New Roman"/>
          <w:i/>
          <w:sz w:val="28"/>
          <w:szCs w:val="28"/>
        </w:rPr>
      </w:pPr>
      <w:r w:rsidRPr="008F1B55">
        <w:rPr>
          <w:rFonts w:ascii="Times New Roman" w:hAnsi="Times New Roman"/>
          <w:i/>
          <w:sz w:val="28"/>
          <w:szCs w:val="28"/>
          <w:lang w:val="en-US"/>
        </w:rPr>
        <w:t>NPV</w:t>
      </w:r>
      <w:r w:rsidRPr="008F1B55">
        <w:rPr>
          <w:rFonts w:ascii="Times New Roman" w:hAnsi="Times New Roman"/>
          <w:i/>
          <w:sz w:val="28"/>
          <w:szCs w:val="28"/>
        </w:rPr>
        <w:t xml:space="preserve"> = 8334,2 – 3505 = 4829,2 тыс. рублей.</w:t>
      </w:r>
    </w:p>
    <w:p w:rsidR="00955FCB" w:rsidRPr="008F1B55" w:rsidRDefault="00955FCB" w:rsidP="008F1B55">
      <w:pPr>
        <w:spacing w:after="0" w:line="360" w:lineRule="auto"/>
        <w:ind w:firstLine="709"/>
        <w:jc w:val="both"/>
        <w:rPr>
          <w:rFonts w:ascii="Times New Roman" w:hAnsi="Times New Roman"/>
          <w:i/>
          <w:sz w:val="28"/>
          <w:szCs w:val="28"/>
        </w:rPr>
      </w:pPr>
      <w:r w:rsidRPr="008F1B55">
        <w:rPr>
          <w:rFonts w:ascii="Times New Roman" w:hAnsi="Times New Roman"/>
          <w:i/>
          <w:sz w:val="28"/>
          <w:szCs w:val="28"/>
          <w:lang w:val="en-US"/>
        </w:rPr>
        <w:t>PI</w:t>
      </w:r>
      <w:r w:rsidRPr="008F1B55">
        <w:rPr>
          <w:rFonts w:ascii="Times New Roman" w:hAnsi="Times New Roman"/>
          <w:i/>
          <w:sz w:val="28"/>
          <w:szCs w:val="28"/>
        </w:rPr>
        <w:t xml:space="preserve"> = 8334,2/3505 = 2,38</w:t>
      </w:r>
      <w:r w:rsidR="00E3270C" w:rsidRPr="008F1B55">
        <w:rPr>
          <w:rFonts w:ascii="Times New Roman" w:hAnsi="Times New Roman"/>
          <w:i/>
          <w:sz w:val="28"/>
          <w:szCs w:val="28"/>
        </w:rPr>
        <w:t>.</w:t>
      </w:r>
    </w:p>
    <w:p w:rsidR="009A48B3" w:rsidRDefault="009A48B3" w:rsidP="008F1B55">
      <w:pPr>
        <w:spacing w:after="0" w:line="360" w:lineRule="auto"/>
        <w:ind w:firstLine="709"/>
        <w:jc w:val="both"/>
        <w:rPr>
          <w:rFonts w:ascii="Times New Roman" w:hAnsi="Times New Roman"/>
          <w:sz w:val="28"/>
          <w:szCs w:val="28"/>
        </w:rPr>
      </w:pPr>
    </w:p>
    <w:p w:rsidR="009E3FF6" w:rsidRPr="008F1B55" w:rsidRDefault="00E3270C"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Так как значение </w:t>
      </w:r>
      <w:r w:rsidRPr="008F1B55">
        <w:rPr>
          <w:rFonts w:ascii="Times New Roman" w:hAnsi="Times New Roman"/>
          <w:i/>
          <w:sz w:val="28"/>
          <w:szCs w:val="28"/>
          <w:lang w:val="en-US"/>
        </w:rPr>
        <w:t>NPV</w:t>
      </w:r>
      <w:r w:rsidRPr="008F1B55">
        <w:rPr>
          <w:rFonts w:ascii="Times New Roman" w:hAnsi="Times New Roman"/>
          <w:i/>
          <w:sz w:val="28"/>
          <w:szCs w:val="28"/>
        </w:rPr>
        <w:t xml:space="preserve"> &gt; 0, </w:t>
      </w:r>
      <w:r w:rsidRPr="008F1B55">
        <w:rPr>
          <w:rFonts w:ascii="Times New Roman" w:hAnsi="Times New Roman"/>
          <w:sz w:val="28"/>
          <w:szCs w:val="28"/>
        </w:rPr>
        <w:t>и</w:t>
      </w:r>
      <w:r w:rsidRPr="008F1B55">
        <w:rPr>
          <w:rFonts w:ascii="Times New Roman" w:hAnsi="Times New Roman"/>
          <w:i/>
          <w:sz w:val="28"/>
          <w:szCs w:val="28"/>
        </w:rPr>
        <w:t xml:space="preserve"> </w:t>
      </w:r>
      <w:r w:rsidRPr="008F1B55">
        <w:rPr>
          <w:rFonts w:ascii="Times New Roman" w:hAnsi="Times New Roman"/>
          <w:i/>
          <w:sz w:val="28"/>
          <w:szCs w:val="28"/>
          <w:lang w:val="en-US"/>
        </w:rPr>
        <w:t>PI</w:t>
      </w:r>
      <w:r w:rsidRPr="008F1B55">
        <w:rPr>
          <w:rFonts w:ascii="Times New Roman" w:hAnsi="Times New Roman"/>
          <w:i/>
          <w:sz w:val="28"/>
          <w:szCs w:val="28"/>
        </w:rPr>
        <w:t xml:space="preserve"> &gt; 1,</w:t>
      </w:r>
      <w:r w:rsidRPr="008F1B55">
        <w:rPr>
          <w:rFonts w:ascii="Times New Roman" w:hAnsi="Times New Roman"/>
          <w:sz w:val="28"/>
          <w:szCs w:val="28"/>
        </w:rPr>
        <w:t xml:space="preserve"> данный проект является эффективным и его следует принять. Объем первоначальных инвестиций равный 3505 тыс. рублей ОАО «Племзавод «Чикский» может профинансировать за счет собственных средств, однако для получения большего эффекта следует рассмотреть разные варианты комбинирования собственных, заемных и привлеченных средств.</w:t>
      </w:r>
    </w:p>
    <w:p w:rsidR="00E3270C" w:rsidRPr="008F1B55" w:rsidRDefault="00811F10"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Улучшение технологий растениеводства как одно из направлений инвестиционной стратегии ОАО «Племзавод «Чикский» должно главной своей целью иметь снижение себестоимости продукции. Это благоприятно отразится на финансовом состоянии организации в связи с увеличением оборачиваемости оборотных средств (зерно можно будет продавать и по более низкой цене, что приведет к снижению его запасов). На сегодняшний день по растениеводству ОАО «Племзавод «Чикский» является одним из передовых хозяйств области: постоянно закупается новая современная техника, вводится низкозатратная технология возделывания зерновых.</w:t>
      </w:r>
      <w:r w:rsidR="00802DEA" w:rsidRPr="008F1B55">
        <w:rPr>
          <w:rFonts w:ascii="Times New Roman" w:hAnsi="Times New Roman"/>
          <w:sz w:val="28"/>
          <w:szCs w:val="28"/>
        </w:rPr>
        <w:t xml:space="preserve"> В данном направлении хозяйство активно использует льготы и субсидии государства, а также разные формы финансирования </w:t>
      </w:r>
      <w:r w:rsidR="00514C3F" w:rsidRPr="008F1B55">
        <w:rPr>
          <w:rFonts w:ascii="Times New Roman" w:hAnsi="Times New Roman"/>
          <w:sz w:val="28"/>
          <w:szCs w:val="28"/>
        </w:rPr>
        <w:t>закупок техники.</w:t>
      </w:r>
    </w:p>
    <w:p w:rsidR="00802DEA" w:rsidRPr="008F1B55" w:rsidRDefault="00802D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Слабым местом ОАО «Племзавод «Чикский», как и всего российского АПК является его управленческая структура. Более всего на негативное финансовое положение организации влияет неэффективное управление. Ведь на предприятии имеется достаточное количество ресурсов для развития. С этой точки зрения одним из направлений инвестиционной стратегии предприятия может служить привлечение квалифицированных управленцев и создание комфортных условий для успешной работы и переобучения уже занятых специалистов, применение новых видов мотивации.</w:t>
      </w:r>
    </w:p>
    <w:p w:rsidR="009E07CC" w:rsidRPr="008F1B55" w:rsidRDefault="00802DEA"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Также при разработке инвестиционной стратегии ОАО «Племзавод «Чикский» следует учитывать специфику сельскохозяйственного производства и политику государства в области развития агропромышленного комплекса и формирования цен на продукцию сельских производителей, так как данные факторы негативно отражаются на показателях эффективности деятельности сельхоз предприятий.</w:t>
      </w:r>
    </w:p>
    <w:p w:rsidR="00107466" w:rsidRPr="009A48B3" w:rsidRDefault="00D02C63" w:rsidP="009A48B3">
      <w:pPr>
        <w:spacing w:after="0" w:line="360" w:lineRule="auto"/>
        <w:ind w:firstLine="709"/>
        <w:jc w:val="center"/>
        <w:rPr>
          <w:rFonts w:ascii="Times New Roman" w:hAnsi="Times New Roman"/>
          <w:b/>
          <w:sz w:val="28"/>
          <w:szCs w:val="28"/>
        </w:rPr>
      </w:pPr>
      <w:r w:rsidRPr="008F1B55">
        <w:rPr>
          <w:rFonts w:ascii="Times New Roman" w:hAnsi="Times New Roman"/>
          <w:sz w:val="28"/>
          <w:szCs w:val="28"/>
        </w:rPr>
        <w:br w:type="page"/>
      </w:r>
      <w:bookmarkStart w:id="11" w:name="_Toc233756849"/>
      <w:r w:rsidRPr="009A48B3">
        <w:rPr>
          <w:rFonts w:ascii="Times New Roman" w:hAnsi="Times New Roman"/>
          <w:b/>
          <w:sz w:val="28"/>
          <w:szCs w:val="28"/>
        </w:rPr>
        <w:t>Заключение</w:t>
      </w:r>
      <w:bookmarkEnd w:id="11"/>
    </w:p>
    <w:p w:rsidR="00107466" w:rsidRPr="008F1B55" w:rsidRDefault="00107466" w:rsidP="008F1B55">
      <w:pPr>
        <w:spacing w:after="0" w:line="360" w:lineRule="auto"/>
        <w:ind w:firstLine="709"/>
        <w:jc w:val="both"/>
        <w:rPr>
          <w:rFonts w:ascii="Times New Roman" w:hAnsi="Times New Roman"/>
          <w:sz w:val="28"/>
          <w:szCs w:val="28"/>
        </w:rPr>
      </w:pPr>
    </w:p>
    <w:p w:rsidR="00D02C63" w:rsidRPr="008F1B55" w:rsidRDefault="00175ADB"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Инвестиционная стратегия представляет собой систему долгосрочных целей инвестиционной деятельности организации, определяемых общими задачами ее развития и инвестиционной идеологией, а также выбор наиболее эффективных путей их достижения.</w:t>
      </w:r>
    </w:p>
    <w:p w:rsidR="00311898" w:rsidRPr="008F1B55" w:rsidRDefault="00952DE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Современное состояние АПК страны, необходимость конкуренции с зарубежными производителями, отсталость технологий сельскохозяйственного производства ставят цель перед аграрными предприятиями модернизации и совершенствования своей деятельности. А это невозможно без привлечения инвестиций.</w:t>
      </w:r>
    </w:p>
    <w:p w:rsidR="00952DE6" w:rsidRPr="008F1B55" w:rsidRDefault="00952DE6"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ОАО «Племзавод «Чикский» является одним из крупнейших сельскохозяйственных предприятий Новосибирской области, обладающих большим потенциалом. На предприятии постоянно модернизируются основные фонды, совершенствуются технологии производства. Однако из-за неэффективного управления предприятие находится в трудной финансовой ситуации. Финансовое состояние ОАО «Племзавод «Чикский» в 2008г. характеризуется как неустойчивое. Современное финансовое состояние предприятия обусловлено следующими факторами:</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негативной структурой баланса;</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недостатком высоколиквидных активов;</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недостатком собственных оборотных средств предприятия;</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низкой эффективностью использования оборотного капитала;</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низкими показателями рентабельности.</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Пути улучшения финансового положения:</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введения передовых технологий ведения сельского хозяйства;</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пересмотр методов нормирования оборотных средств;</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увеличение объемов собственной переработки сельскохозяйственной продукции;</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перевооружение производства;</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совершенствование расчетной политики;</w:t>
      </w:r>
    </w:p>
    <w:p w:rsidR="00952DE6" w:rsidRPr="008F1B55" w:rsidRDefault="00952DE6" w:rsidP="009A48B3">
      <w:pPr>
        <w:tabs>
          <w:tab w:val="left" w:pos="1134"/>
        </w:tabs>
        <w:spacing w:after="0" w:line="360" w:lineRule="auto"/>
        <w:ind w:firstLine="709"/>
        <w:jc w:val="both"/>
        <w:rPr>
          <w:rFonts w:ascii="Times New Roman" w:hAnsi="Times New Roman"/>
          <w:sz w:val="28"/>
          <w:szCs w:val="28"/>
        </w:rPr>
      </w:pPr>
      <w:r w:rsidRPr="008F1B55">
        <w:rPr>
          <w:rFonts w:ascii="Times New Roman" w:hAnsi="Times New Roman"/>
          <w:sz w:val="28"/>
          <w:szCs w:val="28"/>
        </w:rPr>
        <w:t>•</w:t>
      </w:r>
      <w:r w:rsidRPr="008F1B55">
        <w:rPr>
          <w:rFonts w:ascii="Times New Roman" w:hAnsi="Times New Roman"/>
          <w:sz w:val="28"/>
          <w:szCs w:val="28"/>
        </w:rPr>
        <w:tab/>
        <w:t>совершенствование системы управления предприятием.</w:t>
      </w:r>
    </w:p>
    <w:p w:rsidR="00EB7B48" w:rsidRPr="008F1B55" w:rsidRDefault="000109E5"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 xml:space="preserve">При разработке инвестиционной стратегии ОАО «Племзавод «Чикский» </w:t>
      </w:r>
      <w:r w:rsidR="00EB7B48" w:rsidRPr="008F1B55">
        <w:rPr>
          <w:rFonts w:ascii="Times New Roman" w:hAnsi="Times New Roman"/>
          <w:sz w:val="28"/>
          <w:szCs w:val="28"/>
        </w:rPr>
        <w:t xml:space="preserve">были рассмотрены основные направления деятельности организации. Одним из перспективных проектов является введение собственного производства пастеризованного молока и сметаны. </w:t>
      </w:r>
    </w:p>
    <w:p w:rsidR="00311898" w:rsidRPr="008F1B55" w:rsidRDefault="00EB7B48" w:rsidP="008F1B55">
      <w:pPr>
        <w:spacing w:after="0" w:line="360" w:lineRule="auto"/>
        <w:ind w:firstLine="709"/>
        <w:jc w:val="both"/>
        <w:rPr>
          <w:rFonts w:ascii="Times New Roman" w:hAnsi="Times New Roman"/>
          <w:sz w:val="28"/>
          <w:szCs w:val="28"/>
        </w:rPr>
      </w:pPr>
      <w:r w:rsidRPr="008F1B55">
        <w:rPr>
          <w:rFonts w:ascii="Times New Roman" w:hAnsi="Times New Roman"/>
          <w:sz w:val="28"/>
          <w:szCs w:val="28"/>
        </w:rPr>
        <w:t>Оцениваемый проект приобретения модульного молочного цеха КОЛАКС-1004 окупается на третий год использования, в мясном животноводстве и в растениеводстве разработка инвестиционных проектов затруднена в связи с продолжительным циклом производства, большими разрывами между инвестированием средств и началом поступления дохода.</w:t>
      </w:r>
    </w:p>
    <w:p w:rsidR="00311898" w:rsidRPr="008F1B55" w:rsidRDefault="00311898" w:rsidP="008F1B55">
      <w:pPr>
        <w:spacing w:after="0" w:line="360" w:lineRule="auto"/>
        <w:ind w:firstLine="709"/>
        <w:jc w:val="both"/>
        <w:rPr>
          <w:rFonts w:ascii="Times New Roman" w:hAnsi="Times New Roman"/>
          <w:sz w:val="28"/>
          <w:szCs w:val="28"/>
        </w:rPr>
      </w:pPr>
    </w:p>
    <w:p w:rsidR="00D02C63" w:rsidRPr="009A48B3" w:rsidRDefault="00D02C63" w:rsidP="009A48B3">
      <w:pPr>
        <w:spacing w:after="0" w:line="360" w:lineRule="auto"/>
        <w:ind w:firstLine="709"/>
        <w:jc w:val="center"/>
        <w:rPr>
          <w:rFonts w:ascii="Times New Roman" w:hAnsi="Times New Roman"/>
          <w:b/>
          <w:sz w:val="28"/>
          <w:szCs w:val="28"/>
        </w:rPr>
      </w:pPr>
      <w:r w:rsidRPr="008F1B55">
        <w:rPr>
          <w:rFonts w:ascii="Times New Roman" w:hAnsi="Times New Roman"/>
          <w:sz w:val="28"/>
          <w:szCs w:val="28"/>
        </w:rPr>
        <w:br w:type="page"/>
      </w:r>
      <w:bookmarkStart w:id="12" w:name="_Toc233756850"/>
      <w:r w:rsidRPr="009A48B3">
        <w:rPr>
          <w:rFonts w:ascii="Times New Roman" w:hAnsi="Times New Roman"/>
          <w:b/>
          <w:sz w:val="28"/>
          <w:szCs w:val="28"/>
        </w:rPr>
        <w:t>Список использованной литературы</w:t>
      </w:r>
      <w:bookmarkEnd w:id="12"/>
    </w:p>
    <w:p w:rsidR="003D439E" w:rsidRPr="008F1B55" w:rsidRDefault="003D439E" w:rsidP="008F1B55">
      <w:pPr>
        <w:spacing w:after="0" w:line="360" w:lineRule="auto"/>
        <w:ind w:firstLine="709"/>
        <w:jc w:val="both"/>
        <w:rPr>
          <w:rFonts w:ascii="Times New Roman" w:hAnsi="Times New Roman"/>
          <w:sz w:val="28"/>
          <w:szCs w:val="28"/>
        </w:rPr>
      </w:pP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 xml:space="preserve">Асамбаев Н. Повышение инвестиционной привлекательности предприятий // Инвестиции в России. – 2006. - №3. </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Белякова М.Ю. «Система управления риском на этапе инвестиционного процесса» // Справочник экономиста №1, 2006.</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Белякова М.Ю. «Использование финансовых показателей при оценке инвестиционных проектов» // Справочник экономиста №11, 2005.</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 xml:space="preserve">Белякова М.Ю. «Расчет нормы дисконта с учетом риска (методы </w:t>
      </w:r>
      <w:r w:rsidRPr="008F1B55">
        <w:rPr>
          <w:rFonts w:ascii="Times New Roman" w:hAnsi="Times New Roman"/>
          <w:sz w:val="28"/>
          <w:szCs w:val="28"/>
          <w:lang w:val="en-US"/>
        </w:rPr>
        <w:t>WACC</w:t>
      </w:r>
      <w:r w:rsidRPr="008F1B55">
        <w:rPr>
          <w:rFonts w:ascii="Times New Roman" w:hAnsi="Times New Roman"/>
          <w:sz w:val="28"/>
          <w:szCs w:val="28"/>
        </w:rPr>
        <w:t xml:space="preserve"> и </w:t>
      </w:r>
      <w:r w:rsidRPr="008F1B55">
        <w:rPr>
          <w:rFonts w:ascii="Times New Roman" w:hAnsi="Times New Roman"/>
          <w:sz w:val="28"/>
          <w:szCs w:val="28"/>
          <w:lang w:val="en-US"/>
        </w:rPr>
        <w:t>CAMP</w:t>
      </w:r>
      <w:r w:rsidRPr="008F1B55">
        <w:rPr>
          <w:rFonts w:ascii="Times New Roman" w:hAnsi="Times New Roman"/>
          <w:sz w:val="28"/>
          <w:szCs w:val="28"/>
        </w:rPr>
        <w:t>)» // Справочник экономиста №10, 2007.</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 xml:space="preserve">Бендиков М.А., Джамай Е.В Совершенствование диагностики финансового состояния промышленного предприятия// Менеджмент в России и за рубежом – 20056г., №5.С 25-28. </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Богатин Ю.В., Швандар В.А. Инвестиционный анализ: Учебное пособие для вузов. – М.: ЮНИТИ-ДАНА, 2006. – 541 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Бочаров В.В. Методы финансирования инвестиционной деятельности предприятий.— М.: Финансы и статистика, 2005. – 290 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Булгакова Л. Методы оценки инвестиционной привлекательности предприятий и регионов // Финансы и кредит. – 2008.</w:t>
      </w:r>
      <w:r w:rsidR="009A48B3">
        <w:rPr>
          <w:rFonts w:ascii="Times New Roman" w:hAnsi="Times New Roman"/>
          <w:sz w:val="28"/>
          <w:szCs w:val="28"/>
        </w:rPr>
        <w:t xml:space="preserve"> </w:t>
      </w:r>
      <w:r w:rsidRPr="008F1B55">
        <w:rPr>
          <w:rFonts w:ascii="Times New Roman" w:hAnsi="Times New Roman"/>
          <w:sz w:val="28"/>
          <w:szCs w:val="28"/>
        </w:rPr>
        <w:t xml:space="preserve">- №15. </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Булгакова Л. Формирование финансового механизма и системы управления инвестиционной деятельностью предприятия//Финансы и кредит, 2008 - №16</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Бясов К. Т. Роль стратегического управления в инвестиционной деятельности организации// Финансовый менеджмент. – 2007. - №1.</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Бясов К.Т. Основные аспекты разработки инвестиционной стратегии организации // Финансовый менеджмент 2008 - №4</w:t>
      </w:r>
    </w:p>
    <w:p w:rsidR="00295419" w:rsidRPr="008F1B55" w:rsidRDefault="00295419"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 xml:space="preserve">Главный фермерский портал: </w:t>
      </w:r>
      <w:r w:rsidRPr="009A48B3">
        <w:rPr>
          <w:rFonts w:ascii="Times New Roman" w:hAnsi="Times New Roman"/>
          <w:sz w:val="28"/>
          <w:szCs w:val="28"/>
        </w:rPr>
        <w:t>www.fermer.ru</w:t>
      </w:r>
      <w:r w:rsidRPr="008F1B55">
        <w:rPr>
          <w:rFonts w:ascii="Times New Roman" w:hAnsi="Times New Roman"/>
          <w:sz w:val="28"/>
          <w:szCs w:val="28"/>
        </w:rPr>
        <w:t>.</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Горицкая Н. Финансовая стратегия // Финансовый директор. – 2006. - №11</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Игонина Л.Л. Инвестиции.//Экономистъ.-М.:2005.-465с.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ИдрисовА. Планирование и анализ эффективности инвестиций.—М.: 2007. – 186 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Краткий</w:t>
      </w:r>
      <w:r w:rsidR="009A48B3">
        <w:rPr>
          <w:rFonts w:ascii="Times New Roman" w:hAnsi="Times New Roman"/>
          <w:sz w:val="28"/>
          <w:szCs w:val="28"/>
        </w:rPr>
        <w:t xml:space="preserve"> </w:t>
      </w:r>
      <w:r w:rsidRPr="008F1B55">
        <w:rPr>
          <w:rFonts w:ascii="Times New Roman" w:hAnsi="Times New Roman"/>
          <w:sz w:val="28"/>
          <w:szCs w:val="28"/>
        </w:rPr>
        <w:t>анализ финансового состояния предприятия в оценке бизнеса// информационное агентство РОСЭК :</w:t>
      </w:r>
      <w:r w:rsidRPr="008F1B55">
        <w:rPr>
          <w:rFonts w:ascii="Times New Roman" w:hAnsi="Times New Roman"/>
          <w:sz w:val="28"/>
          <w:szCs w:val="28"/>
          <w:lang w:val="en-US"/>
        </w:rPr>
        <w:t>http</w:t>
      </w:r>
      <w:r w:rsidRPr="008F1B55">
        <w:rPr>
          <w:rFonts w:ascii="Times New Roman" w:hAnsi="Times New Roman"/>
          <w:sz w:val="28"/>
          <w:szCs w:val="28"/>
        </w:rPr>
        <w:t>://</w:t>
      </w:r>
      <w:r w:rsidRPr="008F1B55">
        <w:rPr>
          <w:rFonts w:ascii="Times New Roman" w:hAnsi="Times New Roman"/>
          <w:sz w:val="28"/>
          <w:szCs w:val="28"/>
          <w:lang w:val="en-US"/>
        </w:rPr>
        <w:t>www</w:t>
      </w:r>
      <w:r w:rsidRPr="008F1B55">
        <w:rPr>
          <w:rFonts w:ascii="Times New Roman" w:hAnsi="Times New Roman"/>
          <w:sz w:val="28"/>
          <w:szCs w:val="28"/>
        </w:rPr>
        <w:t>.</w:t>
      </w:r>
      <w:r w:rsidRPr="008F1B55">
        <w:rPr>
          <w:rFonts w:ascii="Times New Roman" w:hAnsi="Times New Roman"/>
          <w:sz w:val="28"/>
          <w:szCs w:val="28"/>
          <w:lang w:val="en-US"/>
        </w:rPr>
        <w:t>rosec</w:t>
      </w:r>
      <w:r w:rsidRPr="008F1B55">
        <w:rPr>
          <w:rFonts w:ascii="Times New Roman" w:hAnsi="Times New Roman"/>
          <w:sz w:val="28"/>
          <w:szCs w:val="28"/>
        </w:rPr>
        <w:t>.</w:t>
      </w:r>
      <w:r w:rsidRPr="008F1B55">
        <w:rPr>
          <w:rFonts w:ascii="Times New Roman" w:hAnsi="Times New Roman"/>
          <w:sz w:val="28"/>
          <w:szCs w:val="28"/>
          <w:lang w:val="en-US"/>
        </w:rPr>
        <w:t>ru</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Крылов Э.И. Анализ эффективности инвестиционной и инновационной деятельности предприятия. М., 2006.</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Лахметкина Н.И.Инвестиционная стратегия предприятия//КНОРУС.-М.:2006.-184с.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Попков В.П, Семенов В.П. Организация и финансирование инвестиций. – М.: Экоперспектива, 2006. – 257 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Приказ</w:t>
      </w:r>
      <w:r w:rsidR="009A48B3">
        <w:rPr>
          <w:rFonts w:ascii="Times New Roman" w:hAnsi="Times New Roman"/>
          <w:sz w:val="28"/>
          <w:szCs w:val="28"/>
        </w:rPr>
        <w:t xml:space="preserve"> </w:t>
      </w:r>
      <w:r w:rsidRPr="008F1B55">
        <w:rPr>
          <w:rFonts w:ascii="Times New Roman" w:hAnsi="Times New Roman"/>
          <w:sz w:val="28"/>
          <w:szCs w:val="28"/>
        </w:rPr>
        <w:t>ФСФЩ РФ от 23 января 2001 №16 «Об утверждение методических указаний по проведению анализа финансового состояния организаций»</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Романова М. В. Формирование финансовой политики предприятия: цели, основные направления, организация финансового планирования // Финансы и кредит. — 2008. — N8.</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Савчук В. Оценка инвестиционных проектов - как избежать ошибок // Финансовый директор. – 2007. - №1.</w:t>
      </w:r>
    </w:p>
    <w:p w:rsidR="00BE6BAB" w:rsidRPr="008F1B55" w:rsidRDefault="00BE6BAB"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 xml:space="preserve">Сайт </w:t>
      </w:r>
      <w:r w:rsidR="00734898" w:rsidRPr="008F1B55">
        <w:rPr>
          <w:rFonts w:ascii="Times New Roman" w:hAnsi="Times New Roman"/>
          <w:sz w:val="28"/>
          <w:szCs w:val="28"/>
        </w:rPr>
        <w:t xml:space="preserve">производственного предприятия ЗАО «КОЛАКС-М»: </w:t>
      </w:r>
      <w:r w:rsidR="00734898" w:rsidRPr="009A48B3">
        <w:rPr>
          <w:rFonts w:ascii="Times New Roman" w:hAnsi="Times New Roman"/>
          <w:sz w:val="28"/>
          <w:szCs w:val="28"/>
        </w:rPr>
        <w:t>www.colaxm.ru</w:t>
      </w:r>
      <w:r w:rsidR="00734898" w:rsidRPr="008F1B55">
        <w:rPr>
          <w:rFonts w:ascii="Times New Roman" w:hAnsi="Times New Roman"/>
          <w:sz w:val="28"/>
          <w:szCs w:val="28"/>
        </w:rPr>
        <w:t xml:space="preserve"> </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Слепов В.А. О взаимосвязи финансовой политики, стратегии и тактики // Финансы. – 2007. - №2.</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Слепов В.А., Потапская М.А. Инвестиции как фактор экономического роста//Финансы. 2007- №1</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Слипенчук Ш. Структурные особенности источников инвестиций //Экономист, 2008 - №10, с. 38-42</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Слепов В. А. Финансовая политика компании // Финансы. – 2003. - №9.</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Старик Д.Э. «Оценка эффективности инвестиционных проектов»// «Финансы», 2007,</w:t>
      </w:r>
      <w:r w:rsidR="009A48B3">
        <w:rPr>
          <w:rFonts w:ascii="Times New Roman" w:hAnsi="Times New Roman"/>
          <w:sz w:val="28"/>
          <w:szCs w:val="28"/>
        </w:rPr>
        <w:t xml:space="preserve"> </w:t>
      </w:r>
      <w:r w:rsidRPr="008F1B55">
        <w:rPr>
          <w:rFonts w:ascii="Times New Roman" w:hAnsi="Times New Roman"/>
          <w:sz w:val="28"/>
          <w:szCs w:val="28"/>
        </w:rPr>
        <w:t>№10.</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Стоянова Е.С. Финансовый менеджмент: теория и практика: учебник. - М.: Перспектива, 2007. - 656 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Управление финансами организаций. Учебно-методическое пособие /Под ред. А.Н.Гаврштовой, Е.Ф.Сысоевой. - Воронеж ФГУП ИПФ «Воронеж», 2006. – 448 с.</w:t>
      </w:r>
    </w:p>
    <w:p w:rsidR="008F7580" w:rsidRPr="008F1B55" w:rsidRDefault="008F7580" w:rsidP="009A48B3">
      <w:pPr>
        <w:numPr>
          <w:ilvl w:val="0"/>
          <w:numId w:val="19"/>
        </w:numPr>
        <w:tabs>
          <w:tab w:val="left" w:pos="426"/>
        </w:tabs>
        <w:spacing w:after="0" w:line="360" w:lineRule="auto"/>
        <w:ind w:left="0" w:firstLine="0"/>
        <w:rPr>
          <w:rFonts w:ascii="Times New Roman" w:hAnsi="Times New Roman"/>
          <w:sz w:val="28"/>
          <w:szCs w:val="28"/>
        </w:rPr>
      </w:pPr>
      <w:r w:rsidRPr="008F1B55">
        <w:rPr>
          <w:rFonts w:ascii="Times New Roman" w:hAnsi="Times New Roman"/>
          <w:sz w:val="28"/>
          <w:szCs w:val="28"/>
        </w:rPr>
        <w:t>Финансовый менеджмент: учебник для вузов / Под ред. Г.Б. Поляка. - М. Финансы, ЮНИТИ, 2007. - 518 с.</w:t>
      </w:r>
      <w:bookmarkStart w:id="13" w:name="_GoBack"/>
      <w:bookmarkEnd w:id="13"/>
    </w:p>
    <w:sectPr w:rsidR="008F7580" w:rsidRPr="008F1B55" w:rsidSect="008F1B55">
      <w:footerReference w:type="default" r:id="rId15"/>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DFD" w:rsidRDefault="000F5DFD" w:rsidP="00F20FCA">
      <w:pPr>
        <w:spacing w:after="0" w:line="240" w:lineRule="auto"/>
      </w:pPr>
      <w:r>
        <w:separator/>
      </w:r>
    </w:p>
  </w:endnote>
  <w:endnote w:type="continuationSeparator" w:id="0">
    <w:p w:rsidR="000F5DFD" w:rsidRDefault="000F5DFD" w:rsidP="00F2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72F" w:rsidRPr="008F1B55" w:rsidRDefault="0020272F" w:rsidP="008F1B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DFD" w:rsidRDefault="000F5DFD" w:rsidP="00F20FCA">
      <w:pPr>
        <w:spacing w:after="0" w:line="240" w:lineRule="auto"/>
      </w:pPr>
      <w:r>
        <w:separator/>
      </w:r>
    </w:p>
  </w:footnote>
  <w:footnote w:type="continuationSeparator" w:id="0">
    <w:p w:rsidR="000F5DFD" w:rsidRDefault="000F5DFD" w:rsidP="00F20F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553B"/>
    <w:multiLevelType w:val="hybridMultilevel"/>
    <w:tmpl w:val="F09875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0B3A74"/>
    <w:multiLevelType w:val="hybridMultilevel"/>
    <w:tmpl w:val="431A9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707079"/>
    <w:multiLevelType w:val="multilevel"/>
    <w:tmpl w:val="8F228536"/>
    <w:lvl w:ilvl="0">
      <w:start w:val="3"/>
      <w:numFmt w:val="decimal"/>
      <w:lvlText w:val="%1."/>
      <w:lvlJc w:val="left"/>
      <w:pPr>
        <w:ind w:left="1146" w:hanging="360"/>
      </w:pPr>
      <w:rPr>
        <w:rFonts w:cs="Times New Roman" w:hint="default"/>
      </w:rPr>
    </w:lvl>
    <w:lvl w:ilvl="1">
      <w:start w:val="1"/>
      <w:numFmt w:val="decimal"/>
      <w:isLgl/>
      <w:lvlText w:val="%1.%2."/>
      <w:lvlJc w:val="left"/>
      <w:pPr>
        <w:ind w:left="1506" w:hanging="720"/>
      </w:pPr>
      <w:rPr>
        <w:rFonts w:cs="Times New Roman" w:hint="default"/>
      </w:rPr>
    </w:lvl>
    <w:lvl w:ilvl="2">
      <w:start w:val="1"/>
      <w:numFmt w:val="decimal"/>
      <w:isLgl/>
      <w:lvlText w:val="%1.%2.%3."/>
      <w:lvlJc w:val="left"/>
      <w:pPr>
        <w:ind w:left="1506" w:hanging="720"/>
      </w:pPr>
      <w:rPr>
        <w:rFonts w:cs="Times New Roman" w:hint="default"/>
      </w:rPr>
    </w:lvl>
    <w:lvl w:ilvl="3">
      <w:start w:val="1"/>
      <w:numFmt w:val="decimal"/>
      <w:isLgl/>
      <w:lvlText w:val="%1.%2.%3.%4."/>
      <w:lvlJc w:val="left"/>
      <w:pPr>
        <w:ind w:left="1866" w:hanging="1080"/>
      </w:pPr>
      <w:rPr>
        <w:rFonts w:cs="Times New Roman" w:hint="default"/>
      </w:rPr>
    </w:lvl>
    <w:lvl w:ilvl="4">
      <w:start w:val="1"/>
      <w:numFmt w:val="decimal"/>
      <w:isLgl/>
      <w:lvlText w:val="%1.%2.%3.%4.%5."/>
      <w:lvlJc w:val="left"/>
      <w:pPr>
        <w:ind w:left="1866" w:hanging="1080"/>
      </w:pPr>
      <w:rPr>
        <w:rFonts w:cs="Times New Roman" w:hint="default"/>
      </w:rPr>
    </w:lvl>
    <w:lvl w:ilvl="5">
      <w:start w:val="1"/>
      <w:numFmt w:val="decimal"/>
      <w:isLgl/>
      <w:lvlText w:val="%1.%2.%3.%4.%5.%6."/>
      <w:lvlJc w:val="left"/>
      <w:pPr>
        <w:ind w:left="2226" w:hanging="1440"/>
      </w:pPr>
      <w:rPr>
        <w:rFonts w:cs="Times New Roman" w:hint="default"/>
      </w:rPr>
    </w:lvl>
    <w:lvl w:ilvl="6">
      <w:start w:val="1"/>
      <w:numFmt w:val="decimal"/>
      <w:isLgl/>
      <w:lvlText w:val="%1.%2.%3.%4.%5.%6.%7."/>
      <w:lvlJc w:val="left"/>
      <w:pPr>
        <w:ind w:left="2586" w:hanging="1800"/>
      </w:pPr>
      <w:rPr>
        <w:rFonts w:cs="Times New Roman" w:hint="default"/>
      </w:rPr>
    </w:lvl>
    <w:lvl w:ilvl="7">
      <w:start w:val="1"/>
      <w:numFmt w:val="decimal"/>
      <w:isLgl/>
      <w:lvlText w:val="%1.%2.%3.%4.%5.%6.%7.%8."/>
      <w:lvlJc w:val="left"/>
      <w:pPr>
        <w:ind w:left="2586" w:hanging="1800"/>
      </w:pPr>
      <w:rPr>
        <w:rFonts w:cs="Times New Roman" w:hint="default"/>
      </w:rPr>
    </w:lvl>
    <w:lvl w:ilvl="8">
      <w:start w:val="1"/>
      <w:numFmt w:val="decimal"/>
      <w:isLgl/>
      <w:lvlText w:val="%1.%2.%3.%4.%5.%6.%7.%8.%9."/>
      <w:lvlJc w:val="left"/>
      <w:pPr>
        <w:ind w:left="2946" w:hanging="2160"/>
      </w:pPr>
      <w:rPr>
        <w:rFonts w:cs="Times New Roman" w:hint="default"/>
      </w:rPr>
    </w:lvl>
  </w:abstractNum>
  <w:abstractNum w:abstractNumId="3">
    <w:nsid w:val="172F2634"/>
    <w:multiLevelType w:val="hybridMultilevel"/>
    <w:tmpl w:val="B6405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A1D7878"/>
    <w:multiLevelType w:val="hybridMultilevel"/>
    <w:tmpl w:val="C966F4E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227E7E52"/>
    <w:multiLevelType w:val="hybridMultilevel"/>
    <w:tmpl w:val="DCA08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26A52FC"/>
    <w:multiLevelType w:val="hybridMultilevel"/>
    <w:tmpl w:val="C986B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3663EE"/>
    <w:multiLevelType w:val="hybridMultilevel"/>
    <w:tmpl w:val="DEC610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7527FF3"/>
    <w:multiLevelType w:val="hybridMultilevel"/>
    <w:tmpl w:val="E018B1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68A69E6"/>
    <w:multiLevelType w:val="hybridMultilevel"/>
    <w:tmpl w:val="C052C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7FD7FAB"/>
    <w:multiLevelType w:val="hybridMultilevel"/>
    <w:tmpl w:val="1C16E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B3B4D67"/>
    <w:multiLevelType w:val="hybridMultilevel"/>
    <w:tmpl w:val="54A81166"/>
    <w:lvl w:ilvl="0" w:tplc="0419000F">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2">
    <w:nsid w:val="4F07168E"/>
    <w:multiLevelType w:val="hybridMultilevel"/>
    <w:tmpl w:val="FA3469AA"/>
    <w:lvl w:ilvl="0" w:tplc="04190001">
      <w:start w:val="1"/>
      <w:numFmt w:val="bullet"/>
      <w:lvlText w:val=""/>
      <w:lvlJc w:val="left"/>
      <w:pPr>
        <w:ind w:left="1287" w:hanging="360"/>
      </w:pPr>
      <w:rPr>
        <w:rFonts w:ascii="Symbol" w:hAnsi="Symbol" w:hint="default"/>
      </w:rPr>
    </w:lvl>
    <w:lvl w:ilvl="1" w:tplc="10E45E52">
      <w:numFmt w:val="bullet"/>
      <w:lvlText w:val="•"/>
      <w:lvlJc w:val="left"/>
      <w:pPr>
        <w:ind w:left="2352" w:hanging="705"/>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C16703F"/>
    <w:multiLevelType w:val="multilevel"/>
    <w:tmpl w:val="34BC5BD8"/>
    <w:lvl w:ilvl="0">
      <w:start w:val="1"/>
      <w:numFmt w:val="upperRoman"/>
      <w:lvlText w:val="%1."/>
      <w:lvlJc w:val="left"/>
      <w:pPr>
        <w:ind w:left="1080" w:hanging="72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628" w:hanging="144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969" w:hanging="216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4">
    <w:nsid w:val="65B93DE3"/>
    <w:multiLevelType w:val="multilevel"/>
    <w:tmpl w:val="DA1E74AA"/>
    <w:lvl w:ilvl="0">
      <w:start w:val="1"/>
      <w:numFmt w:val="decimal"/>
      <w:lvlText w:val="%1."/>
      <w:lvlJc w:val="left"/>
      <w:pPr>
        <w:ind w:left="786"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929" w:hanging="1080"/>
      </w:pPr>
      <w:rPr>
        <w:rFonts w:cs="Times New Roman" w:hint="default"/>
      </w:rPr>
    </w:lvl>
    <w:lvl w:ilvl="4">
      <w:start w:val="1"/>
      <w:numFmt w:val="decimal"/>
      <w:isLgl/>
      <w:lvlText w:val="%1.%2.%3.%4.%5."/>
      <w:lvlJc w:val="left"/>
      <w:pPr>
        <w:ind w:left="2430" w:hanging="1440"/>
      </w:pPr>
      <w:rPr>
        <w:rFonts w:cs="Times New Roman" w:hint="default"/>
      </w:rPr>
    </w:lvl>
    <w:lvl w:ilvl="5">
      <w:start w:val="1"/>
      <w:numFmt w:val="decimal"/>
      <w:isLgl/>
      <w:lvlText w:val="%1.%2.%3.%4.%5.%6."/>
      <w:lvlJc w:val="left"/>
      <w:pPr>
        <w:ind w:left="2571" w:hanging="1440"/>
      </w:pPr>
      <w:rPr>
        <w:rFonts w:cs="Times New Roman" w:hint="default"/>
      </w:rPr>
    </w:lvl>
    <w:lvl w:ilvl="6">
      <w:start w:val="1"/>
      <w:numFmt w:val="decimal"/>
      <w:isLgl/>
      <w:lvlText w:val="%1.%2.%3.%4.%5.%6.%7."/>
      <w:lvlJc w:val="left"/>
      <w:pPr>
        <w:ind w:left="3072" w:hanging="1800"/>
      </w:pPr>
      <w:rPr>
        <w:rFonts w:cs="Times New Roman" w:hint="default"/>
      </w:rPr>
    </w:lvl>
    <w:lvl w:ilvl="7">
      <w:start w:val="1"/>
      <w:numFmt w:val="decimal"/>
      <w:isLgl/>
      <w:lvlText w:val="%1.%2.%3.%4.%5.%6.%7.%8."/>
      <w:lvlJc w:val="left"/>
      <w:pPr>
        <w:ind w:left="3573" w:hanging="2160"/>
      </w:pPr>
      <w:rPr>
        <w:rFonts w:cs="Times New Roman" w:hint="default"/>
      </w:rPr>
    </w:lvl>
    <w:lvl w:ilvl="8">
      <w:start w:val="1"/>
      <w:numFmt w:val="decimal"/>
      <w:isLgl/>
      <w:lvlText w:val="%1.%2.%3.%4.%5.%6.%7.%8.%9."/>
      <w:lvlJc w:val="left"/>
      <w:pPr>
        <w:ind w:left="3714" w:hanging="2160"/>
      </w:pPr>
      <w:rPr>
        <w:rFonts w:cs="Times New Roman" w:hint="default"/>
      </w:rPr>
    </w:lvl>
  </w:abstractNum>
  <w:abstractNum w:abstractNumId="15">
    <w:nsid w:val="735D76ED"/>
    <w:multiLevelType w:val="hybridMultilevel"/>
    <w:tmpl w:val="8FE26CD4"/>
    <w:lvl w:ilvl="0" w:tplc="D54E90C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73677F4C"/>
    <w:multiLevelType w:val="hybridMultilevel"/>
    <w:tmpl w:val="A5D6AD70"/>
    <w:lvl w:ilvl="0" w:tplc="0419000F">
      <w:start w:val="1"/>
      <w:numFmt w:val="decimal"/>
      <w:lvlText w:val="%1."/>
      <w:lvlJc w:val="left"/>
      <w:pPr>
        <w:ind w:left="786" w:hanging="360"/>
      </w:pPr>
      <w:rPr>
        <w:rFonts w:cs="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73E207F1"/>
    <w:multiLevelType w:val="hybridMultilevel"/>
    <w:tmpl w:val="938002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CA3515D"/>
    <w:multiLevelType w:val="hybridMultilevel"/>
    <w:tmpl w:val="652CD96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3"/>
  </w:num>
  <w:num w:numId="2">
    <w:abstractNumId w:val="15"/>
  </w:num>
  <w:num w:numId="3">
    <w:abstractNumId w:val="14"/>
  </w:num>
  <w:num w:numId="4">
    <w:abstractNumId w:val="1"/>
  </w:num>
  <w:num w:numId="5">
    <w:abstractNumId w:val="4"/>
  </w:num>
  <w:num w:numId="6">
    <w:abstractNumId w:val="12"/>
  </w:num>
  <w:num w:numId="7">
    <w:abstractNumId w:val="17"/>
  </w:num>
  <w:num w:numId="8">
    <w:abstractNumId w:val="0"/>
  </w:num>
  <w:num w:numId="9">
    <w:abstractNumId w:val="11"/>
  </w:num>
  <w:num w:numId="10">
    <w:abstractNumId w:val="2"/>
  </w:num>
  <w:num w:numId="11">
    <w:abstractNumId w:val="8"/>
  </w:num>
  <w:num w:numId="12">
    <w:abstractNumId w:val="16"/>
  </w:num>
  <w:num w:numId="13">
    <w:abstractNumId w:val="3"/>
  </w:num>
  <w:num w:numId="14">
    <w:abstractNumId w:val="7"/>
  </w:num>
  <w:num w:numId="15">
    <w:abstractNumId w:val="9"/>
  </w:num>
  <w:num w:numId="16">
    <w:abstractNumId w:val="6"/>
  </w:num>
  <w:num w:numId="17">
    <w:abstractNumId w:val="5"/>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53"/>
    <w:rsid w:val="00007FBE"/>
    <w:rsid w:val="000109E5"/>
    <w:rsid w:val="00041446"/>
    <w:rsid w:val="00075681"/>
    <w:rsid w:val="000F5DFD"/>
    <w:rsid w:val="0010211B"/>
    <w:rsid w:val="00107466"/>
    <w:rsid w:val="0014510A"/>
    <w:rsid w:val="001574D1"/>
    <w:rsid w:val="00175ADB"/>
    <w:rsid w:val="0018631A"/>
    <w:rsid w:val="001A0F32"/>
    <w:rsid w:val="001A5230"/>
    <w:rsid w:val="0020272F"/>
    <w:rsid w:val="00206570"/>
    <w:rsid w:val="002379A2"/>
    <w:rsid w:val="00247904"/>
    <w:rsid w:val="002516E2"/>
    <w:rsid w:val="0025446C"/>
    <w:rsid w:val="0025684D"/>
    <w:rsid w:val="00295419"/>
    <w:rsid w:val="002A2588"/>
    <w:rsid w:val="003067BA"/>
    <w:rsid w:val="00311898"/>
    <w:rsid w:val="003122E1"/>
    <w:rsid w:val="0031743E"/>
    <w:rsid w:val="00352ACC"/>
    <w:rsid w:val="003751BA"/>
    <w:rsid w:val="00384A54"/>
    <w:rsid w:val="003910F5"/>
    <w:rsid w:val="003915BE"/>
    <w:rsid w:val="00391804"/>
    <w:rsid w:val="00393EED"/>
    <w:rsid w:val="003D439E"/>
    <w:rsid w:val="003F2185"/>
    <w:rsid w:val="004213F9"/>
    <w:rsid w:val="0044647D"/>
    <w:rsid w:val="00447565"/>
    <w:rsid w:val="004F6326"/>
    <w:rsid w:val="00514C3F"/>
    <w:rsid w:val="00520860"/>
    <w:rsid w:val="005917B3"/>
    <w:rsid w:val="005C4E15"/>
    <w:rsid w:val="005D5A51"/>
    <w:rsid w:val="005E5BBD"/>
    <w:rsid w:val="00641C09"/>
    <w:rsid w:val="00641FFE"/>
    <w:rsid w:val="00647BD7"/>
    <w:rsid w:val="006703D8"/>
    <w:rsid w:val="00692F75"/>
    <w:rsid w:val="00734898"/>
    <w:rsid w:val="00757A0E"/>
    <w:rsid w:val="007A5A5B"/>
    <w:rsid w:val="007F3ABA"/>
    <w:rsid w:val="00802DEA"/>
    <w:rsid w:val="00811F10"/>
    <w:rsid w:val="0082074D"/>
    <w:rsid w:val="00840AA6"/>
    <w:rsid w:val="00841726"/>
    <w:rsid w:val="00857BB7"/>
    <w:rsid w:val="00860248"/>
    <w:rsid w:val="00870FF6"/>
    <w:rsid w:val="008B7B1B"/>
    <w:rsid w:val="008E504A"/>
    <w:rsid w:val="008F1B55"/>
    <w:rsid w:val="008F7580"/>
    <w:rsid w:val="00911B76"/>
    <w:rsid w:val="00917B15"/>
    <w:rsid w:val="0093189F"/>
    <w:rsid w:val="00937BE6"/>
    <w:rsid w:val="00952DE6"/>
    <w:rsid w:val="00955FCB"/>
    <w:rsid w:val="009A48B3"/>
    <w:rsid w:val="009E07CC"/>
    <w:rsid w:val="009E3FF6"/>
    <w:rsid w:val="00A34CE8"/>
    <w:rsid w:val="00A41D49"/>
    <w:rsid w:val="00A8294A"/>
    <w:rsid w:val="00A908F4"/>
    <w:rsid w:val="00AA5A4D"/>
    <w:rsid w:val="00AA5AA6"/>
    <w:rsid w:val="00AC1432"/>
    <w:rsid w:val="00B22A19"/>
    <w:rsid w:val="00B737EA"/>
    <w:rsid w:val="00BA4553"/>
    <w:rsid w:val="00BB693F"/>
    <w:rsid w:val="00BC1455"/>
    <w:rsid w:val="00BE6BAB"/>
    <w:rsid w:val="00C032DF"/>
    <w:rsid w:val="00C3122B"/>
    <w:rsid w:val="00C33ADB"/>
    <w:rsid w:val="00C8265C"/>
    <w:rsid w:val="00C87378"/>
    <w:rsid w:val="00C933D3"/>
    <w:rsid w:val="00CA6DB9"/>
    <w:rsid w:val="00CA7E41"/>
    <w:rsid w:val="00CC4001"/>
    <w:rsid w:val="00CC58A3"/>
    <w:rsid w:val="00D02C63"/>
    <w:rsid w:val="00D46738"/>
    <w:rsid w:val="00D6667F"/>
    <w:rsid w:val="00D864D2"/>
    <w:rsid w:val="00DA2BCA"/>
    <w:rsid w:val="00DD5CB1"/>
    <w:rsid w:val="00E123EA"/>
    <w:rsid w:val="00E22D1C"/>
    <w:rsid w:val="00E3270C"/>
    <w:rsid w:val="00E6012E"/>
    <w:rsid w:val="00E77CCC"/>
    <w:rsid w:val="00EA7704"/>
    <w:rsid w:val="00EB7B48"/>
    <w:rsid w:val="00F11AE8"/>
    <w:rsid w:val="00F20FCA"/>
    <w:rsid w:val="00F30F23"/>
    <w:rsid w:val="00F47197"/>
    <w:rsid w:val="00F520BA"/>
    <w:rsid w:val="00F55693"/>
    <w:rsid w:val="00F83101"/>
    <w:rsid w:val="00F861D4"/>
    <w:rsid w:val="00F90C30"/>
    <w:rsid w:val="00FA67E4"/>
    <w:rsid w:val="00FB3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B362C2B7-5BC5-4C0B-A84C-ED938087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EED"/>
    <w:pPr>
      <w:spacing w:after="200" w:line="276" w:lineRule="auto"/>
    </w:pPr>
    <w:rPr>
      <w:sz w:val="22"/>
      <w:szCs w:val="22"/>
      <w:lang w:eastAsia="en-US"/>
    </w:rPr>
  </w:style>
  <w:style w:type="paragraph" w:styleId="1">
    <w:name w:val="heading 1"/>
    <w:basedOn w:val="a"/>
    <w:next w:val="a"/>
    <w:link w:val="10"/>
    <w:uiPriority w:val="9"/>
    <w:qFormat/>
    <w:rsid w:val="00F11AE8"/>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F11AE8"/>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11AE8"/>
    <w:rPr>
      <w:rFonts w:ascii="Cambria" w:hAnsi="Cambria" w:cs="Times New Roman"/>
      <w:b/>
      <w:bCs/>
      <w:color w:val="365F91"/>
      <w:sz w:val="28"/>
      <w:szCs w:val="28"/>
    </w:rPr>
  </w:style>
  <w:style w:type="character" w:customStyle="1" w:styleId="20">
    <w:name w:val="Заголовок 2 Знак"/>
    <w:link w:val="2"/>
    <w:uiPriority w:val="9"/>
    <w:locked/>
    <w:rsid w:val="00F11AE8"/>
    <w:rPr>
      <w:rFonts w:ascii="Cambria" w:hAnsi="Cambria" w:cs="Times New Roman"/>
      <w:b/>
      <w:bCs/>
      <w:color w:val="4F81BD"/>
      <w:sz w:val="26"/>
      <w:szCs w:val="26"/>
    </w:rPr>
  </w:style>
  <w:style w:type="paragraph" w:styleId="a3">
    <w:name w:val="No Spacing"/>
    <w:uiPriority w:val="1"/>
    <w:qFormat/>
    <w:rsid w:val="00F11AE8"/>
    <w:rPr>
      <w:sz w:val="22"/>
      <w:szCs w:val="22"/>
      <w:lang w:eastAsia="en-US"/>
    </w:rPr>
  </w:style>
  <w:style w:type="paragraph" w:customStyle="1" w:styleId="11">
    <w:name w:val="мой1"/>
    <w:basedOn w:val="1"/>
    <w:next w:val="a"/>
    <w:link w:val="12"/>
    <w:qFormat/>
    <w:rsid w:val="00F11AE8"/>
    <w:pPr>
      <w:jc w:val="center"/>
    </w:pPr>
    <w:rPr>
      <w:rFonts w:ascii="Times New Roman" w:hAnsi="Times New Roman"/>
      <w:color w:val="auto"/>
      <w:sz w:val="32"/>
      <w:szCs w:val="36"/>
    </w:rPr>
  </w:style>
  <w:style w:type="character" w:customStyle="1" w:styleId="12">
    <w:name w:val="мой1 Знак"/>
    <w:link w:val="11"/>
    <w:locked/>
    <w:rsid w:val="00F11AE8"/>
    <w:rPr>
      <w:rFonts w:ascii="Times New Roman" w:hAnsi="Times New Roman" w:cs="Times New Roman"/>
      <w:b/>
      <w:bCs/>
      <w:color w:val="365F91"/>
      <w:sz w:val="36"/>
      <w:szCs w:val="36"/>
    </w:rPr>
  </w:style>
  <w:style w:type="paragraph" w:customStyle="1" w:styleId="21">
    <w:name w:val="мой2"/>
    <w:basedOn w:val="2"/>
    <w:next w:val="a"/>
    <w:link w:val="22"/>
    <w:qFormat/>
    <w:rsid w:val="00F20FCA"/>
    <w:pPr>
      <w:ind w:left="1287" w:hanging="720"/>
      <w:jc w:val="center"/>
    </w:pPr>
    <w:rPr>
      <w:rFonts w:ascii="Times New Roman" w:hAnsi="Times New Roman"/>
      <w:b w:val="0"/>
      <w:i/>
      <w:color w:val="auto"/>
      <w:sz w:val="32"/>
      <w:szCs w:val="32"/>
    </w:rPr>
  </w:style>
  <w:style w:type="character" w:customStyle="1" w:styleId="22">
    <w:name w:val="мой2 Знак"/>
    <w:link w:val="21"/>
    <w:locked/>
    <w:rsid w:val="00F20FCA"/>
    <w:rPr>
      <w:rFonts w:ascii="Times New Roman" w:hAnsi="Times New Roman" w:cs="Times New Roman"/>
      <w:b/>
      <w:bCs/>
      <w:i/>
      <w:color w:val="4F81BD"/>
      <w:sz w:val="32"/>
      <w:szCs w:val="32"/>
    </w:rPr>
  </w:style>
  <w:style w:type="paragraph" w:styleId="a4">
    <w:name w:val="TOC Heading"/>
    <w:basedOn w:val="1"/>
    <w:next w:val="a"/>
    <w:uiPriority w:val="39"/>
    <w:unhideWhenUsed/>
    <w:qFormat/>
    <w:rsid w:val="00F20FCA"/>
    <w:pPr>
      <w:outlineLvl w:val="9"/>
    </w:pPr>
  </w:style>
  <w:style w:type="paragraph" w:styleId="13">
    <w:name w:val="toc 1"/>
    <w:basedOn w:val="a"/>
    <w:next w:val="a"/>
    <w:autoRedefine/>
    <w:uiPriority w:val="39"/>
    <w:unhideWhenUsed/>
    <w:rsid w:val="00F20FCA"/>
    <w:pPr>
      <w:spacing w:after="100"/>
    </w:pPr>
  </w:style>
  <w:style w:type="paragraph" w:styleId="23">
    <w:name w:val="toc 2"/>
    <w:basedOn w:val="a"/>
    <w:next w:val="a"/>
    <w:autoRedefine/>
    <w:uiPriority w:val="39"/>
    <w:unhideWhenUsed/>
    <w:rsid w:val="00F20FCA"/>
    <w:pPr>
      <w:spacing w:after="100"/>
      <w:ind w:left="220"/>
    </w:pPr>
  </w:style>
  <w:style w:type="character" w:styleId="a5">
    <w:name w:val="Hyperlink"/>
    <w:uiPriority w:val="99"/>
    <w:unhideWhenUsed/>
    <w:rsid w:val="00F20FCA"/>
    <w:rPr>
      <w:rFonts w:cs="Times New Roman"/>
      <w:color w:val="0000FF"/>
      <w:u w:val="single"/>
    </w:rPr>
  </w:style>
  <w:style w:type="paragraph" w:styleId="a6">
    <w:name w:val="Balloon Text"/>
    <w:basedOn w:val="a"/>
    <w:link w:val="a7"/>
    <w:uiPriority w:val="99"/>
    <w:semiHidden/>
    <w:unhideWhenUsed/>
    <w:rsid w:val="00F20FC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F20FCA"/>
    <w:rPr>
      <w:rFonts w:ascii="Tahoma" w:hAnsi="Tahoma" w:cs="Tahoma"/>
      <w:sz w:val="16"/>
      <w:szCs w:val="16"/>
    </w:rPr>
  </w:style>
  <w:style w:type="paragraph" w:styleId="a8">
    <w:name w:val="header"/>
    <w:basedOn w:val="a"/>
    <w:link w:val="a9"/>
    <w:uiPriority w:val="99"/>
    <w:semiHidden/>
    <w:unhideWhenUsed/>
    <w:rsid w:val="00F20FCA"/>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F20FCA"/>
    <w:rPr>
      <w:rFonts w:cs="Times New Roman"/>
    </w:rPr>
  </w:style>
  <w:style w:type="paragraph" w:styleId="aa">
    <w:name w:val="footer"/>
    <w:basedOn w:val="a"/>
    <w:link w:val="ab"/>
    <w:uiPriority w:val="99"/>
    <w:unhideWhenUsed/>
    <w:rsid w:val="00F20FCA"/>
    <w:pPr>
      <w:tabs>
        <w:tab w:val="center" w:pos="4677"/>
        <w:tab w:val="right" w:pos="9355"/>
      </w:tabs>
      <w:spacing w:after="0" w:line="240" w:lineRule="auto"/>
    </w:pPr>
  </w:style>
  <w:style w:type="character" w:customStyle="1" w:styleId="ab">
    <w:name w:val="Нижний колонтитул Знак"/>
    <w:link w:val="aa"/>
    <w:uiPriority w:val="99"/>
    <w:locked/>
    <w:rsid w:val="00F20FCA"/>
    <w:rPr>
      <w:rFonts w:cs="Times New Roman"/>
    </w:rPr>
  </w:style>
  <w:style w:type="paragraph" w:styleId="ac">
    <w:name w:val="List Paragraph"/>
    <w:basedOn w:val="a"/>
    <w:uiPriority w:val="34"/>
    <w:qFormat/>
    <w:rsid w:val="00F20FCA"/>
    <w:pPr>
      <w:ind w:left="720"/>
      <w:contextualSpacing/>
    </w:pPr>
    <w:rPr>
      <w:lang w:eastAsia="ru-RU"/>
    </w:rPr>
  </w:style>
  <w:style w:type="table" w:styleId="ad">
    <w:name w:val="Table Grid"/>
    <w:basedOn w:val="a1"/>
    <w:uiPriority w:val="59"/>
    <w:rsid w:val="00F20F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basedOn w:val="a"/>
    <w:link w:val="af"/>
    <w:uiPriority w:val="99"/>
    <w:semiHidden/>
    <w:unhideWhenUsed/>
    <w:rsid w:val="00F20FCA"/>
    <w:pPr>
      <w:spacing w:after="0" w:line="240" w:lineRule="auto"/>
    </w:pPr>
    <w:rPr>
      <w:rFonts w:ascii="Times New Roman" w:hAnsi="Times New Roman"/>
      <w:sz w:val="20"/>
      <w:szCs w:val="20"/>
      <w:lang w:eastAsia="ru-RU"/>
    </w:rPr>
  </w:style>
  <w:style w:type="character" w:customStyle="1" w:styleId="af">
    <w:name w:val="Текст сноски Знак"/>
    <w:link w:val="ae"/>
    <w:uiPriority w:val="99"/>
    <w:semiHidden/>
    <w:locked/>
    <w:rsid w:val="00F20FCA"/>
    <w:rPr>
      <w:rFonts w:ascii="Times New Roman" w:hAnsi="Times New Roman" w:cs="Times New Roman"/>
      <w:sz w:val="20"/>
      <w:szCs w:val="20"/>
      <w:lang w:val="x-none" w:eastAsia="ru-RU"/>
    </w:rPr>
  </w:style>
  <w:style w:type="character" w:styleId="af0">
    <w:name w:val="footnote reference"/>
    <w:uiPriority w:val="99"/>
    <w:semiHidden/>
    <w:unhideWhenUsed/>
    <w:rsid w:val="00F20FCA"/>
    <w:rPr>
      <w:rFonts w:cs="Times New Roman"/>
      <w:vertAlign w:val="superscript"/>
    </w:rPr>
  </w:style>
  <w:style w:type="paragraph" w:styleId="af1">
    <w:name w:val="Body Text"/>
    <w:basedOn w:val="a"/>
    <w:link w:val="af2"/>
    <w:uiPriority w:val="99"/>
    <w:rsid w:val="00F20FCA"/>
    <w:pPr>
      <w:autoSpaceDE w:val="0"/>
      <w:autoSpaceDN w:val="0"/>
      <w:spacing w:after="120" w:line="240" w:lineRule="auto"/>
    </w:pPr>
    <w:rPr>
      <w:rFonts w:ascii="Times New Roman" w:hAnsi="Times New Roman"/>
      <w:sz w:val="24"/>
      <w:szCs w:val="24"/>
      <w:lang w:eastAsia="ru-RU"/>
    </w:rPr>
  </w:style>
  <w:style w:type="character" w:customStyle="1" w:styleId="af2">
    <w:name w:val="Основной текст Знак"/>
    <w:link w:val="af1"/>
    <w:uiPriority w:val="99"/>
    <w:locked/>
    <w:rsid w:val="00F20FCA"/>
    <w:rPr>
      <w:rFonts w:ascii="Times New Roman" w:hAnsi="Times New Roman" w:cs="Times New Roman"/>
      <w:sz w:val="24"/>
      <w:szCs w:val="24"/>
      <w:lang w:val="x-none" w:eastAsia="ru-RU"/>
    </w:rPr>
  </w:style>
  <w:style w:type="paragraph" w:customStyle="1" w:styleId="220">
    <w:name w:val="22"/>
    <w:basedOn w:val="a3"/>
    <w:link w:val="221"/>
    <w:qFormat/>
    <w:rsid w:val="008F7580"/>
    <w:pPr>
      <w:spacing w:line="360" w:lineRule="auto"/>
      <w:ind w:firstLine="284"/>
      <w:jc w:val="both"/>
    </w:pPr>
    <w:rPr>
      <w:rFonts w:ascii="Times New Roman" w:hAnsi="Times New Roman"/>
      <w:sz w:val="28"/>
      <w:szCs w:val="28"/>
    </w:rPr>
  </w:style>
  <w:style w:type="character" w:customStyle="1" w:styleId="221">
    <w:name w:val="22 Знак"/>
    <w:link w:val="220"/>
    <w:locked/>
    <w:rsid w:val="008F7580"/>
    <w:rPr>
      <w:rFonts w:ascii="Times New Roman" w:eastAsia="Times New Roman" w:hAnsi="Times New Roman" w:cs="Times New Roman"/>
      <w:sz w:val="28"/>
      <w:szCs w:val="28"/>
    </w:rPr>
  </w:style>
  <w:style w:type="character" w:styleId="af3">
    <w:name w:val="Placeholder Text"/>
    <w:uiPriority w:val="99"/>
    <w:semiHidden/>
    <w:rsid w:val="00D864D2"/>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1142">
      <w:marLeft w:val="0"/>
      <w:marRight w:val="0"/>
      <w:marTop w:val="0"/>
      <w:marBottom w:val="0"/>
      <w:divBdr>
        <w:top w:val="none" w:sz="0" w:space="0" w:color="auto"/>
        <w:left w:val="none" w:sz="0" w:space="0" w:color="auto"/>
        <w:bottom w:val="none" w:sz="0" w:space="0" w:color="auto"/>
        <w:right w:val="none" w:sz="0" w:space="0" w:color="auto"/>
      </w:divBdr>
    </w:div>
    <w:div w:id="556281149">
      <w:marLeft w:val="0"/>
      <w:marRight w:val="0"/>
      <w:marTop w:val="0"/>
      <w:marBottom w:val="0"/>
      <w:divBdr>
        <w:top w:val="none" w:sz="0" w:space="0" w:color="auto"/>
        <w:left w:val="none" w:sz="0" w:space="0" w:color="auto"/>
        <w:bottom w:val="none" w:sz="0" w:space="0" w:color="auto"/>
        <w:right w:val="none" w:sz="0" w:space="0" w:color="auto"/>
      </w:divBdr>
    </w:div>
    <w:div w:id="556281150">
      <w:marLeft w:val="0"/>
      <w:marRight w:val="0"/>
      <w:marTop w:val="0"/>
      <w:marBottom w:val="0"/>
      <w:divBdr>
        <w:top w:val="none" w:sz="0" w:space="0" w:color="auto"/>
        <w:left w:val="none" w:sz="0" w:space="0" w:color="auto"/>
        <w:bottom w:val="none" w:sz="0" w:space="0" w:color="auto"/>
        <w:right w:val="none" w:sz="0" w:space="0" w:color="auto"/>
      </w:divBdr>
    </w:div>
    <w:div w:id="556281151">
      <w:marLeft w:val="0"/>
      <w:marRight w:val="0"/>
      <w:marTop w:val="0"/>
      <w:marBottom w:val="0"/>
      <w:divBdr>
        <w:top w:val="none" w:sz="0" w:space="0" w:color="auto"/>
        <w:left w:val="none" w:sz="0" w:space="0" w:color="auto"/>
        <w:bottom w:val="none" w:sz="0" w:space="0" w:color="auto"/>
        <w:right w:val="none" w:sz="0" w:space="0" w:color="auto"/>
      </w:divBdr>
    </w:div>
    <w:div w:id="556281153">
      <w:marLeft w:val="0"/>
      <w:marRight w:val="0"/>
      <w:marTop w:val="0"/>
      <w:marBottom w:val="0"/>
      <w:divBdr>
        <w:top w:val="none" w:sz="0" w:space="0" w:color="auto"/>
        <w:left w:val="none" w:sz="0" w:space="0" w:color="auto"/>
        <w:bottom w:val="none" w:sz="0" w:space="0" w:color="auto"/>
        <w:right w:val="none" w:sz="0" w:space="0" w:color="auto"/>
      </w:divBdr>
    </w:div>
    <w:div w:id="556281154">
      <w:marLeft w:val="0"/>
      <w:marRight w:val="0"/>
      <w:marTop w:val="0"/>
      <w:marBottom w:val="0"/>
      <w:divBdr>
        <w:top w:val="none" w:sz="0" w:space="0" w:color="auto"/>
        <w:left w:val="none" w:sz="0" w:space="0" w:color="auto"/>
        <w:bottom w:val="none" w:sz="0" w:space="0" w:color="auto"/>
        <w:right w:val="none" w:sz="0" w:space="0" w:color="auto"/>
      </w:divBdr>
    </w:div>
    <w:div w:id="556281155">
      <w:marLeft w:val="0"/>
      <w:marRight w:val="0"/>
      <w:marTop w:val="0"/>
      <w:marBottom w:val="0"/>
      <w:divBdr>
        <w:top w:val="none" w:sz="0" w:space="0" w:color="auto"/>
        <w:left w:val="none" w:sz="0" w:space="0" w:color="auto"/>
        <w:bottom w:val="none" w:sz="0" w:space="0" w:color="auto"/>
        <w:right w:val="none" w:sz="0" w:space="0" w:color="auto"/>
      </w:divBdr>
    </w:div>
    <w:div w:id="556281160">
      <w:marLeft w:val="0"/>
      <w:marRight w:val="0"/>
      <w:marTop w:val="0"/>
      <w:marBottom w:val="0"/>
      <w:divBdr>
        <w:top w:val="none" w:sz="0" w:space="0" w:color="auto"/>
        <w:left w:val="none" w:sz="0" w:space="0" w:color="auto"/>
        <w:bottom w:val="none" w:sz="0" w:space="0" w:color="auto"/>
        <w:right w:val="none" w:sz="0" w:space="0" w:color="auto"/>
      </w:divBdr>
    </w:div>
    <w:div w:id="556281162">
      <w:marLeft w:val="0"/>
      <w:marRight w:val="0"/>
      <w:marTop w:val="0"/>
      <w:marBottom w:val="0"/>
      <w:divBdr>
        <w:top w:val="none" w:sz="0" w:space="0" w:color="auto"/>
        <w:left w:val="none" w:sz="0" w:space="0" w:color="auto"/>
        <w:bottom w:val="none" w:sz="0" w:space="0" w:color="auto"/>
        <w:right w:val="none" w:sz="0" w:space="0" w:color="auto"/>
      </w:divBdr>
      <w:divsChild>
        <w:div w:id="556281143">
          <w:marLeft w:val="0"/>
          <w:marRight w:val="0"/>
          <w:marTop w:val="0"/>
          <w:marBottom w:val="0"/>
          <w:divBdr>
            <w:top w:val="none" w:sz="0" w:space="0" w:color="auto"/>
            <w:left w:val="none" w:sz="0" w:space="0" w:color="auto"/>
            <w:bottom w:val="none" w:sz="0" w:space="0" w:color="auto"/>
            <w:right w:val="none" w:sz="0" w:space="0" w:color="auto"/>
          </w:divBdr>
        </w:div>
        <w:div w:id="556281146">
          <w:marLeft w:val="0"/>
          <w:marRight w:val="0"/>
          <w:marTop w:val="0"/>
          <w:marBottom w:val="0"/>
          <w:divBdr>
            <w:top w:val="none" w:sz="0" w:space="0" w:color="auto"/>
            <w:left w:val="none" w:sz="0" w:space="0" w:color="auto"/>
            <w:bottom w:val="none" w:sz="0" w:space="0" w:color="auto"/>
            <w:right w:val="none" w:sz="0" w:space="0" w:color="auto"/>
          </w:divBdr>
        </w:div>
        <w:div w:id="556281147">
          <w:marLeft w:val="0"/>
          <w:marRight w:val="0"/>
          <w:marTop w:val="0"/>
          <w:marBottom w:val="0"/>
          <w:divBdr>
            <w:top w:val="none" w:sz="0" w:space="0" w:color="auto"/>
            <w:left w:val="none" w:sz="0" w:space="0" w:color="auto"/>
            <w:bottom w:val="none" w:sz="0" w:space="0" w:color="auto"/>
            <w:right w:val="none" w:sz="0" w:space="0" w:color="auto"/>
          </w:divBdr>
        </w:div>
        <w:div w:id="556281148">
          <w:marLeft w:val="0"/>
          <w:marRight w:val="0"/>
          <w:marTop w:val="0"/>
          <w:marBottom w:val="0"/>
          <w:divBdr>
            <w:top w:val="none" w:sz="0" w:space="0" w:color="auto"/>
            <w:left w:val="none" w:sz="0" w:space="0" w:color="auto"/>
            <w:bottom w:val="none" w:sz="0" w:space="0" w:color="auto"/>
            <w:right w:val="none" w:sz="0" w:space="0" w:color="auto"/>
          </w:divBdr>
        </w:div>
        <w:div w:id="556281161">
          <w:marLeft w:val="0"/>
          <w:marRight w:val="0"/>
          <w:marTop w:val="0"/>
          <w:marBottom w:val="0"/>
          <w:divBdr>
            <w:top w:val="none" w:sz="0" w:space="0" w:color="auto"/>
            <w:left w:val="none" w:sz="0" w:space="0" w:color="auto"/>
            <w:bottom w:val="none" w:sz="0" w:space="0" w:color="auto"/>
            <w:right w:val="none" w:sz="0" w:space="0" w:color="auto"/>
          </w:divBdr>
        </w:div>
        <w:div w:id="556281168">
          <w:marLeft w:val="0"/>
          <w:marRight w:val="0"/>
          <w:marTop w:val="0"/>
          <w:marBottom w:val="0"/>
          <w:divBdr>
            <w:top w:val="none" w:sz="0" w:space="0" w:color="auto"/>
            <w:left w:val="none" w:sz="0" w:space="0" w:color="auto"/>
            <w:bottom w:val="none" w:sz="0" w:space="0" w:color="auto"/>
            <w:right w:val="none" w:sz="0" w:space="0" w:color="auto"/>
          </w:divBdr>
        </w:div>
        <w:div w:id="556281173">
          <w:marLeft w:val="0"/>
          <w:marRight w:val="0"/>
          <w:marTop w:val="0"/>
          <w:marBottom w:val="0"/>
          <w:divBdr>
            <w:top w:val="none" w:sz="0" w:space="0" w:color="auto"/>
            <w:left w:val="none" w:sz="0" w:space="0" w:color="auto"/>
            <w:bottom w:val="none" w:sz="0" w:space="0" w:color="auto"/>
            <w:right w:val="none" w:sz="0" w:space="0" w:color="auto"/>
          </w:divBdr>
        </w:div>
        <w:div w:id="556281175">
          <w:marLeft w:val="0"/>
          <w:marRight w:val="0"/>
          <w:marTop w:val="0"/>
          <w:marBottom w:val="0"/>
          <w:divBdr>
            <w:top w:val="none" w:sz="0" w:space="0" w:color="auto"/>
            <w:left w:val="none" w:sz="0" w:space="0" w:color="auto"/>
            <w:bottom w:val="none" w:sz="0" w:space="0" w:color="auto"/>
            <w:right w:val="none" w:sz="0" w:space="0" w:color="auto"/>
          </w:divBdr>
        </w:div>
        <w:div w:id="556281176">
          <w:marLeft w:val="0"/>
          <w:marRight w:val="0"/>
          <w:marTop w:val="0"/>
          <w:marBottom w:val="0"/>
          <w:divBdr>
            <w:top w:val="none" w:sz="0" w:space="0" w:color="auto"/>
            <w:left w:val="none" w:sz="0" w:space="0" w:color="auto"/>
            <w:bottom w:val="none" w:sz="0" w:space="0" w:color="auto"/>
            <w:right w:val="none" w:sz="0" w:space="0" w:color="auto"/>
          </w:divBdr>
        </w:div>
        <w:div w:id="556281179">
          <w:marLeft w:val="0"/>
          <w:marRight w:val="0"/>
          <w:marTop w:val="0"/>
          <w:marBottom w:val="0"/>
          <w:divBdr>
            <w:top w:val="none" w:sz="0" w:space="0" w:color="auto"/>
            <w:left w:val="none" w:sz="0" w:space="0" w:color="auto"/>
            <w:bottom w:val="none" w:sz="0" w:space="0" w:color="auto"/>
            <w:right w:val="none" w:sz="0" w:space="0" w:color="auto"/>
          </w:divBdr>
        </w:div>
        <w:div w:id="556281181">
          <w:marLeft w:val="0"/>
          <w:marRight w:val="0"/>
          <w:marTop w:val="0"/>
          <w:marBottom w:val="0"/>
          <w:divBdr>
            <w:top w:val="none" w:sz="0" w:space="0" w:color="auto"/>
            <w:left w:val="none" w:sz="0" w:space="0" w:color="auto"/>
            <w:bottom w:val="none" w:sz="0" w:space="0" w:color="auto"/>
            <w:right w:val="none" w:sz="0" w:space="0" w:color="auto"/>
          </w:divBdr>
        </w:div>
        <w:div w:id="556281183">
          <w:marLeft w:val="0"/>
          <w:marRight w:val="0"/>
          <w:marTop w:val="0"/>
          <w:marBottom w:val="0"/>
          <w:divBdr>
            <w:top w:val="none" w:sz="0" w:space="0" w:color="auto"/>
            <w:left w:val="none" w:sz="0" w:space="0" w:color="auto"/>
            <w:bottom w:val="none" w:sz="0" w:space="0" w:color="auto"/>
            <w:right w:val="none" w:sz="0" w:space="0" w:color="auto"/>
          </w:divBdr>
        </w:div>
        <w:div w:id="556281184">
          <w:marLeft w:val="0"/>
          <w:marRight w:val="0"/>
          <w:marTop w:val="0"/>
          <w:marBottom w:val="0"/>
          <w:divBdr>
            <w:top w:val="none" w:sz="0" w:space="0" w:color="auto"/>
            <w:left w:val="none" w:sz="0" w:space="0" w:color="auto"/>
            <w:bottom w:val="none" w:sz="0" w:space="0" w:color="auto"/>
            <w:right w:val="none" w:sz="0" w:space="0" w:color="auto"/>
          </w:divBdr>
        </w:div>
        <w:div w:id="556281186">
          <w:marLeft w:val="0"/>
          <w:marRight w:val="0"/>
          <w:marTop w:val="0"/>
          <w:marBottom w:val="0"/>
          <w:divBdr>
            <w:top w:val="none" w:sz="0" w:space="0" w:color="auto"/>
            <w:left w:val="none" w:sz="0" w:space="0" w:color="auto"/>
            <w:bottom w:val="none" w:sz="0" w:space="0" w:color="auto"/>
            <w:right w:val="none" w:sz="0" w:space="0" w:color="auto"/>
          </w:divBdr>
        </w:div>
      </w:divsChild>
    </w:div>
    <w:div w:id="556281167">
      <w:marLeft w:val="0"/>
      <w:marRight w:val="0"/>
      <w:marTop w:val="0"/>
      <w:marBottom w:val="0"/>
      <w:divBdr>
        <w:top w:val="none" w:sz="0" w:space="0" w:color="auto"/>
        <w:left w:val="none" w:sz="0" w:space="0" w:color="auto"/>
        <w:bottom w:val="none" w:sz="0" w:space="0" w:color="auto"/>
        <w:right w:val="none" w:sz="0" w:space="0" w:color="auto"/>
      </w:divBdr>
    </w:div>
    <w:div w:id="556281170">
      <w:marLeft w:val="0"/>
      <w:marRight w:val="0"/>
      <w:marTop w:val="0"/>
      <w:marBottom w:val="0"/>
      <w:divBdr>
        <w:top w:val="none" w:sz="0" w:space="0" w:color="auto"/>
        <w:left w:val="none" w:sz="0" w:space="0" w:color="auto"/>
        <w:bottom w:val="none" w:sz="0" w:space="0" w:color="auto"/>
        <w:right w:val="none" w:sz="0" w:space="0" w:color="auto"/>
      </w:divBdr>
    </w:div>
    <w:div w:id="556281171">
      <w:marLeft w:val="0"/>
      <w:marRight w:val="0"/>
      <w:marTop w:val="0"/>
      <w:marBottom w:val="0"/>
      <w:divBdr>
        <w:top w:val="none" w:sz="0" w:space="0" w:color="auto"/>
        <w:left w:val="none" w:sz="0" w:space="0" w:color="auto"/>
        <w:bottom w:val="none" w:sz="0" w:space="0" w:color="auto"/>
        <w:right w:val="none" w:sz="0" w:space="0" w:color="auto"/>
      </w:divBdr>
      <w:divsChild>
        <w:div w:id="556281144">
          <w:marLeft w:val="0"/>
          <w:marRight w:val="0"/>
          <w:marTop w:val="0"/>
          <w:marBottom w:val="0"/>
          <w:divBdr>
            <w:top w:val="none" w:sz="0" w:space="0" w:color="auto"/>
            <w:left w:val="none" w:sz="0" w:space="0" w:color="auto"/>
            <w:bottom w:val="none" w:sz="0" w:space="0" w:color="auto"/>
            <w:right w:val="none" w:sz="0" w:space="0" w:color="auto"/>
          </w:divBdr>
        </w:div>
        <w:div w:id="556281145">
          <w:marLeft w:val="0"/>
          <w:marRight w:val="0"/>
          <w:marTop w:val="0"/>
          <w:marBottom w:val="0"/>
          <w:divBdr>
            <w:top w:val="none" w:sz="0" w:space="0" w:color="auto"/>
            <w:left w:val="none" w:sz="0" w:space="0" w:color="auto"/>
            <w:bottom w:val="none" w:sz="0" w:space="0" w:color="auto"/>
            <w:right w:val="none" w:sz="0" w:space="0" w:color="auto"/>
          </w:divBdr>
        </w:div>
        <w:div w:id="556281152">
          <w:marLeft w:val="0"/>
          <w:marRight w:val="0"/>
          <w:marTop w:val="0"/>
          <w:marBottom w:val="0"/>
          <w:divBdr>
            <w:top w:val="none" w:sz="0" w:space="0" w:color="auto"/>
            <w:left w:val="none" w:sz="0" w:space="0" w:color="auto"/>
            <w:bottom w:val="none" w:sz="0" w:space="0" w:color="auto"/>
            <w:right w:val="none" w:sz="0" w:space="0" w:color="auto"/>
          </w:divBdr>
        </w:div>
        <w:div w:id="556281156">
          <w:marLeft w:val="0"/>
          <w:marRight w:val="0"/>
          <w:marTop w:val="0"/>
          <w:marBottom w:val="0"/>
          <w:divBdr>
            <w:top w:val="none" w:sz="0" w:space="0" w:color="auto"/>
            <w:left w:val="none" w:sz="0" w:space="0" w:color="auto"/>
            <w:bottom w:val="none" w:sz="0" w:space="0" w:color="auto"/>
            <w:right w:val="none" w:sz="0" w:space="0" w:color="auto"/>
          </w:divBdr>
        </w:div>
        <w:div w:id="556281157">
          <w:marLeft w:val="0"/>
          <w:marRight w:val="0"/>
          <w:marTop w:val="0"/>
          <w:marBottom w:val="0"/>
          <w:divBdr>
            <w:top w:val="none" w:sz="0" w:space="0" w:color="auto"/>
            <w:left w:val="none" w:sz="0" w:space="0" w:color="auto"/>
            <w:bottom w:val="none" w:sz="0" w:space="0" w:color="auto"/>
            <w:right w:val="none" w:sz="0" w:space="0" w:color="auto"/>
          </w:divBdr>
        </w:div>
        <w:div w:id="556281158">
          <w:marLeft w:val="0"/>
          <w:marRight w:val="0"/>
          <w:marTop w:val="0"/>
          <w:marBottom w:val="0"/>
          <w:divBdr>
            <w:top w:val="none" w:sz="0" w:space="0" w:color="auto"/>
            <w:left w:val="none" w:sz="0" w:space="0" w:color="auto"/>
            <w:bottom w:val="none" w:sz="0" w:space="0" w:color="auto"/>
            <w:right w:val="none" w:sz="0" w:space="0" w:color="auto"/>
          </w:divBdr>
        </w:div>
        <w:div w:id="556281159">
          <w:marLeft w:val="0"/>
          <w:marRight w:val="0"/>
          <w:marTop w:val="0"/>
          <w:marBottom w:val="0"/>
          <w:divBdr>
            <w:top w:val="none" w:sz="0" w:space="0" w:color="auto"/>
            <w:left w:val="none" w:sz="0" w:space="0" w:color="auto"/>
            <w:bottom w:val="none" w:sz="0" w:space="0" w:color="auto"/>
            <w:right w:val="none" w:sz="0" w:space="0" w:color="auto"/>
          </w:divBdr>
        </w:div>
        <w:div w:id="556281163">
          <w:marLeft w:val="0"/>
          <w:marRight w:val="0"/>
          <w:marTop w:val="0"/>
          <w:marBottom w:val="0"/>
          <w:divBdr>
            <w:top w:val="none" w:sz="0" w:space="0" w:color="auto"/>
            <w:left w:val="none" w:sz="0" w:space="0" w:color="auto"/>
            <w:bottom w:val="none" w:sz="0" w:space="0" w:color="auto"/>
            <w:right w:val="none" w:sz="0" w:space="0" w:color="auto"/>
          </w:divBdr>
        </w:div>
        <w:div w:id="556281164">
          <w:marLeft w:val="0"/>
          <w:marRight w:val="0"/>
          <w:marTop w:val="0"/>
          <w:marBottom w:val="0"/>
          <w:divBdr>
            <w:top w:val="none" w:sz="0" w:space="0" w:color="auto"/>
            <w:left w:val="none" w:sz="0" w:space="0" w:color="auto"/>
            <w:bottom w:val="none" w:sz="0" w:space="0" w:color="auto"/>
            <w:right w:val="none" w:sz="0" w:space="0" w:color="auto"/>
          </w:divBdr>
        </w:div>
        <w:div w:id="556281165">
          <w:marLeft w:val="0"/>
          <w:marRight w:val="0"/>
          <w:marTop w:val="0"/>
          <w:marBottom w:val="0"/>
          <w:divBdr>
            <w:top w:val="none" w:sz="0" w:space="0" w:color="auto"/>
            <w:left w:val="none" w:sz="0" w:space="0" w:color="auto"/>
            <w:bottom w:val="none" w:sz="0" w:space="0" w:color="auto"/>
            <w:right w:val="none" w:sz="0" w:space="0" w:color="auto"/>
          </w:divBdr>
        </w:div>
        <w:div w:id="556281166">
          <w:marLeft w:val="0"/>
          <w:marRight w:val="0"/>
          <w:marTop w:val="0"/>
          <w:marBottom w:val="0"/>
          <w:divBdr>
            <w:top w:val="none" w:sz="0" w:space="0" w:color="auto"/>
            <w:left w:val="none" w:sz="0" w:space="0" w:color="auto"/>
            <w:bottom w:val="none" w:sz="0" w:space="0" w:color="auto"/>
            <w:right w:val="none" w:sz="0" w:space="0" w:color="auto"/>
          </w:divBdr>
        </w:div>
        <w:div w:id="556281169">
          <w:marLeft w:val="0"/>
          <w:marRight w:val="0"/>
          <w:marTop w:val="0"/>
          <w:marBottom w:val="0"/>
          <w:divBdr>
            <w:top w:val="none" w:sz="0" w:space="0" w:color="auto"/>
            <w:left w:val="none" w:sz="0" w:space="0" w:color="auto"/>
            <w:bottom w:val="none" w:sz="0" w:space="0" w:color="auto"/>
            <w:right w:val="none" w:sz="0" w:space="0" w:color="auto"/>
          </w:divBdr>
        </w:div>
        <w:div w:id="556281174">
          <w:marLeft w:val="0"/>
          <w:marRight w:val="0"/>
          <w:marTop w:val="0"/>
          <w:marBottom w:val="0"/>
          <w:divBdr>
            <w:top w:val="none" w:sz="0" w:space="0" w:color="auto"/>
            <w:left w:val="none" w:sz="0" w:space="0" w:color="auto"/>
            <w:bottom w:val="none" w:sz="0" w:space="0" w:color="auto"/>
            <w:right w:val="none" w:sz="0" w:space="0" w:color="auto"/>
          </w:divBdr>
        </w:div>
        <w:div w:id="556281178">
          <w:marLeft w:val="0"/>
          <w:marRight w:val="0"/>
          <w:marTop w:val="0"/>
          <w:marBottom w:val="0"/>
          <w:divBdr>
            <w:top w:val="none" w:sz="0" w:space="0" w:color="auto"/>
            <w:left w:val="none" w:sz="0" w:space="0" w:color="auto"/>
            <w:bottom w:val="none" w:sz="0" w:space="0" w:color="auto"/>
            <w:right w:val="none" w:sz="0" w:space="0" w:color="auto"/>
          </w:divBdr>
        </w:div>
      </w:divsChild>
    </w:div>
    <w:div w:id="556281172">
      <w:marLeft w:val="0"/>
      <w:marRight w:val="0"/>
      <w:marTop w:val="0"/>
      <w:marBottom w:val="0"/>
      <w:divBdr>
        <w:top w:val="none" w:sz="0" w:space="0" w:color="auto"/>
        <w:left w:val="none" w:sz="0" w:space="0" w:color="auto"/>
        <w:bottom w:val="none" w:sz="0" w:space="0" w:color="auto"/>
        <w:right w:val="none" w:sz="0" w:space="0" w:color="auto"/>
      </w:divBdr>
    </w:div>
    <w:div w:id="556281177">
      <w:marLeft w:val="0"/>
      <w:marRight w:val="0"/>
      <w:marTop w:val="0"/>
      <w:marBottom w:val="0"/>
      <w:divBdr>
        <w:top w:val="none" w:sz="0" w:space="0" w:color="auto"/>
        <w:left w:val="none" w:sz="0" w:space="0" w:color="auto"/>
        <w:bottom w:val="none" w:sz="0" w:space="0" w:color="auto"/>
        <w:right w:val="none" w:sz="0" w:space="0" w:color="auto"/>
      </w:divBdr>
    </w:div>
    <w:div w:id="556281180">
      <w:marLeft w:val="0"/>
      <w:marRight w:val="0"/>
      <w:marTop w:val="0"/>
      <w:marBottom w:val="0"/>
      <w:divBdr>
        <w:top w:val="none" w:sz="0" w:space="0" w:color="auto"/>
        <w:left w:val="none" w:sz="0" w:space="0" w:color="auto"/>
        <w:bottom w:val="none" w:sz="0" w:space="0" w:color="auto"/>
        <w:right w:val="none" w:sz="0" w:space="0" w:color="auto"/>
      </w:divBdr>
    </w:div>
    <w:div w:id="556281182">
      <w:marLeft w:val="0"/>
      <w:marRight w:val="0"/>
      <w:marTop w:val="0"/>
      <w:marBottom w:val="0"/>
      <w:divBdr>
        <w:top w:val="none" w:sz="0" w:space="0" w:color="auto"/>
        <w:left w:val="none" w:sz="0" w:space="0" w:color="auto"/>
        <w:bottom w:val="none" w:sz="0" w:space="0" w:color="auto"/>
        <w:right w:val="none" w:sz="0" w:space="0" w:color="auto"/>
      </w:divBdr>
    </w:div>
    <w:div w:id="556281185">
      <w:marLeft w:val="0"/>
      <w:marRight w:val="0"/>
      <w:marTop w:val="0"/>
      <w:marBottom w:val="0"/>
      <w:divBdr>
        <w:top w:val="none" w:sz="0" w:space="0" w:color="auto"/>
        <w:left w:val="none" w:sz="0" w:space="0" w:color="auto"/>
        <w:bottom w:val="none" w:sz="0" w:space="0" w:color="auto"/>
        <w:right w:val="none" w:sz="0" w:space="0" w:color="auto"/>
      </w:divBdr>
    </w:div>
    <w:div w:id="556281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A1CE1-3614-4CE0-8EFC-E762846A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7861</Words>
  <Characters>44809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ХРЕНЬ 3000 - 1М</dc:creator>
  <cp:keywords/>
  <dc:description/>
  <cp:lastModifiedBy>admin</cp:lastModifiedBy>
  <cp:revision>2</cp:revision>
  <dcterms:created xsi:type="dcterms:W3CDTF">2014-03-12T14:07:00Z</dcterms:created>
  <dcterms:modified xsi:type="dcterms:W3CDTF">2014-03-12T14:07:00Z</dcterms:modified>
</cp:coreProperties>
</file>