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5B" w:rsidRDefault="003E595B">
      <w:pPr>
        <w:pStyle w:val="a8"/>
      </w:pPr>
      <w:r>
        <w:t>Единый социальный налог</w:t>
      </w: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  <w:r>
        <w:t>Содержание.</w:t>
      </w:r>
    </w:p>
    <w:p w:rsidR="003E595B" w:rsidRDefault="003E595B">
      <w:pPr>
        <w:pStyle w:val="a8"/>
      </w:pPr>
    </w:p>
    <w:p w:rsidR="003E595B" w:rsidRDefault="003E595B">
      <w:pPr>
        <w:pStyle w:val="a8"/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Введение..................................................................................................3</w:t>
      </w:r>
    </w:p>
    <w:p w:rsidR="003E595B" w:rsidRDefault="003E595B">
      <w:pPr>
        <w:pStyle w:val="ad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 РФ...........................................................4</w:t>
      </w:r>
    </w:p>
    <w:p w:rsidR="003E595B" w:rsidRDefault="003E595B">
      <w:pPr>
        <w:pStyle w:val="ad"/>
        <w:numPr>
          <w:ilvl w:val="1"/>
          <w:numId w:val="5"/>
        </w:numPr>
        <w:spacing w:line="360" w:lineRule="auto"/>
        <w:ind w:right="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Социально-экономическая сущность внебюджетных фондов.............................................................................................4</w:t>
      </w:r>
    </w:p>
    <w:p w:rsidR="003E595B" w:rsidRDefault="003E595B">
      <w:pPr>
        <w:pStyle w:val="ad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Источники формирования внебюджетных фондов................7</w:t>
      </w:r>
    </w:p>
    <w:p w:rsidR="003E595B" w:rsidRDefault="003E595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Единый социальный налог...........................................................8</w:t>
      </w:r>
    </w:p>
    <w:p w:rsidR="003E595B" w:rsidRDefault="003E595B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Причины, вызвавшие необходимость введения единого социального налога......................................................................9</w:t>
      </w:r>
    </w:p>
    <w:p w:rsidR="003E595B" w:rsidRDefault="003E595B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Налогоплательщики единого социального налога...............11</w:t>
      </w:r>
    </w:p>
    <w:p w:rsidR="003E595B" w:rsidRDefault="003E595B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Объект обложения налога.....................................................13</w:t>
      </w:r>
    </w:p>
    <w:p w:rsidR="003E595B" w:rsidRDefault="003E595B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Ставки единого социального налога.....................................24</w:t>
      </w:r>
    </w:p>
    <w:p w:rsidR="003E595B" w:rsidRDefault="003E595B">
      <w:pPr>
        <w:numPr>
          <w:ilvl w:val="1"/>
          <w:numId w:val="5"/>
        </w:numPr>
        <w:spacing w:line="360" w:lineRule="auto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Порядок исчисления и уплаты налога..................................26</w:t>
      </w:r>
    </w:p>
    <w:p w:rsidR="003E595B" w:rsidRDefault="003E595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Заключение..................................................................................34</w:t>
      </w:r>
    </w:p>
    <w:p w:rsidR="003E595B" w:rsidRDefault="003E595B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Используемая литература....................................................................36</w:t>
      </w:r>
    </w:p>
    <w:p w:rsidR="003E595B" w:rsidRDefault="003E595B">
      <w:pPr>
        <w:pStyle w:val="a8"/>
        <w:jc w:val="both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</w:p>
    <w:p w:rsidR="003E595B" w:rsidRDefault="003E595B">
      <w:pPr>
        <w:pStyle w:val="a8"/>
      </w:pPr>
      <w:r>
        <w:t>Введение.</w:t>
      </w:r>
    </w:p>
    <w:p w:rsidR="003E595B" w:rsidRDefault="003E595B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Первоначально внебюджетные фонды появились в виде специальных фондов или особых счетов задолго до возникновения бюджета. Государственная власть  с расширением своей деятельности нуждалась во все новых расходах, требовавших средств для своего покрытия. Эти средства концентрировались в особых фондах, предназначенных для специальных целей. Такие фонды носили, как правило, временный характер. С выполнением государством намеченных мероприятий фонды заканчивали свое существование. В связи с этим количество фондов постоянно менялось.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укреплением централизованного государства  начинался период унификации специальных фондов. На основе объединения различных фондов был создан государственный бюджет. Наряду с бюджетом вновь повышалось значение внебюджетных фондов.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в финансовой системе России созданы в соответствии с Законом РСФСР "Об основах бюджетного устройства и бюджетного процесса в РСФСР" (от 10 октября 1991 г.). Главная причина их создания - необходимость выделения чрезвычайно важных для общества расходов и обеспечение их самостоятельными источниками дохода.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Поскольку плательщиками взносов во внебюджетные фонды являются юридические и физические (предприниматели) лица, т.е. потребители социальных гарантий, то вопросы уплаты и распределения денежных средств фондов касаются всех граждан России, и  поэтому проявляется их заинтересованность в оптимальном функционировании системы внебюджетных фондов.</w:t>
      </w:r>
    </w:p>
    <w:p w:rsidR="003E595B" w:rsidRDefault="003E595B">
      <w:pPr>
        <w:pStyle w:val="ad"/>
        <w:spacing w:line="360" w:lineRule="auto"/>
        <w:ind w:left="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Внебюджетные фонды  РФ</w:t>
      </w:r>
    </w:p>
    <w:p w:rsidR="003E595B" w:rsidRDefault="003E595B">
      <w:pPr>
        <w:pStyle w:val="ad"/>
        <w:spacing w:line="360" w:lineRule="auto"/>
        <w:ind w:right="-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1.1. Социально-экономическая сущность внебюджетных фондов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Финансовая система РФ включала следующие звенья финансовых отношений: государственный бюджет, внебюджетные фонды, государственный кредит, фонды страхования, финансы предприятий различных форм собственности (</w:t>
      </w:r>
      <w:r>
        <w:rPr>
          <w:rFonts w:ascii="Arial" w:hAnsi="Arial" w:cs="Arial"/>
          <w:i/>
          <w:iCs/>
          <w:sz w:val="28"/>
          <w:szCs w:val="28"/>
        </w:rPr>
        <w:t>рис.1</w:t>
      </w:r>
      <w:r>
        <w:rPr>
          <w:rFonts w:ascii="Arial" w:hAnsi="Arial" w:cs="Arial"/>
          <w:sz w:val="28"/>
          <w:szCs w:val="28"/>
        </w:rPr>
        <w:t xml:space="preserve">). </w: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1pt;margin-top:-.25pt;width:122.4pt;height:21.6pt;z-index:251637248" o:allowincell="f">
            <v:textbox style="mso-next-textbox:#_x0000_s1026">
              <w:txbxContent>
                <w:p w:rsidR="003E595B" w:rsidRDefault="003E595B">
                  <w:r>
                    <w:t>Финансовая система РФ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7" style="position:absolute;left:0;text-align:left;z-index:251638272" from="245.7pt,7.55pt" to="245.7pt,27.35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251639296" from="188.1pt,-.25pt" to="382.5pt,-.25pt" o:allowincell="f"/>
        </w:pict>
      </w:r>
      <w:r>
        <w:rPr>
          <w:noProof/>
        </w:rPr>
        <w:pict>
          <v:line id="_x0000_s1029" style="position:absolute;left:0;text-align:left;z-index:251641344" from="382.5pt,-.25pt" to="382.5pt,14.15pt" o:allowincell="f"/>
        </w:pict>
      </w:r>
      <w:r>
        <w:rPr>
          <w:noProof/>
        </w:rPr>
        <w:pict>
          <v:line id="_x0000_s1030" style="position:absolute;left:0;text-align:left;z-index:251640320" from="188.1pt,-.25pt" to="188.1pt,14.15pt" o:allowincell="f"/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202" style="position:absolute;left:0;text-align:left;margin-left:137.7pt;margin-top:.35pt;width:122.4pt;height:36pt;z-index:251642368" o:allowincell="f">
            <v:textbox style="mso-next-textbox:#_x0000_s1031">
              <w:txbxContent>
                <w:p w:rsidR="003E595B" w:rsidRDefault="003E595B">
                  <w:r>
                    <w:t>Общегосударственные финансы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17.7pt;margin-top:.35pt;width:129.6pt;height:36pt;z-index:251643392" o:allowincell="f">
            <v:textbox style="mso-next-textbox:#_x0000_s1032">
              <w:txbxContent>
                <w:p w:rsidR="003E595B" w:rsidRDefault="003E595B">
                  <w:r>
                    <w:t>Финансы хозяйствующих субъектов</w:t>
                  </w:r>
                </w:p>
              </w:txbxContent>
            </v:textbox>
          </v:shape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3" style="position:absolute;left:0;text-align:left;z-index:251644416" from="202.5pt,8.75pt" to="202.5pt,23.15pt" o:allowincell="f"/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4" style="position:absolute;left:0;text-align:left;z-index:251645440" from="58.5pt,9.35pt" to="324.9pt,9.35pt" o:allowincell="f"/>
        </w:pict>
      </w:r>
      <w:r>
        <w:rPr>
          <w:noProof/>
        </w:rPr>
        <w:pict>
          <v:line id="_x0000_s1035" style="position:absolute;left:0;text-align:left;z-index:251652608" from="324.9pt,9.35pt" to="324.9pt,23.75pt" o:allowincell="f"/>
        </w:pict>
      </w:r>
      <w:r>
        <w:rPr>
          <w:noProof/>
        </w:rPr>
        <w:pict>
          <v:line id="_x0000_s1036" style="position:absolute;left:0;text-align:left;z-index:251646464" from="58.5pt,9.35pt" to="58.5pt,23.75pt" o:allowincell="f"/>
        </w:pict>
      </w:r>
      <w:r w:rsidR="003E5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7" type="#_x0000_t202" style="position:absolute;left:0;text-align:left;margin-left:108.9pt;margin-top:9.95pt;width:1in;height:36pt;z-index:251649536" o:allowincell="f" strokeweight="1.5pt">
            <v:textbox style="mso-next-textbox:#_x0000_s1037">
              <w:txbxContent>
                <w:p w:rsidR="003E595B" w:rsidRDefault="003E59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Внебюджет-</w:t>
                  </w:r>
                </w:p>
                <w:p w:rsidR="003E595B" w:rsidRDefault="003E595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ные фонды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6.1pt;margin-top:9.95pt;width:1in;height:36pt;z-index:251653632" o:allowincell="f">
            <v:textbox style="mso-next-textbox:#_x0000_s1038">
              <w:txbxContent>
                <w:p w:rsidR="003E595B" w:rsidRDefault="003E595B">
                  <w:r>
                    <w:t>Фонды стра-</w:t>
                  </w:r>
                </w:p>
                <w:p w:rsidR="003E595B" w:rsidRDefault="003E595B">
                  <w:r>
                    <w:t>хования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95.3pt;margin-top:9.95pt;width:86.4pt;height:36pt;z-index:251651584" o:allowincell="f">
            <v:textbox style="mso-next-textbox:#_x0000_s1039">
              <w:txbxContent>
                <w:p w:rsidR="003E595B" w:rsidRDefault="003E595B">
                  <w:r>
                    <w:t>Государственн-</w:t>
                  </w:r>
                </w:p>
                <w:p w:rsidR="003E595B" w:rsidRDefault="003E595B">
                  <w:r>
                    <w:t>ый кредит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0" style="position:absolute;left:0;text-align:left;z-index:251650560" from="245.7pt,-4.45pt" to="245.7pt,9.95pt" o:allowincell="f"/>
        </w:pict>
      </w:r>
      <w:r>
        <w:rPr>
          <w:noProof/>
        </w:rPr>
        <w:pict>
          <v:line id="_x0000_s1041" style="position:absolute;left:0;text-align:left;z-index:251648512" from="144.9pt,-4.45pt" to="144.9pt,9.95pt" o:allowincell="f"/>
        </w:pict>
      </w:r>
      <w:r>
        <w:rPr>
          <w:noProof/>
        </w:rPr>
        <w:pict>
          <v:shape id="_x0000_s1042" type="#_x0000_t202" style="position:absolute;left:0;text-align:left;margin-left:15.3pt;margin-top:9.95pt;width:79.2pt;height:36pt;z-index:251647488" o:allowincell="f">
            <v:textbox style="mso-next-textbox:#_x0000_s1042">
              <w:txbxContent>
                <w:p w:rsidR="003E595B" w:rsidRDefault="003E595B">
                  <w:r>
                    <w:t>Государствен-</w:t>
                  </w:r>
                </w:p>
                <w:p w:rsidR="003E595B" w:rsidRDefault="003E595B">
                  <w:r>
                    <w:t>ный бюджет</w:t>
                  </w:r>
                </w:p>
              </w:txbxContent>
            </v:textbox>
          </v:shape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3" style="position:absolute;left:0;text-align:left;z-index:251654656" from="144.9pt,4.55pt" to="144.9pt,18.95pt" o:allowincell="f"/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left:0;text-align:left;z-index:251656704" from="65.7pt,5.15pt" to="65.7pt,19.55pt" o:allowincell="f"/>
        </w:pict>
      </w:r>
      <w:r>
        <w:rPr>
          <w:noProof/>
        </w:rPr>
        <w:pict>
          <v:line id="_x0000_s1045" style="position:absolute;left:0;text-align:left;z-index:251655680" from="65.7pt,5.15pt" to="238.5pt,5.15pt" o:allowincell="f"/>
        </w:pict>
      </w:r>
      <w:r>
        <w:rPr>
          <w:noProof/>
        </w:rPr>
        <w:pict>
          <v:line id="_x0000_s1046" style="position:absolute;left:0;text-align:left;z-index:251657728" from="238.5pt,5.15pt" to="238.5pt,19.55pt" o:allowincell="f"/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7" type="#_x0000_t202" style="position:absolute;left:0;text-align:left;margin-left:22.5pt;margin-top:5.75pt;width:79.2pt;height:21.6pt;z-index:251658752" o:allowincell="f">
            <v:textbox style="mso-next-textbox:#_x0000_s1047">
              <w:txbxContent>
                <w:p w:rsidR="003E595B" w:rsidRDefault="003E595B">
                  <w:r>
                    <w:t>Социальные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95.3pt;margin-top:5.75pt;width:86.4pt;height:21.6pt;z-index:251659776" o:allowincell="f">
            <v:textbox style="mso-next-textbox:#_x0000_s1048">
              <w:txbxContent>
                <w:p w:rsidR="003E595B" w:rsidRDefault="003E595B">
                  <w:pPr>
                    <w:pStyle w:val="a5"/>
                    <w:tabs>
                      <w:tab w:val="clear" w:pos="4153"/>
                      <w:tab w:val="clear" w:pos="8306"/>
                    </w:tabs>
                  </w:pPr>
                  <w:r>
                    <w:t>Экономические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9" style="position:absolute;left:0;text-align:left;z-index:251670016" from="202.5pt,13.6pt" to="202.5pt,229.6pt" o:allowincell="f"/>
        </w:pict>
      </w:r>
      <w:r>
        <w:rPr>
          <w:noProof/>
        </w:rPr>
        <w:pict>
          <v:line id="_x0000_s1050" style="position:absolute;left:0;text-align:left;z-index:251660800" from="29.7pt,13.6pt" to="29.7pt,186.4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1" type="#_x0000_t202" style="position:absolute;left:0;text-align:left;margin-left:44.1pt;margin-top:.4pt;width:100.8pt;height:21.6pt;z-index:251662848" o:allowincell="f">
            <v:textbox style="mso-next-textbox:#_x0000_s1051">
              <w:txbxContent>
                <w:p w:rsidR="003E595B" w:rsidRDefault="003E595B">
                  <w:r>
                    <w:t xml:space="preserve">Пенсионный фонд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216.9pt;margin-top:.4pt;width:122.4pt;height:57.6pt;z-index:251672064" o:allowincell="f">
            <v:textbox style="mso-next-textbox:#_x0000_s1052">
              <w:txbxContent>
                <w:p w:rsidR="003E595B" w:rsidRDefault="003E595B">
                  <w:r>
                    <w:t>Фонд технологического развития и отраслевые внебюджетные фонды НИОКР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3" style="position:absolute;left:0;text-align:left;z-index:251661824" from="29.7pt,7.6pt" to="44.1pt,7.6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4" style="position:absolute;left:0;text-align:left;z-index:251671040" from="202.5pt,1.6pt" to="216.9pt,1.6pt" o:allowincell="f"/>
        </w:pict>
      </w:r>
      <w:r>
        <w:rPr>
          <w:noProof/>
        </w:rPr>
        <w:pict>
          <v:shape id="_x0000_s1055" type="#_x0000_t202" style="position:absolute;left:0;text-align:left;margin-left:44.1pt;margin-top:1.6pt;width:100.8pt;height:36pt;z-index:251664896" o:allowincell="f">
            <v:textbox style="mso-next-textbox:#_x0000_s1055">
              <w:txbxContent>
                <w:p w:rsidR="003E595B" w:rsidRDefault="003E595B">
                  <w:r>
                    <w:t>Фонд социального</w:t>
                  </w:r>
                </w:p>
                <w:p w:rsidR="003E595B" w:rsidRDefault="003E595B">
                  <w:r>
                    <w:t xml:space="preserve">страхования 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6" style="position:absolute;left:0;text-align:left;z-index:251663872" from="29.7pt,2.2pt" to="44.1pt,2.2pt" o:allowincell="f"/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7" type="#_x0000_t202" style="position:absolute;left:0;text-align:left;margin-left:216.9pt;margin-top:10pt;width:122.4pt;height:64.8pt;z-index:251674112" o:allowincell="f">
            <v:textbox style="mso-next-textbox:#_x0000_s1057">
              <w:txbxContent>
                <w:p w:rsidR="003E595B" w:rsidRDefault="003E595B">
                  <w:r>
                    <w:t xml:space="preserve">Государственный внебюджетный фонд воспроизводства минерально-сырьевой базы 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8" type="#_x0000_t202" style="position:absolute;left:0;text-align:left;margin-left:44.1pt;margin-top:3.4pt;width:100.8pt;height:43.2pt;z-index:251666944" o:allowincell="f">
            <v:textbox style="mso-next-textbox:#_x0000_s1058">
              <w:txbxContent>
                <w:p w:rsidR="003E595B" w:rsidRDefault="003E595B">
                  <w:r>
                    <w:t xml:space="preserve">Государственный фонд занятости населения 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9" style="position:absolute;left:0;text-align:left;z-index:251673088" from="202.5pt,11.2pt" to="216.9pt,11.2pt" o:allowincell="f"/>
        </w:pict>
      </w:r>
      <w:r>
        <w:rPr>
          <w:noProof/>
        </w:rPr>
        <w:pict>
          <v:line id="_x0000_s1060" style="position:absolute;left:0;text-align:left;z-index:251665920" from="29.7pt,11.2pt" to="44.1pt,11.2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1" type="#_x0000_t202" style="position:absolute;left:0;text-align:left;margin-left:216.9pt;margin-top:13pt;width:122.4pt;height:36pt;z-index:251676160" o:allowincell="f">
            <v:textbox style="mso-next-textbox:#_x0000_s1061">
              <w:txbxContent>
                <w:p w:rsidR="003E595B" w:rsidRDefault="003E595B">
                  <w:r>
                    <w:t>Фонд инвестирования жилищного хозяйства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44.1pt;margin-top:5.8pt;width:100.8pt;height:57.6pt;z-index:251668992" o:allowincell="f">
            <v:textbox style="mso-next-textbox:#_x0000_s1062">
              <w:txbxContent>
                <w:p w:rsidR="003E595B" w:rsidRDefault="003E595B">
                  <w:r>
                    <w:t xml:space="preserve">Федеральный фонд обязательного медицинского страхования </w:t>
                  </w:r>
                </w:p>
              </w:txbxContent>
            </v:textbox>
          </v:shape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3" style="position:absolute;left:0;text-align:left;z-index:251675136" from="202.5pt,7pt" to="216.9pt,7pt" o:allowincell="f"/>
        </w:pict>
      </w:r>
      <w:r>
        <w:rPr>
          <w:noProof/>
        </w:rPr>
        <w:pict>
          <v:line id="_x0000_s1064" style="position:absolute;left:0;text-align:left;z-index:251667968" from="29.7pt,7pt" to="44.1pt,7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5" type="#_x0000_t202" style="position:absolute;left:0;text-align:left;margin-left:216.9pt;margin-top:8.2pt;width:122.4pt;height:21.6pt;z-index:251678208" o:allowincell="f">
            <v:textbox style="mso-next-textbox:#_x0000_s1065">
              <w:txbxContent>
                <w:p w:rsidR="003E595B" w:rsidRDefault="003E595B">
                  <w:r>
                    <w:t xml:space="preserve">Дорожный фонд </w:t>
                  </w:r>
                </w:p>
              </w:txbxContent>
            </v:textbox>
          </v:shape>
        </w:pict>
      </w:r>
    </w:p>
    <w:p w:rsidR="003E595B" w:rsidRDefault="006310D5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6" style="position:absolute;left:0;text-align:left;z-index:251677184" from="202.5pt,8.8pt" to="216.9pt,8.8pt" o:allowincell="f"/>
        </w:pic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595B" w:rsidRDefault="003E595B">
      <w:pPr>
        <w:pStyle w:val="ad"/>
        <w:ind w:firstLine="851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Рис.1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- один из методов перераспределения национального дохода органами власти в пользу определенных социальных групп населения. Государство мобилизирует в фонды часть доходов населения для финансирования своих мероприятий. Внебюджетные фонды решают две важные задачи: обеспечение дополнительными средствами приоритетных сфер  экономики и расширение социальных услуг населения.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основе Закона РСФСР "Об основах бюджетного устройства и бюджетного планирования в РСФСР" от 10 октября 1991 года  органы власти в рамках законодательства РФ могут образовывать целевые внебюджетные фонды, обладающие правом самостоятельного юридического лица и независимые от бюджетов соответствующих органов власти.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Государственные внебюджетные фонды создаются на базе соответствующих актов высших органов власти, в которых регламентируется их деятельность, указываются источники формирования, определяются порядок и направленность использования денежных средств.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фонды, являясь составной частью финансовой системы РФ, обладают рядом особенностей: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запланированы органами власти и управления и имеют  строгую целевую направленность;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денежные средства фондов используются для финансирования государственных расходов, не включенных в бюджет;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формируются в основном за счет обязательных отчислений юридических и физических лиц;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страховые взносы в фонды и взаимоотношения, возникающие при их уплате, имеют налоговую природу, тарифы взносов устанавливаются государством и являются обязательными;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на отношения, связанные с исчислением, уплатой  и взысканием взносов в фонды, распространено большинство норм и положений Закона РФ "Об основах налоговой системы РФ";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денежные ресурсы фонда находятся в государственной собственности, они не входят в состав бюджетов, а также других фондов и не подлежат изъятию на какие-либо цели, прямо не предусмотренные законом;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расходование средств из фондов осуществляется по распоряжению Правительства или специально уполномоченного на то органа (Правление фонда).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Внебюджетные фонды - форма использования финансовых ресурсов, привлекаемых государством для финансирования  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фондов. 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Решение об образовании внебюджетных фондов принимает  Федеральное собрание РФ, а также государственные  представительные органы субъектов Федерации  и местного самоуправления. Внебюджетные фонды находятся в собственности государства, но являются автономными. Они имеют, как правило, строго целевое назначение.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Начиная с 1992 года в РФ, создано и действует  большое количество внебюджетных фондов. В зависимости от уровня управления внебюджетные фонды подразделяются на государственные (федеральные) и региональные; по целевому назначению – на экономические и социальные. Общее число федеральных внебюджетных фондов в 1998 г. составило около 40.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pStyle w:val="a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1.2. Источники формирования внебюджетных фондов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создаются двумя путями. Один путь - это выделение из бюджета и финансирование определенных расходов, имеющих особо важное значение, другой - формирование внебюджетного фонда с собственными источниками доходов для использования в определенных целях.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предназначены для целевого использования. Обычно в названии фонда указана цель расходования средств.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Материальным источником внебюджетных фондов является национальный доход. Преобладающая часть фондов создается в процессе перераспределения национального дохода. Основные методы мобилизации национального дохода в процессе его перераспределения при формировании фондов - специальные налоги и сборы, средства из бюджета и займы.</w:t>
      </w:r>
    </w:p>
    <w:p w:rsidR="003E595B" w:rsidRDefault="003E595B">
      <w:pPr>
        <w:pStyle w:val="ad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Специальные налоги и сборы устанавливаются законодательной властью. Значительное количество фондов формируется за счет средств центрального и региональных (местных) бюджетов. Средства бюджетов поступают в форме безвозмездных субсидий или определенных отчислений от налоговых доходов бюджета. Доходами внебюджетных фондов могут выступать и заемные средства, полученные фондом у ЦБ РФ или коммерческих банков. Кроме того, к доходам внебюджетных фондов относятся отчисления от прибыли предприятий, учреждений, организаций и прибыль от коммерческой деятельности, осуществляемой фондом как юридическим лицом (имеющиеся у внебюджетных фондов положительное сальдо может быть использовано для приобретения ценных бумаг и получения прибыли в  форме дивидендов или процентов).</w:t>
      </w:r>
    </w:p>
    <w:p w:rsidR="003E595B" w:rsidRDefault="003E595B">
      <w:pPr>
        <w:pStyle w:val="ad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 Единый социальный налог.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Единый социальный налог является серьезным новаторством, включенным во вторую часть Налогового кодекса. Введенный в действие с 1 января 2001 г., этот налог заменил собой действовавшие ранее отчисления в три государственных внебюджетных социальных фонда - Пенсионный, Фонд социального страхования и федеральный и региональные фонды обязательного медицинского страхования. Но замена отчислений на единый социальный налог не отменила целевого назначения налога. Средства от его сбора будут поступать не в бюджеты всех уровней, а в указанные выше фонды. Основное предназначение этого налога именно в том и состоит, чтобы обеспечить мобилизацию средств для реализации права граждан России на государственное пенсионное и социальное обеспечение и медицинскую помощь.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 xml:space="preserve">В связи с этим возникает неизбежный вопрос о необходимости и экономической целесообразности преобразования производимых предприятиями, учреждениями и организациями отчислений в социальные фонды в единый налог. 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2.1. Причины, вызвавшие необходимость введения единого социального налога.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До введения единого социального налога был не совсем ясен статус отчислений в государственные социальные внебюджетные фонды. Формально не являясь налогами, поскольку не входили в установленную Законом "Об основах налоговой системы Российской Федерации" налоговую систему России, они по своему экономическому содержанию для налогоплательщиков были все-таки одной их форм налогов. При этом, учитывая высокие ставки этих взносов, они были одним из определяющих моментов сокрытия работодателями истинных размеров выплачиваемой работникам заработной платы и существования тем самым скрытых форм оплаты труда. Введение единого социального налога, взимаемого по регрессивной шкале, призвано стать серьезным стимулом для легализации реальных расходов организаций на оплату труда работников, и в конечном счете - расширить базу обложения налогом на доходы физических лиц.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Контроль за своевременностью и полнотой уплаты организациями и индивидуальными предпринимателями отчислений во внебюджетные фонды являлся функцией не налоговых органов, а созданных специально для этого органов государственных внебюджетных фондов. Это, с одной стороны, создавало определенные трудности для организаций и индивидуальных предпринимателей, поскольку они подвергались проверкам со стороны сразу пяти контролирующих органов. Вместе с тем, эффективность контроля за поступлением этих отчислений была достаточно низка. Это связано с тем, что органы государственных внебюджетных фондов, не имея в достаточной степени предоставленных налоговым органам прав, не сумели в полном объеме обеспечить постановку на учет юридических и физических лиц, являющихся по закону налогоплательщиками отчислений в фонды. Достаточно сказать, что количество стоящих на учете плательщиков взносов было примерно на четверть ниже, чем зарегистрированных в налоговых органах налогоплательщиков. С введением единого социального налога контроль за его исчислением и уплатой полностью переходит к налоговым органам.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Принципиальное значение имеет также и то обстоятельство, что с введением единого социального налога для всех налогоплательщиков — работодателей установлен единый порядок ис</w:t>
      </w:r>
      <w:r>
        <w:rPr>
          <w:rFonts w:ascii="Arial" w:hAnsi="Arial" w:cs="Arial"/>
          <w:snapToGrid w:val="0"/>
          <w:sz w:val="28"/>
          <w:szCs w:val="28"/>
        </w:rPr>
        <w:softHyphen/>
        <w:t>числения налоговой базы по платежам в социальные фонды, что, несомненно облегчит исчисление налога не только чисто техни</w:t>
      </w:r>
      <w:r>
        <w:rPr>
          <w:rFonts w:ascii="Arial" w:hAnsi="Arial" w:cs="Arial"/>
          <w:snapToGrid w:val="0"/>
          <w:sz w:val="28"/>
          <w:szCs w:val="28"/>
        </w:rPr>
        <w:softHyphen/>
        <w:t>чески, но и с позиций предотвращения ошибок в расчетах.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Единый социальный налог является одним из наиболее значимых как в формировании доходов государства, так и для финансового положения налогоплательщиков. Платежи по нему хоть и незначительно, но превысят поступления в бюджеты всех уровней самого круп</w:t>
      </w:r>
      <w:r>
        <w:rPr>
          <w:rFonts w:ascii="Arial" w:hAnsi="Arial" w:cs="Arial"/>
          <w:snapToGrid w:val="0"/>
          <w:sz w:val="28"/>
          <w:szCs w:val="28"/>
        </w:rPr>
        <w:softHyphen/>
        <w:t>ного налогового источника доходов консолидированного бюд</w:t>
      </w:r>
      <w:r>
        <w:rPr>
          <w:rFonts w:ascii="Arial" w:hAnsi="Arial" w:cs="Arial"/>
          <w:snapToGrid w:val="0"/>
          <w:sz w:val="28"/>
          <w:szCs w:val="28"/>
        </w:rPr>
        <w:softHyphen/>
        <w:t>жета страны — налога на добавленную стоимость.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spacing w:line="360" w:lineRule="auto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spacing w:line="360" w:lineRule="auto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2.2. Налогоплательщики единого социального налога.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Определение налогоплательщиков единого социального налога имеет особо важное значение, поскольку в отличие от большинства других видов налогов, входящих в российскую налоговую систему, ставки уплаты этого налога в значитель</w:t>
      </w:r>
      <w:r>
        <w:rPr>
          <w:rFonts w:ascii="Arial" w:hAnsi="Arial" w:cs="Arial"/>
          <w:snapToGrid w:val="0"/>
          <w:sz w:val="28"/>
          <w:szCs w:val="28"/>
        </w:rPr>
        <w:softHyphen/>
        <w:t>ной мере зависят от категорий налогоплательщиков.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первую очередь налогоплательщиками этого налога яв</w:t>
      </w:r>
      <w:r>
        <w:rPr>
          <w:rFonts w:ascii="Arial" w:hAnsi="Arial" w:cs="Arial"/>
          <w:snapToGrid w:val="0"/>
          <w:sz w:val="28"/>
          <w:szCs w:val="28"/>
        </w:rPr>
        <w:softHyphen/>
        <w:t>ляются работодатели, которые производят выплаты наемным работникам. В их число входят организации, индивидуаль</w:t>
      </w:r>
      <w:r>
        <w:rPr>
          <w:rFonts w:ascii="Arial" w:hAnsi="Arial" w:cs="Arial"/>
          <w:snapToGrid w:val="0"/>
          <w:sz w:val="28"/>
          <w:szCs w:val="28"/>
        </w:rPr>
        <w:softHyphen/>
        <w:t>ные предприниматели, родовые, семейные общины малочис</w:t>
      </w:r>
      <w:r>
        <w:rPr>
          <w:rFonts w:ascii="Arial" w:hAnsi="Arial" w:cs="Arial"/>
          <w:snapToGrid w:val="0"/>
          <w:sz w:val="28"/>
          <w:szCs w:val="28"/>
        </w:rPr>
        <w:softHyphen/>
        <w:t>ленных народов Севера, занимающиеся традиционными от</w:t>
      </w:r>
      <w:r>
        <w:rPr>
          <w:rFonts w:ascii="Arial" w:hAnsi="Arial" w:cs="Arial"/>
          <w:snapToGrid w:val="0"/>
          <w:sz w:val="28"/>
          <w:szCs w:val="28"/>
        </w:rPr>
        <w:softHyphen/>
        <w:t>раслями хозяйствования; крестьянские (фермерские) хозяй</w:t>
      </w:r>
      <w:r>
        <w:rPr>
          <w:rFonts w:ascii="Arial" w:hAnsi="Arial" w:cs="Arial"/>
          <w:snapToGrid w:val="0"/>
          <w:sz w:val="28"/>
          <w:szCs w:val="28"/>
        </w:rPr>
        <w:softHyphen/>
        <w:t>ства, а также физические лица. В дальнейшем эту группу будем именовать как налогоплательщики — работодатели.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Ко второй категории относятся индивидуальные предпри</w:t>
      </w:r>
      <w:r>
        <w:rPr>
          <w:rFonts w:ascii="Arial" w:hAnsi="Arial" w:cs="Arial"/>
          <w:snapToGrid w:val="0"/>
          <w:sz w:val="28"/>
          <w:szCs w:val="28"/>
        </w:rPr>
        <w:softHyphen/>
        <w:t>ниматели, родовые, семейные общины малочисленных наро</w:t>
      </w:r>
      <w:r>
        <w:rPr>
          <w:rFonts w:ascii="Arial" w:hAnsi="Arial" w:cs="Arial"/>
          <w:snapToGrid w:val="0"/>
          <w:sz w:val="28"/>
          <w:szCs w:val="28"/>
        </w:rPr>
        <w:softHyphen/>
        <w:t>дов Севера, занимающиеся традиционными отраслями хозяй</w:t>
      </w:r>
      <w:r>
        <w:rPr>
          <w:rFonts w:ascii="Arial" w:hAnsi="Arial" w:cs="Arial"/>
          <w:snapToGrid w:val="0"/>
          <w:sz w:val="28"/>
          <w:szCs w:val="28"/>
        </w:rPr>
        <w:softHyphen/>
        <w:t>ствования, крестьянские (фермерские) хозяйства, а также ад</w:t>
      </w:r>
      <w:r>
        <w:rPr>
          <w:rFonts w:ascii="Arial" w:hAnsi="Arial" w:cs="Arial"/>
          <w:snapToGrid w:val="0"/>
          <w:sz w:val="28"/>
          <w:szCs w:val="28"/>
        </w:rPr>
        <w:softHyphen/>
        <w:t>вокаты. В отличие от первой группы, входящие во вторую группу налогоплательщики выступают таковыми как инди</w:t>
      </w:r>
      <w:r>
        <w:rPr>
          <w:rFonts w:ascii="Arial" w:hAnsi="Arial" w:cs="Arial"/>
          <w:snapToGrid w:val="0"/>
          <w:sz w:val="28"/>
          <w:szCs w:val="28"/>
        </w:rPr>
        <w:softHyphen/>
        <w:t>видуальные получатели доходов от предпринимательской или другой профессиональной деятельности. В дальнейшем их будем именовать как налогоплательщики — предприниматели.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На практике нередки случаи, когда один и тот же налого</w:t>
      </w:r>
      <w:r>
        <w:rPr>
          <w:rFonts w:ascii="Arial" w:hAnsi="Arial" w:cs="Arial"/>
          <w:snapToGrid w:val="0"/>
          <w:sz w:val="28"/>
          <w:szCs w:val="28"/>
        </w:rPr>
        <w:softHyphen/>
        <w:t>плательщик одновременно может относиться к нескольким категориям налогоплательщиков. В этом случае он является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отдельным налогоплательщиком по каждому отдельно взято</w:t>
      </w:r>
      <w:r>
        <w:rPr>
          <w:rFonts w:ascii="Arial" w:hAnsi="Arial" w:cs="Arial"/>
          <w:snapToGrid w:val="0"/>
          <w:sz w:val="28"/>
          <w:szCs w:val="28"/>
        </w:rPr>
        <w:softHyphen/>
        <w:t>му основанию.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Одновременно с этим организации и индивидуальные пред</w:t>
      </w:r>
      <w:r>
        <w:rPr>
          <w:rFonts w:ascii="Arial" w:hAnsi="Arial" w:cs="Arial"/>
          <w:snapToGrid w:val="0"/>
          <w:sz w:val="28"/>
          <w:szCs w:val="28"/>
        </w:rPr>
        <w:softHyphen/>
        <w:t>приниматели, переведенные в соответствии с действующим за</w:t>
      </w:r>
      <w:r>
        <w:rPr>
          <w:rFonts w:ascii="Arial" w:hAnsi="Arial" w:cs="Arial"/>
          <w:snapToGrid w:val="0"/>
          <w:sz w:val="28"/>
          <w:szCs w:val="28"/>
        </w:rPr>
        <w:softHyphen/>
        <w:t>конодательством на уплату налога на вмененный доход для определенных видов деятельности, не являются налогоплатель</w:t>
      </w:r>
      <w:r>
        <w:rPr>
          <w:rFonts w:ascii="Arial" w:hAnsi="Arial" w:cs="Arial"/>
          <w:snapToGrid w:val="0"/>
          <w:sz w:val="28"/>
          <w:szCs w:val="28"/>
        </w:rPr>
        <w:softHyphen/>
        <w:t>щиками единого социального налога в части доходов, которые они получают от осуществления этих видов деятельности.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Объект налогообложения для исчисления единого соци</w:t>
      </w:r>
      <w:r>
        <w:rPr>
          <w:rFonts w:ascii="Arial" w:hAnsi="Arial" w:cs="Arial"/>
          <w:snapToGrid w:val="0"/>
          <w:sz w:val="28"/>
          <w:szCs w:val="28"/>
        </w:rPr>
        <w:softHyphen/>
        <w:t>ального налога зависит от того, к какой группе принадлежат налогоплательщики.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налогоплательщиков - работодателей объектом налого</w:t>
      </w:r>
      <w:r>
        <w:rPr>
          <w:rFonts w:ascii="Arial" w:hAnsi="Arial" w:cs="Arial"/>
          <w:snapToGrid w:val="0"/>
          <w:sz w:val="28"/>
          <w:szCs w:val="28"/>
        </w:rPr>
        <w:softHyphen/>
        <w:t>обложения определены начисляемые им выплаты, вознаграж</w:t>
      </w:r>
      <w:r>
        <w:rPr>
          <w:rFonts w:ascii="Arial" w:hAnsi="Arial" w:cs="Arial"/>
          <w:snapToGrid w:val="0"/>
          <w:sz w:val="28"/>
          <w:szCs w:val="28"/>
        </w:rPr>
        <w:softHyphen/>
        <w:t>дения и другие доходы, в том числе вознаграждения по дого</w:t>
      </w:r>
      <w:r>
        <w:rPr>
          <w:rFonts w:ascii="Arial" w:hAnsi="Arial" w:cs="Arial"/>
          <w:snapToGrid w:val="0"/>
          <w:sz w:val="28"/>
          <w:szCs w:val="28"/>
        </w:rPr>
        <w:softHyphen/>
        <w:t>ворам гражданско-правового характера, связанные с выпол</w:t>
      </w:r>
      <w:r>
        <w:rPr>
          <w:rFonts w:ascii="Arial" w:hAnsi="Arial" w:cs="Arial"/>
          <w:snapToGrid w:val="0"/>
          <w:sz w:val="28"/>
          <w:szCs w:val="28"/>
        </w:rPr>
        <w:softHyphen/>
        <w:t>нением работ или оказанием услуг, и по авторским и лицен</w:t>
      </w:r>
      <w:r>
        <w:rPr>
          <w:rFonts w:ascii="Arial" w:hAnsi="Arial" w:cs="Arial"/>
          <w:snapToGrid w:val="0"/>
          <w:sz w:val="28"/>
          <w:szCs w:val="28"/>
        </w:rPr>
        <w:softHyphen/>
        <w:t>зионным договорам, а также выплаты в виде материальной помощи и иные безвозмездные выплаты. Исключение в этой группе сделано лишь для налогоплательщиков — физических лиц, производящих в отдельных случаях выплаты в пользу других физических лиц. Не являются в частности объектом обложения выплаты, если они оформлены с налогоплатель</w:t>
      </w:r>
      <w:r>
        <w:rPr>
          <w:rFonts w:ascii="Arial" w:hAnsi="Arial" w:cs="Arial"/>
          <w:snapToGrid w:val="0"/>
          <w:sz w:val="28"/>
          <w:szCs w:val="28"/>
        </w:rPr>
        <w:softHyphen/>
        <w:t>щиком трудовым договором либо договором гражданско-пра</w:t>
      </w:r>
      <w:r>
        <w:rPr>
          <w:rFonts w:ascii="Arial" w:hAnsi="Arial" w:cs="Arial"/>
          <w:snapToGrid w:val="0"/>
          <w:sz w:val="28"/>
          <w:szCs w:val="28"/>
        </w:rPr>
        <w:softHyphen/>
        <w:t>вового характера, предметом которого является выполнение работ или оказание услуг, авторским или лицензионным до</w:t>
      </w:r>
      <w:r>
        <w:rPr>
          <w:rFonts w:ascii="Arial" w:hAnsi="Arial" w:cs="Arial"/>
          <w:snapToGrid w:val="0"/>
          <w:sz w:val="28"/>
          <w:szCs w:val="28"/>
        </w:rPr>
        <w:softHyphen/>
        <w:t>говором. Вместе с тем все перечисленные выше выплаты, до</w:t>
      </w:r>
      <w:r>
        <w:rPr>
          <w:rFonts w:ascii="Arial" w:hAnsi="Arial" w:cs="Arial"/>
          <w:snapToGrid w:val="0"/>
          <w:sz w:val="28"/>
          <w:szCs w:val="28"/>
        </w:rPr>
        <w:softHyphen/>
        <w:t>ходы и вознаграждения могут и не являться объектом налого</w:t>
      </w:r>
      <w:r>
        <w:rPr>
          <w:rFonts w:ascii="Arial" w:hAnsi="Arial" w:cs="Arial"/>
          <w:snapToGrid w:val="0"/>
          <w:sz w:val="28"/>
          <w:szCs w:val="28"/>
        </w:rPr>
        <w:softHyphen/>
        <w:t>обложения, если они произведены из прибыли, остающейся в распоряжении организации.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Кроме того, установлено еще одно исключение из пра</w:t>
      </w:r>
      <w:r>
        <w:rPr>
          <w:rFonts w:ascii="Arial" w:hAnsi="Arial" w:cs="Arial"/>
          <w:snapToGrid w:val="0"/>
          <w:sz w:val="28"/>
          <w:szCs w:val="28"/>
        </w:rPr>
        <w:softHyphen/>
        <w:t>вил. Выплаты в виде материальной помощи, другие безвоз</w:t>
      </w:r>
      <w:r>
        <w:rPr>
          <w:rFonts w:ascii="Arial" w:hAnsi="Arial" w:cs="Arial"/>
          <w:snapToGrid w:val="0"/>
          <w:sz w:val="28"/>
          <w:szCs w:val="28"/>
        </w:rPr>
        <w:softHyphen/>
        <w:t>мездные выплаты, выплаты в натуральной форме, произво</w:t>
      </w:r>
      <w:r>
        <w:rPr>
          <w:rFonts w:ascii="Arial" w:hAnsi="Arial" w:cs="Arial"/>
          <w:snapToGrid w:val="0"/>
          <w:sz w:val="28"/>
          <w:szCs w:val="28"/>
        </w:rPr>
        <w:softHyphen/>
        <w:t>димые сельскохозяйственной продукцией или товарами для детей, становятся объектом налогообложения только лишь в части сумм, превышающих 1 000 руб. в расчете на календар</w:t>
      </w:r>
      <w:r>
        <w:rPr>
          <w:rFonts w:ascii="Arial" w:hAnsi="Arial" w:cs="Arial"/>
          <w:snapToGrid w:val="0"/>
          <w:sz w:val="28"/>
          <w:szCs w:val="28"/>
        </w:rPr>
        <w:softHyphen/>
        <w:t>ный месяц.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2.3. Объект обложения налога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Объектом обложения для налогоплательщиков — предпри</w:t>
      </w:r>
      <w:r>
        <w:rPr>
          <w:rFonts w:ascii="Arial" w:hAnsi="Arial" w:cs="Arial"/>
          <w:snapToGrid w:val="0"/>
          <w:sz w:val="28"/>
          <w:szCs w:val="28"/>
        </w:rPr>
        <w:softHyphen/>
        <w:t>нимателей являются доходы от предпринимательской или дру</w:t>
      </w:r>
      <w:r>
        <w:rPr>
          <w:rFonts w:ascii="Arial" w:hAnsi="Arial" w:cs="Arial"/>
          <w:snapToGrid w:val="0"/>
          <w:sz w:val="28"/>
          <w:szCs w:val="28"/>
        </w:rPr>
        <w:softHyphen/>
        <w:t>гой профессиональной деятельности за вычетом расходов, свя</w:t>
      </w:r>
      <w:r>
        <w:rPr>
          <w:rFonts w:ascii="Arial" w:hAnsi="Arial" w:cs="Arial"/>
          <w:snapToGrid w:val="0"/>
          <w:sz w:val="28"/>
          <w:szCs w:val="28"/>
        </w:rPr>
        <w:softHyphen/>
        <w:t>занных с их извлечением. Для индивидуальных предприни</w:t>
      </w:r>
      <w:r>
        <w:rPr>
          <w:rFonts w:ascii="Arial" w:hAnsi="Arial" w:cs="Arial"/>
          <w:snapToGrid w:val="0"/>
          <w:sz w:val="28"/>
          <w:szCs w:val="28"/>
        </w:rPr>
        <w:softHyphen/>
        <w:t>мателей, применяющих установленную законом упрощенную систему налогообложения, объект обложения представляет со</w:t>
      </w:r>
      <w:r>
        <w:rPr>
          <w:rFonts w:ascii="Arial" w:hAnsi="Arial" w:cs="Arial"/>
          <w:snapToGrid w:val="0"/>
          <w:sz w:val="28"/>
          <w:szCs w:val="28"/>
        </w:rPr>
        <w:softHyphen/>
        <w:t>бой доход, определяемый исходя из стоимости патента.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Исходя из установленного законодательством объекта обло</w:t>
      </w:r>
      <w:r>
        <w:rPr>
          <w:rFonts w:ascii="Arial" w:hAnsi="Arial" w:cs="Arial"/>
          <w:snapToGrid w:val="0"/>
          <w:sz w:val="28"/>
          <w:szCs w:val="28"/>
        </w:rPr>
        <w:softHyphen/>
        <w:t>жения, соответственно определяется и налоговая база. Для нало</w:t>
      </w:r>
      <w:r>
        <w:rPr>
          <w:rFonts w:ascii="Arial" w:hAnsi="Arial" w:cs="Arial"/>
          <w:snapToGrid w:val="0"/>
          <w:sz w:val="28"/>
          <w:szCs w:val="28"/>
        </w:rPr>
        <w:softHyphen/>
        <w:t>гоплательщиков - работодателей, которые выплачивают вознаг</w:t>
      </w:r>
      <w:r>
        <w:rPr>
          <w:rFonts w:ascii="Arial" w:hAnsi="Arial" w:cs="Arial"/>
          <w:snapToGrid w:val="0"/>
          <w:sz w:val="28"/>
          <w:szCs w:val="28"/>
        </w:rPr>
        <w:softHyphen/>
        <w:t>раждения или по трудовому договору, или по договорам граж</w:t>
      </w:r>
      <w:r>
        <w:rPr>
          <w:rFonts w:ascii="Arial" w:hAnsi="Arial" w:cs="Arial"/>
          <w:snapToGrid w:val="0"/>
          <w:sz w:val="28"/>
          <w:szCs w:val="28"/>
        </w:rPr>
        <w:softHyphen/>
        <w:t>данско-правового характера за выполнение работ или оказание услуг, а также по авторским и лицензионным договорам, она определяется как сумма доходов, являющихся объектом обло</w:t>
      </w:r>
      <w:r>
        <w:rPr>
          <w:rFonts w:ascii="Arial" w:hAnsi="Arial" w:cs="Arial"/>
          <w:snapToGrid w:val="0"/>
          <w:sz w:val="28"/>
          <w:szCs w:val="28"/>
        </w:rPr>
        <w:softHyphen/>
        <w:t>жения, начисленных работодателями за налоговый период в пользу работников. При этом следует подчеркнуть, что по данному налогу налоговый период определен в один календарный год.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определении налоговой базы учитываются любые до</w:t>
      </w:r>
      <w:r>
        <w:rPr>
          <w:rFonts w:ascii="Arial" w:hAnsi="Arial" w:cs="Arial"/>
          <w:snapToGrid w:val="0"/>
          <w:sz w:val="28"/>
          <w:szCs w:val="28"/>
        </w:rPr>
        <w:softHyphen/>
        <w:t>ходы, начисленные работодателями работникам в денежной или натуральной форме, в виде предоставленных работникам мате</w:t>
      </w:r>
      <w:r>
        <w:rPr>
          <w:rFonts w:ascii="Arial" w:hAnsi="Arial" w:cs="Arial"/>
          <w:snapToGrid w:val="0"/>
          <w:sz w:val="28"/>
          <w:szCs w:val="28"/>
        </w:rPr>
        <w:softHyphen/>
        <w:t>риальных, социальных или других благ или в виде иной мате</w:t>
      </w:r>
      <w:r>
        <w:rPr>
          <w:rFonts w:ascii="Arial" w:hAnsi="Arial" w:cs="Arial"/>
          <w:snapToGrid w:val="0"/>
          <w:sz w:val="28"/>
          <w:szCs w:val="28"/>
        </w:rPr>
        <w:softHyphen/>
        <w:t>риальной выгоды, за исключением не подлежащих обложению доходов, перечень которых будет рассмотрен отдельно.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отличие от ранее существовавшего порядка отчислений во внебюджетные фонды, налогоплательщики — работодатели при исчислении единого социального налога должны опреде</w:t>
      </w:r>
      <w:r>
        <w:rPr>
          <w:rFonts w:ascii="Arial" w:hAnsi="Arial" w:cs="Arial"/>
          <w:sz w:val="28"/>
          <w:szCs w:val="28"/>
        </w:rPr>
        <w:softHyphen/>
        <w:t>лять налоговую базу отдельно по каждому работнику в тече</w:t>
      </w:r>
      <w:r>
        <w:rPr>
          <w:rFonts w:ascii="Arial" w:hAnsi="Arial" w:cs="Arial"/>
          <w:sz w:val="28"/>
          <w:szCs w:val="28"/>
        </w:rPr>
        <w:softHyphen/>
        <w:t>ние всего налогового периода с начала налогового периода по истечении каждого месяца нарастающим итогом. При этом следует подчеркнуть, что при определении налоговой базы не должны учитываться доходы, полученные работниками от других работодателей.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этом случае возникает вопрос, как быть в том случае, когда работник получает налогооблагаемые доходы от несколь</w:t>
      </w:r>
      <w:r>
        <w:rPr>
          <w:rFonts w:ascii="Arial" w:hAnsi="Arial" w:cs="Arial"/>
          <w:snapToGrid w:val="0"/>
          <w:sz w:val="28"/>
          <w:szCs w:val="28"/>
        </w:rPr>
        <w:softHyphen/>
        <w:t>ких работодателей и совокупная налоговая база, исчисленная по нескольким местам работы, по итогам за год подпадает под иную ставку единого социального налога? Законодатель</w:t>
      </w:r>
      <w:r>
        <w:rPr>
          <w:rFonts w:ascii="Arial" w:hAnsi="Arial" w:cs="Arial"/>
          <w:snapToGrid w:val="0"/>
          <w:sz w:val="28"/>
          <w:szCs w:val="28"/>
        </w:rPr>
        <w:softHyphen/>
        <w:t>ство дает четкий ответ на этот вопрос: в этом случае право на перерасчет не возникает и, естественно, не должен произво</w:t>
      </w:r>
      <w:r>
        <w:rPr>
          <w:rFonts w:ascii="Arial" w:hAnsi="Arial" w:cs="Arial"/>
          <w:snapToGrid w:val="0"/>
          <w:sz w:val="28"/>
          <w:szCs w:val="28"/>
        </w:rPr>
        <w:softHyphen/>
        <w:t>диться зачет или возврат излишне уплаченных сумм налога.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Налоговая база налогоплательщиков — предпринимателей определяется как сумма доходов, являющихся объектом обло</w:t>
      </w:r>
      <w:r>
        <w:rPr>
          <w:rFonts w:ascii="Arial" w:hAnsi="Arial" w:cs="Arial"/>
          <w:snapToGrid w:val="0"/>
          <w:sz w:val="28"/>
          <w:szCs w:val="28"/>
        </w:rPr>
        <w:softHyphen/>
        <w:t>жения, которые ими получены за налоговый период как в денежной, так и в натуральной форме от предпринимательс</w:t>
      </w:r>
      <w:r>
        <w:rPr>
          <w:rFonts w:ascii="Arial" w:hAnsi="Arial" w:cs="Arial"/>
          <w:snapToGrid w:val="0"/>
          <w:sz w:val="28"/>
          <w:szCs w:val="28"/>
        </w:rPr>
        <w:softHyphen/>
        <w:t>кой или другой профессиональной деятельности в России, за вычетом расходов, связанных с их извлечением.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Перечень, порядок применения и размеры этих вычетов полностью совпадают с перечнем, порядком и размером про</w:t>
      </w:r>
      <w:r>
        <w:rPr>
          <w:rFonts w:ascii="Arial" w:hAnsi="Arial" w:cs="Arial"/>
          <w:snapToGrid w:val="0"/>
          <w:sz w:val="28"/>
          <w:szCs w:val="28"/>
        </w:rPr>
        <w:softHyphen/>
        <w:t>фессиональных налоговых вычетов, осуществляемых при ис</w:t>
      </w:r>
      <w:r>
        <w:rPr>
          <w:rFonts w:ascii="Arial" w:hAnsi="Arial" w:cs="Arial"/>
          <w:snapToGrid w:val="0"/>
          <w:sz w:val="28"/>
          <w:szCs w:val="28"/>
        </w:rPr>
        <w:softHyphen/>
        <w:t>числении налога на доходы физических лиц.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Доходы, полученные работниками в натуральной форме в виде товаров, работ или услуг должны быть учтены в составе налогооблагаемых доходов в стоимостном выражении. Их сто</w:t>
      </w:r>
      <w:r>
        <w:rPr>
          <w:rFonts w:ascii="Arial" w:hAnsi="Arial" w:cs="Arial"/>
          <w:snapToGrid w:val="0"/>
          <w:sz w:val="28"/>
          <w:szCs w:val="28"/>
        </w:rPr>
        <w:softHyphen/>
        <w:t>имость определяется на день получения данных доходов исхо</w:t>
      </w:r>
      <w:r>
        <w:rPr>
          <w:rFonts w:ascii="Arial" w:hAnsi="Arial" w:cs="Arial"/>
          <w:snapToGrid w:val="0"/>
          <w:sz w:val="28"/>
          <w:szCs w:val="28"/>
        </w:rPr>
        <w:softHyphen/>
        <w:t>дя из их рыночных цен или тарифов, а при государственном регулировании цен или тарифов на эти товары, работы и услу</w:t>
      </w:r>
      <w:r>
        <w:rPr>
          <w:rFonts w:ascii="Arial" w:hAnsi="Arial" w:cs="Arial"/>
          <w:snapToGrid w:val="0"/>
          <w:sz w:val="28"/>
          <w:szCs w:val="28"/>
        </w:rPr>
        <w:softHyphen/>
        <w:t>ги — исходя из государственных регулируемых розничных цен.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этом в стоимость товаров, работ и услуг должна быть включена соответствующая сумма налога на добавленную сто</w:t>
      </w:r>
      <w:r>
        <w:rPr>
          <w:rFonts w:ascii="Arial" w:hAnsi="Arial" w:cs="Arial"/>
          <w:snapToGrid w:val="0"/>
          <w:sz w:val="28"/>
          <w:szCs w:val="28"/>
        </w:rPr>
        <w:softHyphen/>
        <w:t>имость, налога с продаж, а для подакцизных товаров — и соответствующая сумма акцизов.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составе облагаемых доходов должна также учитываться дополнительная материальная выгода, получаемая работника</w:t>
      </w:r>
      <w:r>
        <w:rPr>
          <w:rFonts w:ascii="Arial" w:hAnsi="Arial" w:cs="Arial"/>
          <w:snapToGrid w:val="0"/>
          <w:sz w:val="28"/>
          <w:szCs w:val="28"/>
        </w:rPr>
        <w:softHyphen/>
        <w:t>ми или членами их семей за счет работодателя.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 такой дополнительной материальной выгоде относится, в частности, дополнительная выгода от оплаты (полностью или частично) работодателем приобретаемых для работника или членов его семьи товаров, работ, услуг или прав, в том числе коммунальных услуг, питания, отдыха, обучения в ин</w:t>
      </w:r>
      <w:r>
        <w:rPr>
          <w:rFonts w:ascii="Arial" w:hAnsi="Arial" w:cs="Arial"/>
          <w:snapToGrid w:val="0"/>
          <w:sz w:val="28"/>
          <w:szCs w:val="28"/>
        </w:rPr>
        <w:softHyphen/>
        <w:t>тересах работника.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Включается в налоговую базу и дополнительная выгода от приобретения работником или членами его семьи у работодателя товаров, работ и услуг на условиях, более выгодных по сравнению с предоставляемыми в обычных условиях их продавцами, не являющимися взаимозависимыми с покупателями.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Материальная выгода в виде экономии на процентах при получении работником от работодателя заемных средств на льготных условиях также включается в налоговую базу. В этом случае в налоговую базу включается сумма превышения процентов за пользование заемными средствами в рублях, ис</w:t>
      </w:r>
      <w:r>
        <w:rPr>
          <w:rFonts w:ascii="Arial" w:hAnsi="Arial" w:cs="Arial"/>
          <w:snapToGrid w:val="0"/>
          <w:sz w:val="28"/>
          <w:szCs w:val="28"/>
        </w:rPr>
        <w:softHyphen/>
        <w:t>численная исходя из трех четвертых ставки рефинансирова</w:t>
      </w:r>
      <w:r>
        <w:rPr>
          <w:rFonts w:ascii="Arial" w:hAnsi="Arial" w:cs="Arial"/>
          <w:snapToGrid w:val="0"/>
          <w:sz w:val="28"/>
          <w:szCs w:val="28"/>
        </w:rPr>
        <w:softHyphen/>
        <w:t>ния Банка России, действующей на дату получения средств, над суммой процентов исходя из условий их получения от работодателя. Если ссуда получена в иностранной валюте, то доход определяется в виде разницы суммы процентов, исчис</w:t>
      </w:r>
      <w:r>
        <w:rPr>
          <w:rFonts w:ascii="Arial" w:hAnsi="Arial" w:cs="Arial"/>
          <w:snapToGrid w:val="0"/>
          <w:sz w:val="28"/>
          <w:szCs w:val="28"/>
        </w:rPr>
        <w:softHyphen/>
        <w:t>ленной из 9 % годовых, и суммы процентов исходя из усло</w:t>
      </w:r>
      <w:r>
        <w:rPr>
          <w:rFonts w:ascii="Arial" w:hAnsi="Arial" w:cs="Arial"/>
          <w:snapToGrid w:val="0"/>
          <w:sz w:val="28"/>
          <w:szCs w:val="28"/>
        </w:rPr>
        <w:softHyphen/>
        <w:t>вий получения заемных средств.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Подлежит налогообложению и, следовательно, должна включаться в налоговую базу материальная выгода, получае</w:t>
      </w:r>
      <w:r>
        <w:rPr>
          <w:rFonts w:ascii="Arial" w:hAnsi="Arial" w:cs="Arial"/>
          <w:snapToGrid w:val="0"/>
          <w:sz w:val="28"/>
          <w:szCs w:val="28"/>
        </w:rPr>
        <w:softHyphen/>
        <w:t>мая работником в виде суммы страховых взносов по догово</w:t>
      </w:r>
      <w:r>
        <w:rPr>
          <w:rFonts w:ascii="Arial" w:hAnsi="Arial" w:cs="Arial"/>
          <w:snapToGrid w:val="0"/>
          <w:sz w:val="28"/>
          <w:szCs w:val="28"/>
        </w:rPr>
        <w:softHyphen/>
        <w:t>рам добровольного страхования за исключением тех случаев, когда эти взносы осуществляются за счет средств, остающих</w:t>
      </w:r>
      <w:r>
        <w:rPr>
          <w:rFonts w:ascii="Arial" w:hAnsi="Arial" w:cs="Arial"/>
          <w:snapToGrid w:val="0"/>
          <w:sz w:val="28"/>
          <w:szCs w:val="28"/>
        </w:rPr>
        <w:softHyphen/>
        <w:t>ся в распоряжении организации после уплаты налога на дохо</w:t>
      </w:r>
      <w:r>
        <w:rPr>
          <w:rFonts w:ascii="Arial" w:hAnsi="Arial" w:cs="Arial"/>
          <w:snapToGrid w:val="0"/>
          <w:sz w:val="28"/>
          <w:szCs w:val="28"/>
        </w:rPr>
        <w:softHyphen/>
        <w:t>ды организаций в случаях, когда страховые взносы полнос</w:t>
      </w:r>
      <w:r>
        <w:rPr>
          <w:rFonts w:ascii="Arial" w:hAnsi="Arial" w:cs="Arial"/>
          <w:snapToGrid w:val="0"/>
          <w:sz w:val="28"/>
          <w:szCs w:val="28"/>
        </w:rPr>
        <w:softHyphen/>
        <w:t>тью или частично вносились за него работодателем.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должны включаться в облагаемый доход перечислен</w:t>
      </w:r>
      <w:r>
        <w:rPr>
          <w:rFonts w:ascii="Arial" w:hAnsi="Arial" w:cs="Arial"/>
          <w:snapToGrid w:val="0"/>
          <w:sz w:val="28"/>
          <w:szCs w:val="28"/>
        </w:rPr>
        <w:softHyphen/>
        <w:t>ные виды материальной выгоды лишь в том случае, если она образуется в результате получения услуг или сумм взамен этих услуг на основании законодательства Российской Феде</w:t>
      </w:r>
      <w:r>
        <w:rPr>
          <w:rFonts w:ascii="Arial" w:hAnsi="Arial" w:cs="Arial"/>
          <w:snapToGrid w:val="0"/>
          <w:sz w:val="28"/>
          <w:szCs w:val="28"/>
        </w:rPr>
        <w:softHyphen/>
        <w:t>рации, законодательства субъектов Российской Федерации или решений органов местного самоуправления.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Налоговые базы налогоплательщиков - работодателей и налогоплательщиков — предпринимателей в соответствии с налоговым Кодексом определяются независимо друг от друга.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Одновременно с этим. Налоговый кодекс России опреде</w:t>
      </w:r>
      <w:r>
        <w:rPr>
          <w:rFonts w:ascii="Arial" w:hAnsi="Arial" w:cs="Arial"/>
          <w:snapToGrid w:val="0"/>
          <w:sz w:val="28"/>
          <w:szCs w:val="28"/>
        </w:rPr>
        <w:softHyphen/>
        <w:t>лил широкий перечень доходов, которые не являются объек</w:t>
      </w:r>
      <w:r>
        <w:rPr>
          <w:rFonts w:ascii="Arial" w:hAnsi="Arial" w:cs="Arial"/>
          <w:snapToGrid w:val="0"/>
          <w:sz w:val="28"/>
          <w:szCs w:val="28"/>
        </w:rPr>
        <w:softHyphen/>
        <w:t>том обложения единым социальным налогом и соответствен</w:t>
      </w:r>
      <w:r>
        <w:rPr>
          <w:rFonts w:ascii="Arial" w:hAnsi="Arial" w:cs="Arial"/>
          <w:snapToGrid w:val="0"/>
          <w:sz w:val="28"/>
          <w:szCs w:val="28"/>
        </w:rPr>
        <w:softHyphen/>
        <w:t>но не подлежат налогообложению.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частности, не включаются в состав доходов, подлежащих налогообложению, государственные пособия, выплачиваемые в соответствии с российским законодательством, законодательными актами субъектов Федерации, решениями представительных органов местного самоуправления, в том числе по</w:t>
      </w:r>
      <w:r>
        <w:rPr>
          <w:rFonts w:ascii="Arial" w:hAnsi="Arial" w:cs="Arial"/>
          <w:snapToGrid w:val="0"/>
          <w:sz w:val="28"/>
          <w:szCs w:val="28"/>
        </w:rPr>
        <w:softHyphen/>
        <w:t>собия по временной нетрудоспособности, по уходу за боль</w:t>
      </w:r>
      <w:r>
        <w:rPr>
          <w:rFonts w:ascii="Arial" w:hAnsi="Arial" w:cs="Arial"/>
          <w:snapToGrid w:val="0"/>
          <w:sz w:val="28"/>
          <w:szCs w:val="28"/>
        </w:rPr>
        <w:softHyphen/>
        <w:t>ным ребенком, по безработице, беременности и родам.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включаются в налоговую базу большинство установ</w:t>
      </w:r>
      <w:r>
        <w:rPr>
          <w:rFonts w:ascii="Arial" w:hAnsi="Arial" w:cs="Arial"/>
          <w:snapToGrid w:val="0"/>
          <w:sz w:val="28"/>
          <w:szCs w:val="28"/>
        </w:rPr>
        <w:softHyphen/>
        <w:t>ленных федеральным законодательством, законодательными актами субъектов Федерации, решениями представительных органов местного самоуправления компенсационных выплат.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первую очередь это выплаты, связанные с возмещением вреда, причиненного увечьем или иным повреждением здоро</w:t>
      </w:r>
      <w:r>
        <w:rPr>
          <w:rFonts w:ascii="Arial" w:hAnsi="Arial" w:cs="Arial"/>
          <w:snapToGrid w:val="0"/>
          <w:sz w:val="28"/>
          <w:szCs w:val="28"/>
        </w:rPr>
        <w:softHyphen/>
        <w:t>вья, бесплатным предоставлением жилых помещений и ком</w:t>
      </w:r>
      <w:r>
        <w:rPr>
          <w:rFonts w:ascii="Arial" w:hAnsi="Arial" w:cs="Arial"/>
          <w:snapToGrid w:val="0"/>
          <w:sz w:val="28"/>
          <w:szCs w:val="28"/>
        </w:rPr>
        <w:softHyphen/>
        <w:t>мунальных услуг, оплатой стоимости или выдачей полагаю</w:t>
      </w:r>
      <w:r>
        <w:rPr>
          <w:rFonts w:ascii="Arial" w:hAnsi="Arial" w:cs="Arial"/>
          <w:snapToGrid w:val="0"/>
          <w:sz w:val="28"/>
          <w:szCs w:val="28"/>
        </w:rPr>
        <w:softHyphen/>
        <w:t>щегося натурального довольствия, а также выплатой денеж</w:t>
      </w:r>
      <w:r>
        <w:rPr>
          <w:rFonts w:ascii="Arial" w:hAnsi="Arial" w:cs="Arial"/>
          <w:snapToGrid w:val="0"/>
          <w:sz w:val="28"/>
          <w:szCs w:val="28"/>
        </w:rPr>
        <w:softHyphen/>
        <w:t>ных средств взамен этого довольствия. К указанным компен</w:t>
      </w:r>
      <w:r>
        <w:rPr>
          <w:rFonts w:ascii="Arial" w:hAnsi="Arial" w:cs="Arial"/>
          <w:snapToGrid w:val="0"/>
          <w:sz w:val="28"/>
          <w:szCs w:val="28"/>
        </w:rPr>
        <w:softHyphen/>
        <w:t>сационным выплатам относятся также оплата стоимости пи</w:t>
      </w:r>
      <w:r>
        <w:rPr>
          <w:rFonts w:ascii="Arial" w:hAnsi="Arial" w:cs="Arial"/>
          <w:snapToGrid w:val="0"/>
          <w:sz w:val="28"/>
          <w:szCs w:val="28"/>
        </w:rPr>
        <w:softHyphen/>
        <w:t>тания, спортивного снаряжения, оборудования, спортивной и парадной формы, получаемых спортсменами и работниками физкультурно-спортивных организаций для учебно-трениро</w:t>
      </w:r>
      <w:r>
        <w:rPr>
          <w:rFonts w:ascii="Arial" w:hAnsi="Arial" w:cs="Arial"/>
          <w:snapToGrid w:val="0"/>
          <w:sz w:val="28"/>
          <w:szCs w:val="28"/>
        </w:rPr>
        <w:softHyphen/>
        <w:t>вочного процесса и участия в спортивных соревнованиях.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являются объектом обложения и компенсационные вып</w:t>
      </w:r>
      <w:r>
        <w:rPr>
          <w:rFonts w:ascii="Arial" w:hAnsi="Arial" w:cs="Arial"/>
          <w:snapToGrid w:val="0"/>
          <w:sz w:val="28"/>
          <w:szCs w:val="28"/>
        </w:rPr>
        <w:softHyphen/>
        <w:t>латы, связанные с увольнением работников, включая компен</w:t>
      </w:r>
      <w:r>
        <w:rPr>
          <w:rFonts w:ascii="Arial" w:hAnsi="Arial" w:cs="Arial"/>
          <w:snapToGrid w:val="0"/>
          <w:sz w:val="28"/>
          <w:szCs w:val="28"/>
        </w:rPr>
        <w:softHyphen/>
        <w:t>сации за неиспользованный отпуск, их трудоустройством в свя</w:t>
      </w:r>
      <w:r>
        <w:rPr>
          <w:rFonts w:ascii="Arial" w:hAnsi="Arial" w:cs="Arial"/>
          <w:snapToGrid w:val="0"/>
          <w:sz w:val="28"/>
          <w:szCs w:val="28"/>
        </w:rPr>
        <w:softHyphen/>
        <w:t>зи с осуществлением мероприятий по сокращению численнос</w:t>
      </w:r>
      <w:r>
        <w:rPr>
          <w:rFonts w:ascii="Arial" w:hAnsi="Arial" w:cs="Arial"/>
          <w:snapToGrid w:val="0"/>
          <w:sz w:val="28"/>
          <w:szCs w:val="28"/>
        </w:rPr>
        <w:softHyphen/>
        <w:t>ти или штата, реорганизацией или ликвидацией организации.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подлежат включению в налоговую базу и компенсаци</w:t>
      </w:r>
      <w:r>
        <w:rPr>
          <w:rFonts w:ascii="Arial" w:hAnsi="Arial" w:cs="Arial"/>
          <w:snapToGrid w:val="0"/>
          <w:sz w:val="28"/>
          <w:szCs w:val="28"/>
        </w:rPr>
        <w:softHyphen/>
        <w:t>онные выплаты, связанные с выполнением работником тру</w:t>
      </w:r>
      <w:r>
        <w:rPr>
          <w:rFonts w:ascii="Arial" w:hAnsi="Arial" w:cs="Arial"/>
          <w:snapToGrid w:val="0"/>
          <w:sz w:val="28"/>
          <w:szCs w:val="28"/>
        </w:rPr>
        <w:softHyphen/>
        <w:t>довых обязанностей, в том числе переездом на работу в дру</w:t>
      </w:r>
      <w:r>
        <w:rPr>
          <w:rFonts w:ascii="Arial" w:hAnsi="Arial" w:cs="Arial"/>
          <w:snapToGrid w:val="0"/>
          <w:sz w:val="28"/>
          <w:szCs w:val="28"/>
        </w:rPr>
        <w:softHyphen/>
        <w:t>гую местность, возмещением командировочных и иных рас</w:t>
      </w:r>
      <w:r>
        <w:rPr>
          <w:rFonts w:ascii="Arial" w:hAnsi="Arial" w:cs="Arial"/>
          <w:snapToGrid w:val="0"/>
          <w:sz w:val="28"/>
          <w:szCs w:val="28"/>
        </w:rPr>
        <w:softHyphen/>
        <w:t>ходов, включая расходы на повышение профессионального уровня работников.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оплате работодателем расходов на командировки ра</w:t>
      </w:r>
      <w:r>
        <w:rPr>
          <w:rFonts w:ascii="Arial" w:hAnsi="Arial" w:cs="Arial"/>
          <w:snapToGrid w:val="0"/>
          <w:sz w:val="28"/>
          <w:szCs w:val="28"/>
        </w:rPr>
        <w:softHyphen/>
        <w:t>ботников как внутри страны, так и за ее пределы не подлежат налогообложению суточные в пределах норм, установленных федеральным законодательством Российской Федерации, а также фактически произведенные и документально подтвержденные целевые расходы на проезд до места назначения и обратно, сборы за услуги аэропортов, комиссионные сборы, расходы на проезд в аэропорт или на вокзал в местах отправления, на</w:t>
      </w:r>
      <w:r>
        <w:rPr>
          <w:rFonts w:ascii="Arial" w:hAnsi="Arial" w:cs="Arial"/>
          <w:snapToGrid w:val="0"/>
          <w:sz w:val="28"/>
          <w:szCs w:val="28"/>
        </w:rPr>
        <w:softHyphen/>
        <w:t>значения или пересадок, на провоз багажа, расходы по най</w:t>
      </w:r>
      <w:r>
        <w:rPr>
          <w:rFonts w:ascii="Arial" w:hAnsi="Arial" w:cs="Arial"/>
          <w:snapToGrid w:val="0"/>
          <w:sz w:val="28"/>
          <w:szCs w:val="28"/>
        </w:rPr>
        <w:softHyphen/>
        <w:t>му жилого помещения, расходы на оплату услуг связи, сбо</w:t>
      </w:r>
      <w:r>
        <w:rPr>
          <w:rFonts w:ascii="Arial" w:hAnsi="Arial" w:cs="Arial"/>
          <w:snapToGrid w:val="0"/>
          <w:sz w:val="28"/>
          <w:szCs w:val="28"/>
        </w:rPr>
        <w:softHyphen/>
        <w:t>ры за получение и регистрацию служебного заграничного паспорта, сборы за получение виз, а также расходы на обмен наличной валюты или чека в банке на наличную иностран</w:t>
      </w:r>
      <w:r>
        <w:rPr>
          <w:rFonts w:ascii="Arial" w:hAnsi="Arial" w:cs="Arial"/>
          <w:snapToGrid w:val="0"/>
          <w:sz w:val="28"/>
          <w:szCs w:val="28"/>
        </w:rPr>
        <w:softHyphen/>
        <w:t>ную валюту. При непредставлении документов, подтвержда</w:t>
      </w:r>
      <w:r>
        <w:rPr>
          <w:rFonts w:ascii="Arial" w:hAnsi="Arial" w:cs="Arial"/>
          <w:snapToGrid w:val="0"/>
          <w:sz w:val="28"/>
          <w:szCs w:val="28"/>
        </w:rPr>
        <w:softHyphen/>
        <w:t>ющих оплату расходов по найму жилого помещения, суммы такой оплаты освобождаются от налогообложения в преде</w:t>
      </w:r>
      <w:r>
        <w:rPr>
          <w:rFonts w:ascii="Arial" w:hAnsi="Arial" w:cs="Arial"/>
          <w:snapToGrid w:val="0"/>
          <w:sz w:val="28"/>
          <w:szCs w:val="28"/>
        </w:rPr>
        <w:softHyphen/>
        <w:t>лах норм, установленных в соответствии с федеральным законодательством.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Все эти выплаты не включаются в налоговую базу в пре</w:t>
      </w:r>
      <w:r>
        <w:rPr>
          <w:rFonts w:ascii="Arial" w:hAnsi="Arial" w:cs="Arial"/>
          <w:snapToGrid w:val="0"/>
          <w:sz w:val="28"/>
          <w:szCs w:val="28"/>
        </w:rPr>
        <w:softHyphen/>
        <w:t>делах норм, установленных в соответствии с законодатель</w:t>
      </w:r>
      <w:r>
        <w:rPr>
          <w:rFonts w:ascii="Arial" w:hAnsi="Arial" w:cs="Arial"/>
          <w:snapToGrid w:val="0"/>
          <w:sz w:val="28"/>
          <w:szCs w:val="28"/>
        </w:rPr>
        <w:softHyphen/>
        <w:t>ством Российской Федерации.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включаются в налоговую базу суммы единовременной материальной помощи, оказываемой работодателями в следу</w:t>
      </w:r>
      <w:r>
        <w:rPr>
          <w:rFonts w:ascii="Arial" w:hAnsi="Arial" w:cs="Arial"/>
          <w:snapToGrid w:val="0"/>
          <w:sz w:val="28"/>
          <w:szCs w:val="28"/>
        </w:rPr>
        <w:softHyphen/>
        <w:t>ющих случаях.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Материальная помощь работникам в связи со стихийным бедствием или другим чрезвычайным обстоятельством в це</w:t>
      </w:r>
      <w:r>
        <w:rPr>
          <w:rFonts w:ascii="Arial" w:hAnsi="Arial" w:cs="Arial"/>
          <w:snapToGrid w:val="0"/>
          <w:sz w:val="28"/>
          <w:szCs w:val="28"/>
        </w:rPr>
        <w:softHyphen/>
        <w:t>лях возмещения причиненного им материального ущерба или вреда их здоровью не подпадает под обложение только в том случае, если она оказана на основании решений органов зако</w:t>
      </w:r>
      <w:r>
        <w:rPr>
          <w:rFonts w:ascii="Arial" w:hAnsi="Arial" w:cs="Arial"/>
          <w:snapToGrid w:val="0"/>
          <w:sz w:val="28"/>
          <w:szCs w:val="28"/>
        </w:rPr>
        <w:softHyphen/>
        <w:t>нодательной или исполнительной власти, решений предста</w:t>
      </w:r>
      <w:r>
        <w:rPr>
          <w:rFonts w:ascii="Arial" w:hAnsi="Arial" w:cs="Arial"/>
          <w:snapToGrid w:val="0"/>
          <w:sz w:val="28"/>
          <w:szCs w:val="28"/>
        </w:rPr>
        <w:softHyphen/>
        <w:t>вительных органов местного самоуправления.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подлежит обложению единовременная материальная помощь, оказанная работодателем членам семьи умершего ра</w:t>
      </w:r>
      <w:r>
        <w:rPr>
          <w:rFonts w:ascii="Arial" w:hAnsi="Arial" w:cs="Arial"/>
          <w:snapToGrid w:val="0"/>
          <w:sz w:val="28"/>
          <w:szCs w:val="28"/>
        </w:rPr>
        <w:softHyphen/>
        <w:t>ботника или наемным работникам в связи со смертью членов семьи, а также оказанная работникам, пострадавшим от тер</w:t>
      </w:r>
      <w:r>
        <w:rPr>
          <w:rFonts w:ascii="Arial" w:hAnsi="Arial" w:cs="Arial"/>
          <w:snapToGrid w:val="0"/>
          <w:sz w:val="28"/>
          <w:szCs w:val="28"/>
        </w:rPr>
        <w:softHyphen/>
        <w:t>рористических актов на российской территории.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Суммы материальной помощи, оказываемой работодателя</w:t>
      </w:r>
      <w:r>
        <w:rPr>
          <w:rFonts w:ascii="Arial" w:hAnsi="Arial" w:cs="Arial"/>
          <w:snapToGrid w:val="0"/>
          <w:sz w:val="28"/>
          <w:szCs w:val="28"/>
        </w:rPr>
        <w:softHyphen/>
        <w:t>ми своим работникам, а также бывшим своим работникам, уволившимся в связи с выходом на пенсию по инвалидности или по возрасту, не включаются в налоговую базу, если они не превышают в налоговом периоде 2000 руб.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налоговую базу не включаются суммы полной или час</w:t>
      </w:r>
      <w:r>
        <w:rPr>
          <w:rFonts w:ascii="Arial" w:hAnsi="Arial" w:cs="Arial"/>
          <w:snapToGrid w:val="0"/>
          <w:sz w:val="28"/>
          <w:szCs w:val="28"/>
        </w:rPr>
        <w:softHyphen/>
        <w:t>тичной компенсации стоимости путевок (за исключением ту</w:t>
      </w:r>
      <w:r>
        <w:rPr>
          <w:rFonts w:ascii="Arial" w:hAnsi="Arial" w:cs="Arial"/>
          <w:snapToGrid w:val="0"/>
          <w:sz w:val="28"/>
          <w:szCs w:val="28"/>
        </w:rPr>
        <w:softHyphen/>
        <w:t>ристических) в расположенные на российской территории санаторно-курортные и оздоровительные учреждения, выпла</w:t>
      </w:r>
      <w:r>
        <w:rPr>
          <w:rFonts w:ascii="Arial" w:hAnsi="Arial" w:cs="Arial"/>
          <w:snapToGrid w:val="0"/>
          <w:sz w:val="28"/>
          <w:szCs w:val="28"/>
        </w:rPr>
        <w:softHyphen/>
        <w:t>чиваемые работодателями своим работникам или членам их семей, за счет средств, оставшихся в их распоряжении после уплаты налога на доходы организаций.</w:t>
      </w:r>
    </w:p>
    <w:p w:rsidR="003E595B" w:rsidRDefault="003E595B">
      <w:pPr>
        <w:pStyle w:val="21"/>
        <w:ind w:firstLine="567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Суммы, уплаченные работодателями из средств, оставших</w:t>
      </w:r>
      <w:r>
        <w:rPr>
          <w:rFonts w:ascii="Arial" w:hAnsi="Arial" w:cs="Arial"/>
          <w:color w:val="auto"/>
          <w:sz w:val="28"/>
          <w:szCs w:val="28"/>
        </w:rPr>
        <w:softHyphen/>
        <w:t>ся в их распоряжении после уплаты налога на доходы органи</w:t>
      </w:r>
      <w:r>
        <w:rPr>
          <w:rFonts w:ascii="Arial" w:hAnsi="Arial" w:cs="Arial"/>
          <w:color w:val="auto"/>
          <w:sz w:val="28"/>
          <w:szCs w:val="28"/>
        </w:rPr>
        <w:softHyphen/>
        <w:t>заций, за лечение и медицинское обслуживание работников, их супругов, родителей или детей, при наличии у медицинс</w:t>
      </w:r>
      <w:r>
        <w:rPr>
          <w:rFonts w:ascii="Arial" w:hAnsi="Arial" w:cs="Arial"/>
          <w:color w:val="auto"/>
          <w:sz w:val="28"/>
          <w:szCs w:val="28"/>
        </w:rPr>
        <w:softHyphen/>
        <w:t>ких учреждений соответствующих лицензий, а также при на</w:t>
      </w:r>
      <w:r>
        <w:rPr>
          <w:rFonts w:ascii="Arial" w:hAnsi="Arial" w:cs="Arial"/>
          <w:color w:val="auto"/>
          <w:sz w:val="28"/>
          <w:szCs w:val="28"/>
        </w:rPr>
        <w:softHyphen/>
        <w:t>личии документов, подтверждающих фактические расходы на лечение и медицинское обслуживание также не подпадают под налогообложение.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этом следует иметь в виду, что указанные средства освобождаются от налогообложения не только в случае без</w:t>
      </w:r>
      <w:r>
        <w:rPr>
          <w:rFonts w:ascii="Arial" w:hAnsi="Arial" w:cs="Arial"/>
          <w:snapToGrid w:val="0"/>
          <w:sz w:val="28"/>
          <w:szCs w:val="28"/>
        </w:rPr>
        <w:softHyphen/>
        <w:t>наличной оплаты работодателями медицинским учреждени</w:t>
      </w:r>
      <w:r>
        <w:rPr>
          <w:rFonts w:ascii="Arial" w:hAnsi="Arial" w:cs="Arial"/>
          <w:snapToGrid w:val="0"/>
          <w:sz w:val="28"/>
          <w:szCs w:val="28"/>
        </w:rPr>
        <w:softHyphen/>
        <w:t>ям этих расходов, но и при выдаче денежных средств на эти цели непосредственно работнику или членам его семьи, а также при зачислении предназначенных на указанные цели средств на счета работников или членов их семей в учрежде</w:t>
      </w:r>
      <w:r>
        <w:rPr>
          <w:rFonts w:ascii="Arial" w:hAnsi="Arial" w:cs="Arial"/>
          <w:snapToGrid w:val="0"/>
          <w:sz w:val="28"/>
          <w:szCs w:val="28"/>
        </w:rPr>
        <w:softHyphen/>
        <w:t>ниях банков.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являются объектом обложения и не включаются в свя</w:t>
      </w:r>
      <w:r>
        <w:rPr>
          <w:rFonts w:ascii="Arial" w:hAnsi="Arial" w:cs="Arial"/>
          <w:snapToGrid w:val="0"/>
          <w:sz w:val="28"/>
          <w:szCs w:val="28"/>
        </w:rPr>
        <w:softHyphen/>
        <w:t>зи с этим в налоговую базу доходы членов крестьянского (фермерского) хозяйства, получаемые в этом хозяйстве от про</w:t>
      </w:r>
      <w:r>
        <w:rPr>
          <w:rFonts w:ascii="Arial" w:hAnsi="Arial" w:cs="Arial"/>
          <w:snapToGrid w:val="0"/>
          <w:sz w:val="28"/>
          <w:szCs w:val="28"/>
        </w:rPr>
        <w:softHyphen/>
        <w:t>изводства и реализации сельскохозяйственной продукции, а также от производства сельскохозяйственной продукции, ее переработки и реализации.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Освобождение применяется в течение пяти лет, начиная с года регистрации хозяйства, и только в отношении доходов тех членов этого хозяйства, которые ранее не пользовались такой нормой, как члены другого подобного хозяйства.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подлежат налогообложению суммы страховых платежей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или взносов по обязательному страхованию, осуществляемому в установленном федеральным законодательством порядке.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Оплата расходов на содержание детей своих работников в детских дошкольных учреждениях и оздоровительных лаге</w:t>
      </w:r>
      <w:r>
        <w:rPr>
          <w:rFonts w:ascii="Arial" w:hAnsi="Arial" w:cs="Arial"/>
          <w:snapToGrid w:val="0"/>
          <w:sz w:val="28"/>
          <w:szCs w:val="28"/>
        </w:rPr>
        <w:softHyphen/>
        <w:t>рях, являющихся российскими юридическими лицами, и ла</w:t>
      </w:r>
      <w:r>
        <w:rPr>
          <w:rFonts w:ascii="Arial" w:hAnsi="Arial" w:cs="Arial"/>
          <w:snapToGrid w:val="0"/>
          <w:sz w:val="28"/>
          <w:szCs w:val="28"/>
        </w:rPr>
        <w:softHyphen/>
        <w:t>герях, находящихся на балансе работодателей, также не вклю</w:t>
      </w:r>
      <w:r>
        <w:rPr>
          <w:rFonts w:ascii="Arial" w:hAnsi="Arial" w:cs="Arial"/>
          <w:snapToGrid w:val="0"/>
          <w:sz w:val="28"/>
          <w:szCs w:val="28"/>
        </w:rPr>
        <w:softHyphen/>
        <w:t>чается в налоговую базу, но только при условии, что указан</w:t>
      </w:r>
      <w:r>
        <w:rPr>
          <w:rFonts w:ascii="Arial" w:hAnsi="Arial" w:cs="Arial"/>
          <w:snapToGrid w:val="0"/>
          <w:sz w:val="28"/>
          <w:szCs w:val="28"/>
        </w:rPr>
        <w:softHyphen/>
        <w:t>ные выплаты осуществляются из прибыли, остающейся в рас</w:t>
      </w:r>
      <w:r>
        <w:rPr>
          <w:rFonts w:ascii="Arial" w:hAnsi="Arial" w:cs="Arial"/>
          <w:snapToGrid w:val="0"/>
          <w:sz w:val="28"/>
          <w:szCs w:val="28"/>
        </w:rPr>
        <w:softHyphen/>
        <w:t>поряжении работодателя после уплаты налога на доходы орга</w:t>
      </w:r>
      <w:r>
        <w:rPr>
          <w:rFonts w:ascii="Arial" w:hAnsi="Arial" w:cs="Arial"/>
          <w:snapToGrid w:val="0"/>
          <w:sz w:val="28"/>
          <w:szCs w:val="28"/>
        </w:rPr>
        <w:softHyphen/>
        <w:t>низаций.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Выплаты, осуществляемые за счет членских профсоюзных взносов каждому члену профсоюза, при условии, что данные выплаты производятся не чаще одного раза в три месяца и не превышают 10 000 руб. в год, не являются объектом обложения.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 включаются в состав облагаемых доходов не превышаю</w:t>
      </w:r>
      <w:r>
        <w:rPr>
          <w:rFonts w:ascii="Arial" w:hAnsi="Arial" w:cs="Arial"/>
          <w:snapToGrid w:val="0"/>
          <w:sz w:val="28"/>
          <w:szCs w:val="28"/>
        </w:rPr>
        <w:softHyphen/>
        <w:t>щие 2000 руб. суммы возмещения в течении налогового пери</w:t>
      </w:r>
      <w:r>
        <w:rPr>
          <w:rFonts w:ascii="Arial" w:hAnsi="Arial" w:cs="Arial"/>
          <w:snapToGrid w:val="0"/>
          <w:sz w:val="28"/>
          <w:szCs w:val="28"/>
        </w:rPr>
        <w:softHyphen/>
        <w:t>ода работодателями своим бывшим работникам- пенсионерам или инвалидам, а также членам их семей стоимости приобре</w:t>
      </w:r>
      <w:r>
        <w:rPr>
          <w:rFonts w:ascii="Arial" w:hAnsi="Arial" w:cs="Arial"/>
          <w:snapToGrid w:val="0"/>
          <w:sz w:val="28"/>
          <w:szCs w:val="28"/>
        </w:rPr>
        <w:softHyphen/>
        <w:t>тенных ими медикаментов, назначенных им лечащим врачом.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налоговую базу (в части суммы налога, подлежащей за</w:t>
      </w:r>
      <w:r>
        <w:rPr>
          <w:rFonts w:ascii="Arial" w:hAnsi="Arial" w:cs="Arial"/>
          <w:snapToGrid w:val="0"/>
          <w:sz w:val="28"/>
          <w:szCs w:val="28"/>
        </w:rPr>
        <w:softHyphen/>
        <w:t>числению в Фонд социального страхования) не включаются также любые вознаграждения, выплачиваемые работникам по договорам гражданско-правового характера, авторским и ли</w:t>
      </w:r>
      <w:r>
        <w:rPr>
          <w:rFonts w:ascii="Arial" w:hAnsi="Arial" w:cs="Arial"/>
          <w:snapToGrid w:val="0"/>
          <w:sz w:val="28"/>
          <w:szCs w:val="28"/>
        </w:rPr>
        <w:softHyphen/>
        <w:t>цензионным договорам.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Одновременно с тем, что значительные суммы, выплачи</w:t>
      </w:r>
      <w:r>
        <w:rPr>
          <w:rFonts w:ascii="Arial" w:hAnsi="Arial" w:cs="Arial"/>
          <w:snapToGrid w:val="0"/>
          <w:sz w:val="28"/>
          <w:szCs w:val="28"/>
        </w:rPr>
        <w:softHyphen/>
        <w:t>ваемые работодателями своим работникам не включаются в налоговую базу, российское налоговое законодательство уста</w:t>
      </w:r>
      <w:r>
        <w:rPr>
          <w:rFonts w:ascii="Arial" w:hAnsi="Arial" w:cs="Arial"/>
          <w:snapToGrid w:val="0"/>
          <w:sz w:val="28"/>
          <w:szCs w:val="28"/>
        </w:rPr>
        <w:softHyphen/>
        <w:t>новило также отдельные налоговые льготы по единому соци</w:t>
      </w:r>
      <w:r>
        <w:rPr>
          <w:rFonts w:ascii="Arial" w:hAnsi="Arial" w:cs="Arial"/>
          <w:snapToGrid w:val="0"/>
          <w:sz w:val="28"/>
          <w:szCs w:val="28"/>
        </w:rPr>
        <w:softHyphen/>
        <w:t>альному налогу.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Одной из важнейших льгот является стимулирование ис</w:t>
      </w:r>
      <w:r>
        <w:rPr>
          <w:rFonts w:ascii="Arial" w:hAnsi="Arial" w:cs="Arial"/>
          <w:snapToGrid w:val="0"/>
          <w:sz w:val="28"/>
          <w:szCs w:val="28"/>
        </w:rPr>
        <w:softHyphen/>
        <w:t>пользования труда инвалидов. В связи с этим от уплаты на</w:t>
      </w:r>
      <w:r>
        <w:rPr>
          <w:rFonts w:ascii="Arial" w:hAnsi="Arial" w:cs="Arial"/>
          <w:snapToGrid w:val="0"/>
          <w:sz w:val="28"/>
          <w:szCs w:val="28"/>
        </w:rPr>
        <w:softHyphen/>
        <w:t>лога освобождаются организации любых организационно-пра</w:t>
      </w:r>
      <w:r>
        <w:rPr>
          <w:rFonts w:ascii="Arial" w:hAnsi="Arial" w:cs="Arial"/>
          <w:snapToGrid w:val="0"/>
          <w:sz w:val="28"/>
          <w:szCs w:val="28"/>
        </w:rPr>
        <w:softHyphen/>
        <w:t>вовых форм — с сумм доходов, не превышающих 100 000 руб. в течение календарного года, начисленных работникам, явля</w:t>
      </w:r>
      <w:r>
        <w:rPr>
          <w:rFonts w:ascii="Arial" w:hAnsi="Arial" w:cs="Arial"/>
          <w:snapToGrid w:val="0"/>
          <w:sz w:val="28"/>
          <w:szCs w:val="28"/>
        </w:rPr>
        <w:softHyphen/>
        <w:t>ющимся инвалидами I, II и III групп.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этих же целях освобождаются от налогообложения сум</w:t>
      </w:r>
      <w:r>
        <w:rPr>
          <w:rFonts w:ascii="Arial" w:hAnsi="Arial" w:cs="Arial"/>
          <w:snapToGrid w:val="0"/>
          <w:sz w:val="28"/>
          <w:szCs w:val="28"/>
        </w:rPr>
        <w:softHyphen/>
        <w:t>мы доходов, не превышающие 100 000 руб. в течение налого</w:t>
      </w:r>
      <w:r>
        <w:rPr>
          <w:rFonts w:ascii="Arial" w:hAnsi="Arial" w:cs="Arial"/>
          <w:snapToGrid w:val="0"/>
          <w:sz w:val="28"/>
          <w:szCs w:val="28"/>
        </w:rPr>
        <w:softHyphen/>
        <w:t>вого периода на каждого отдельного работника, у следующих категорий работодателей.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i/>
          <w:iCs/>
          <w:snapToGrid w:val="0"/>
          <w:sz w:val="28"/>
          <w:szCs w:val="28"/>
        </w:rPr>
        <w:t>Во-первых,</w:t>
      </w:r>
      <w:r>
        <w:rPr>
          <w:rFonts w:ascii="Arial" w:hAnsi="Arial" w:cs="Arial"/>
          <w:snapToGrid w:val="0"/>
          <w:sz w:val="28"/>
          <w:szCs w:val="28"/>
        </w:rPr>
        <w:t xml:space="preserve"> у общественных организаций инвалидов, сре</w:t>
      </w:r>
      <w:r>
        <w:rPr>
          <w:rFonts w:ascii="Arial" w:hAnsi="Arial" w:cs="Arial"/>
          <w:snapToGrid w:val="0"/>
          <w:sz w:val="28"/>
          <w:szCs w:val="28"/>
        </w:rPr>
        <w:softHyphen/>
        <w:t>ди членов которых инвалиды и их законные представители составляют не менее 80 %, и их структурных подразделений.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i/>
          <w:iCs/>
          <w:snapToGrid w:val="0"/>
          <w:sz w:val="28"/>
          <w:szCs w:val="28"/>
        </w:rPr>
        <w:t>Во-вторых,</w:t>
      </w:r>
      <w:r>
        <w:rPr>
          <w:rFonts w:ascii="Arial" w:hAnsi="Arial" w:cs="Arial"/>
          <w:snapToGrid w:val="0"/>
          <w:sz w:val="28"/>
          <w:szCs w:val="28"/>
        </w:rPr>
        <w:t xml:space="preserve"> у организаций, уставный капитал которых пол</w:t>
      </w:r>
      <w:r>
        <w:rPr>
          <w:rFonts w:ascii="Arial" w:hAnsi="Arial" w:cs="Arial"/>
          <w:snapToGrid w:val="0"/>
          <w:sz w:val="28"/>
          <w:szCs w:val="28"/>
        </w:rPr>
        <w:softHyphen/>
        <w:t>ностью состоит из вкладов общественных организаций инва</w:t>
      </w:r>
      <w:r>
        <w:rPr>
          <w:rFonts w:ascii="Arial" w:hAnsi="Arial" w:cs="Arial"/>
          <w:snapToGrid w:val="0"/>
          <w:sz w:val="28"/>
          <w:szCs w:val="28"/>
        </w:rPr>
        <w:softHyphen/>
        <w:t>лидов и в которых среднесписочная численность инвалидов составляет не менее 50 %, а доля заработной платы инвалидов в фонде оплаты труда составляет не менее 25 %.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 xml:space="preserve">И </w:t>
      </w:r>
      <w:r>
        <w:rPr>
          <w:rFonts w:ascii="Arial" w:hAnsi="Arial" w:cs="Arial"/>
          <w:i/>
          <w:iCs/>
          <w:snapToGrid w:val="0"/>
          <w:sz w:val="28"/>
          <w:szCs w:val="28"/>
        </w:rPr>
        <w:t>в-третьих,</w:t>
      </w:r>
      <w:r>
        <w:rPr>
          <w:rFonts w:ascii="Arial" w:hAnsi="Arial" w:cs="Arial"/>
          <w:snapToGrid w:val="0"/>
          <w:sz w:val="28"/>
          <w:szCs w:val="28"/>
        </w:rPr>
        <w:t xml:space="preserve"> учреждения, созданные для достижения об</w:t>
      </w:r>
      <w:r>
        <w:rPr>
          <w:rFonts w:ascii="Arial" w:hAnsi="Arial" w:cs="Arial"/>
          <w:snapToGrid w:val="0"/>
          <w:sz w:val="28"/>
          <w:szCs w:val="28"/>
        </w:rPr>
        <w:softHyphen/>
        <w:t>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</w:t>
      </w:r>
      <w:r>
        <w:rPr>
          <w:rFonts w:ascii="Arial" w:hAnsi="Arial" w:cs="Arial"/>
          <w:snapToGrid w:val="0"/>
          <w:sz w:val="28"/>
          <w:szCs w:val="28"/>
        </w:rPr>
        <w:softHyphen/>
        <w:t>ственными собственниками имущества которых являются ука</w:t>
      </w:r>
      <w:r>
        <w:rPr>
          <w:rFonts w:ascii="Arial" w:hAnsi="Arial" w:cs="Arial"/>
          <w:snapToGrid w:val="0"/>
          <w:sz w:val="28"/>
          <w:szCs w:val="28"/>
        </w:rPr>
        <w:softHyphen/>
        <w:t>занные общественные организации инвалидов.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Вместе с тем указанные льготы не распространяются на организации, занимающиеся производством или реализацией подакцизных товаров, минерального сырья, других полезных ископаемых, а также ряда других товаров в соответствии с перечнем, который утверждается Российским Правительством по представлению общероссийских общественных организа</w:t>
      </w:r>
      <w:r>
        <w:rPr>
          <w:rFonts w:ascii="Arial" w:hAnsi="Arial" w:cs="Arial"/>
          <w:snapToGrid w:val="0"/>
          <w:sz w:val="28"/>
          <w:szCs w:val="28"/>
        </w:rPr>
        <w:softHyphen/>
        <w:t>ций инвалидов.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Кроме перечисленных льгот, законодательство установило льготу для налогоплательщиков— предпринимателей, являю</w:t>
      </w:r>
      <w:r>
        <w:rPr>
          <w:rFonts w:ascii="Arial" w:hAnsi="Arial" w:cs="Arial"/>
          <w:snapToGrid w:val="0"/>
          <w:sz w:val="28"/>
          <w:szCs w:val="28"/>
        </w:rPr>
        <w:softHyphen/>
        <w:t>щихся инвалидами I, II и III групп, в части освобождения от налогообложения их доходов от предпринимательской и дру</w:t>
      </w:r>
      <w:r>
        <w:rPr>
          <w:rFonts w:ascii="Arial" w:hAnsi="Arial" w:cs="Arial"/>
          <w:snapToGrid w:val="0"/>
          <w:sz w:val="28"/>
          <w:szCs w:val="28"/>
        </w:rPr>
        <w:softHyphen/>
        <w:t>гой профессиональной деятельности в размере, не превыша</w:t>
      </w:r>
      <w:r>
        <w:rPr>
          <w:rFonts w:ascii="Arial" w:hAnsi="Arial" w:cs="Arial"/>
          <w:snapToGrid w:val="0"/>
          <w:sz w:val="28"/>
          <w:szCs w:val="28"/>
        </w:rPr>
        <w:softHyphen/>
        <w:t>ющем 100 000 руб. в течение налогового периода.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Одновременно с этим, налогоплательщики — предприни</w:t>
      </w:r>
      <w:r>
        <w:rPr>
          <w:rFonts w:ascii="Arial" w:hAnsi="Arial" w:cs="Arial"/>
          <w:snapToGrid w:val="0"/>
          <w:sz w:val="28"/>
          <w:szCs w:val="28"/>
        </w:rPr>
        <w:softHyphen/>
        <w:t>матели — инвалиды освобождаются от уплаты налога в части сумм налога, зачисляемого в Фонд социального страхования.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случаях, если в соответствии с законодательством Рос</w:t>
      </w:r>
      <w:r>
        <w:rPr>
          <w:rFonts w:ascii="Arial" w:hAnsi="Arial" w:cs="Arial"/>
          <w:snapToGrid w:val="0"/>
          <w:sz w:val="28"/>
          <w:szCs w:val="28"/>
        </w:rPr>
        <w:softHyphen/>
        <w:t>сийской Федерации иностранные граждане и лица без граж</w:t>
      </w:r>
      <w:r>
        <w:rPr>
          <w:rFonts w:ascii="Arial" w:hAnsi="Arial" w:cs="Arial"/>
          <w:sz w:val="28"/>
          <w:szCs w:val="28"/>
        </w:rPr>
        <w:t>данства, осуществляющие на российской территории деятель</w:t>
      </w:r>
      <w:r>
        <w:rPr>
          <w:rFonts w:ascii="Arial" w:hAnsi="Arial" w:cs="Arial"/>
          <w:sz w:val="28"/>
          <w:szCs w:val="28"/>
        </w:rPr>
        <w:softHyphen/>
        <w:t>ность в качестве индивидуальных предпринимателей, не об</w:t>
      </w:r>
      <w:r>
        <w:rPr>
          <w:rFonts w:ascii="Arial" w:hAnsi="Arial" w:cs="Arial"/>
          <w:sz w:val="28"/>
          <w:szCs w:val="28"/>
        </w:rPr>
        <w:softHyphen/>
        <w:t>ладают правом на государственное пенсионное, социальное обеспечение, медицинскую помощь за счет средств российс</w:t>
      </w:r>
      <w:r>
        <w:rPr>
          <w:rFonts w:ascii="Arial" w:hAnsi="Arial" w:cs="Arial"/>
          <w:sz w:val="28"/>
          <w:szCs w:val="28"/>
        </w:rPr>
        <w:softHyphen/>
        <w:t>кого Пенсионного фонда, Фонда социального страхования, фондов обязательного медицинского страхования, то они ос</w:t>
      </w:r>
      <w:r>
        <w:rPr>
          <w:rFonts w:ascii="Arial" w:hAnsi="Arial" w:cs="Arial"/>
          <w:sz w:val="28"/>
          <w:szCs w:val="28"/>
        </w:rPr>
        <w:softHyphen/>
        <w:t>вобождаются от уплаты налога в части, зачисляемой в соот</w:t>
      </w:r>
      <w:r>
        <w:rPr>
          <w:rFonts w:ascii="Arial" w:hAnsi="Arial" w:cs="Arial"/>
          <w:sz w:val="28"/>
          <w:szCs w:val="28"/>
        </w:rPr>
        <w:softHyphen/>
        <w:t>ветствующие фонды.</w:t>
      </w:r>
    </w:p>
    <w:p w:rsidR="003E595B" w:rsidRDefault="003E595B">
      <w:pPr>
        <w:spacing w:line="360" w:lineRule="auto"/>
        <w:ind w:firstLine="300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2.4. Ставки единого социального налога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pStyle w:val="21"/>
        <w:ind w:firstLine="567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Ставки единого социального налога, учитывая целевой ха</w:t>
      </w:r>
      <w:r>
        <w:rPr>
          <w:rFonts w:ascii="Arial" w:hAnsi="Arial" w:cs="Arial"/>
          <w:color w:val="auto"/>
          <w:sz w:val="28"/>
          <w:szCs w:val="28"/>
        </w:rPr>
        <w:softHyphen/>
        <w:t>рактер использования, предусматривают их распределение по соответствующим социальным фондам.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налогоплательщиков — работодателей, за исключени</w:t>
      </w:r>
      <w:r>
        <w:rPr>
          <w:rFonts w:ascii="Arial" w:hAnsi="Arial" w:cs="Arial"/>
          <w:snapToGrid w:val="0"/>
          <w:sz w:val="28"/>
          <w:szCs w:val="28"/>
        </w:rPr>
        <w:softHyphen/>
        <w:t>ем организаций, занятых в производстве сельскохозяйственной продукции, родовых, семейных общин малочисленных народов Севера, занимающихся традиционными отраслями хозяйствования, и крестьянских (фермерских) хозяйств, при</w:t>
      </w:r>
      <w:r>
        <w:rPr>
          <w:rFonts w:ascii="Arial" w:hAnsi="Arial" w:cs="Arial"/>
          <w:snapToGrid w:val="0"/>
          <w:sz w:val="28"/>
          <w:szCs w:val="28"/>
        </w:rPr>
        <w:softHyphen/>
        <w:t>меняются следующие ставки налога (табл. 1).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выступающих в качестве работодателей организаций, занятых в производстве сельскохозяйственной продукции, родовых, семейных общин малочисленных народов Севера, занимающихся традиционными отраслями хозяйствования, и крестьянских (фермерских) хозяйств, применяются следую</w:t>
      </w:r>
      <w:r>
        <w:rPr>
          <w:rFonts w:ascii="Arial" w:hAnsi="Arial" w:cs="Arial"/>
          <w:snapToGrid w:val="0"/>
          <w:sz w:val="28"/>
          <w:szCs w:val="28"/>
        </w:rPr>
        <w:softHyphen/>
        <w:t>щие ставки налога (табл. 2).</w:t>
      </w:r>
    </w:p>
    <w:p w:rsidR="003E595B" w:rsidRDefault="003E595B">
      <w:pPr>
        <w:pStyle w:val="21"/>
        <w:ind w:firstLine="567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Все выше перечисленные ставки налога применяются, при условии, что в предыдущем налоговом периоде, то есть за истекший календарный год, величина налоговой базы в среднем на одного работника превышала 50 000 руб. В том случае, если налогоплательщик осуществляет деятельность менее одного налогового периода, но не менее трех меся</w:t>
      </w:r>
      <w:r>
        <w:rPr>
          <w:rFonts w:ascii="Arial" w:hAnsi="Arial" w:cs="Arial"/>
          <w:color w:val="auto"/>
          <w:sz w:val="28"/>
          <w:szCs w:val="28"/>
        </w:rPr>
        <w:softHyphen/>
        <w:t>цев, то в целях расчета величины налоговой базы в среднем на одного работника накопленная за последний квартал ве</w:t>
      </w:r>
      <w:r>
        <w:rPr>
          <w:rFonts w:ascii="Arial" w:hAnsi="Arial" w:cs="Arial"/>
          <w:color w:val="auto"/>
          <w:sz w:val="28"/>
          <w:szCs w:val="28"/>
        </w:rPr>
        <w:softHyphen/>
        <w:t>личина налоговой базы в среднем на одного работника ум</w:t>
      </w:r>
      <w:r>
        <w:rPr>
          <w:rFonts w:ascii="Arial" w:hAnsi="Arial" w:cs="Arial"/>
          <w:color w:val="auto"/>
          <w:sz w:val="28"/>
          <w:szCs w:val="28"/>
        </w:rPr>
        <w:softHyphen/>
        <w:t>ножается на четыре. Если данное условие не соблюдается, то налогоплательщик должен уплачивать налог по ставкам, предусмотренным при величине налоговой базы на каждо</w:t>
      </w:r>
      <w:r>
        <w:rPr>
          <w:rFonts w:ascii="Arial" w:hAnsi="Arial" w:cs="Arial"/>
          <w:color w:val="auto"/>
          <w:sz w:val="28"/>
          <w:szCs w:val="28"/>
        </w:rPr>
        <w:softHyphen/>
        <w:t>го отдельного работника до 100 000 руб., независимо от фактической величины налоговой базы на каждого отдель</w:t>
      </w:r>
      <w:r>
        <w:rPr>
          <w:rFonts w:ascii="Arial" w:hAnsi="Arial" w:cs="Arial"/>
          <w:color w:val="auto"/>
          <w:sz w:val="28"/>
          <w:szCs w:val="28"/>
        </w:rPr>
        <w:softHyphen/>
        <w:t>ного работника</w:t>
      </w:r>
      <w:r>
        <w:rPr>
          <w:rStyle w:val="ac"/>
          <w:rFonts w:ascii="Arial" w:hAnsi="Arial" w:cs="Arial"/>
          <w:color w:val="auto"/>
          <w:sz w:val="28"/>
          <w:szCs w:val="28"/>
        </w:rPr>
        <w:footnoteReference w:id="1"/>
      </w:r>
      <w:r>
        <w:rPr>
          <w:rFonts w:ascii="Arial" w:hAnsi="Arial" w:cs="Arial"/>
          <w:color w:val="auto"/>
          <w:sz w:val="28"/>
          <w:szCs w:val="28"/>
        </w:rPr>
        <w:t>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Кроме того, законом предусмотрено еще одно условие при</w:t>
      </w:r>
      <w:r>
        <w:rPr>
          <w:rFonts w:ascii="Arial" w:hAnsi="Arial" w:cs="Arial"/>
          <w:snapToGrid w:val="0"/>
          <w:sz w:val="28"/>
          <w:szCs w:val="28"/>
        </w:rPr>
        <w:softHyphen/>
        <w:t>менения указанных выше ставок налога.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расчете величины налоговой базы в среднем на одно</w:t>
      </w:r>
      <w:r>
        <w:rPr>
          <w:rFonts w:ascii="Arial" w:hAnsi="Arial" w:cs="Arial"/>
          <w:snapToGrid w:val="0"/>
          <w:sz w:val="28"/>
          <w:szCs w:val="28"/>
        </w:rPr>
        <w:softHyphen/>
        <w:t>го работника в организациях с численностью работников свыше 30 человек не учитываются 10 % работников, имеющих наи</w:t>
      </w:r>
      <w:r>
        <w:rPr>
          <w:rFonts w:ascii="Arial" w:hAnsi="Arial" w:cs="Arial"/>
          <w:snapToGrid w:val="0"/>
          <w:sz w:val="28"/>
          <w:szCs w:val="28"/>
        </w:rPr>
        <w:softHyphen/>
        <w:t>большие по размеру доходы, а в организациях с численнос</w:t>
      </w:r>
      <w:r>
        <w:rPr>
          <w:rFonts w:ascii="Arial" w:hAnsi="Arial" w:cs="Arial"/>
          <w:snapToGrid w:val="0"/>
          <w:sz w:val="28"/>
          <w:szCs w:val="28"/>
        </w:rPr>
        <w:softHyphen/>
        <w:t>тью работников до 30 человек не учитываются 30 % работни</w:t>
      </w:r>
      <w:r>
        <w:rPr>
          <w:rFonts w:ascii="Arial" w:hAnsi="Arial" w:cs="Arial"/>
          <w:snapToGrid w:val="0"/>
          <w:sz w:val="28"/>
          <w:szCs w:val="28"/>
        </w:rPr>
        <w:softHyphen/>
        <w:t>ков, имеющих наибольшие по размеру доходы.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том случае, если на момент очередной уплаты налога накопленная с начала года величина налоговой базы в сред</w:t>
      </w:r>
      <w:r>
        <w:rPr>
          <w:rFonts w:ascii="Arial" w:hAnsi="Arial" w:cs="Arial"/>
          <w:snapToGrid w:val="0"/>
          <w:sz w:val="28"/>
          <w:szCs w:val="28"/>
        </w:rPr>
        <w:softHyphen/>
        <w:t>нем на одного работника становится менее суммы, равной 4 200 руб., умноженным на количество месяцев, истекших в текущем налоговом периоде, то такие налогоплательщики уп</w:t>
      </w:r>
      <w:r>
        <w:rPr>
          <w:rFonts w:ascii="Arial" w:hAnsi="Arial" w:cs="Arial"/>
          <w:snapToGrid w:val="0"/>
          <w:sz w:val="28"/>
          <w:szCs w:val="28"/>
        </w:rPr>
        <w:softHyphen/>
        <w:t>лачивают налог по ставкам, предусмотренным при величине налоговой базы на каждого отдельного работника до 100 000 руб., независимо от фактической величины налоговой базы на каждого отдельного работника.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налогоплательщиков — предпринимателей, применя</w:t>
      </w:r>
      <w:r>
        <w:rPr>
          <w:rFonts w:ascii="Arial" w:hAnsi="Arial" w:cs="Arial"/>
          <w:snapToGrid w:val="0"/>
          <w:sz w:val="28"/>
          <w:szCs w:val="28"/>
        </w:rPr>
        <w:softHyphen/>
        <w:t>ются следующие ставки налога (табл. 3).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исчисления налога важно определить дату получения доходов и осуществления расходов. Дата определяется в зависимости от категории, к которой относится налогоплательщик.</w:t>
      </w:r>
    </w:p>
    <w:p w:rsidR="003E595B" w:rsidRDefault="003E595B">
      <w:pPr>
        <w:pStyle w:val="31"/>
        <w:ind w:firstLine="567"/>
      </w:pPr>
      <w:r>
        <w:t>Для доходов, начисленных налогоплательщиками — рабо</w:t>
      </w:r>
      <w:r>
        <w:softHyphen/>
        <w:t>тодателями датой получения доходов является день начисле</w:t>
      </w:r>
      <w:r>
        <w:softHyphen/>
        <w:t>ния доходов в пользу работника.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доходов от предпринимательской или другой профес</w:t>
      </w:r>
      <w:r>
        <w:rPr>
          <w:rFonts w:ascii="Arial" w:hAnsi="Arial" w:cs="Arial"/>
          <w:snapToGrid w:val="0"/>
          <w:sz w:val="28"/>
          <w:szCs w:val="28"/>
        </w:rPr>
        <w:softHyphen/>
        <w:t>сиональной деятельности, а также для других доходов, вклю</w:t>
      </w:r>
      <w:r>
        <w:rPr>
          <w:rFonts w:ascii="Arial" w:hAnsi="Arial" w:cs="Arial"/>
          <w:snapToGrid w:val="0"/>
          <w:sz w:val="28"/>
          <w:szCs w:val="28"/>
        </w:rPr>
        <w:softHyphen/>
        <w:t>чая материальную выгоду, датой получения дохода является день фактической выплаты (перечисления) или получения соответствующего дохода.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При расчетах с использованием банковских счетов, откры</w:t>
      </w:r>
      <w:r>
        <w:rPr>
          <w:rFonts w:ascii="Arial" w:hAnsi="Arial" w:cs="Arial"/>
          <w:snapToGrid w:val="0"/>
          <w:sz w:val="28"/>
          <w:szCs w:val="28"/>
        </w:rPr>
        <w:softHyphen/>
        <w:t>тых налогоплательщиком в кредитных организациях, датой перечисления дохода считается день списания денежных средств с его счета.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  <w:r>
        <w:rPr>
          <w:rFonts w:ascii="Arial" w:hAnsi="Arial" w:cs="Arial"/>
          <w:b/>
          <w:bCs/>
          <w:snapToGrid w:val="0"/>
          <w:sz w:val="32"/>
          <w:szCs w:val="32"/>
        </w:rPr>
        <w:t>2.5. Порядок исчисления и уплаты налога.</w:t>
      </w: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Порядок исчисления и уплаты налога также зависит от того, к какой категории принадлежит налогоплательщик.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Налогоплательщики - работодатели исчисляют сумму на</w:t>
      </w:r>
      <w:r>
        <w:rPr>
          <w:rFonts w:ascii="Arial" w:hAnsi="Arial" w:cs="Arial"/>
          <w:snapToGrid w:val="0"/>
          <w:sz w:val="28"/>
          <w:szCs w:val="28"/>
        </w:rPr>
        <w:softHyphen/>
        <w:t>лога отдельно в отношении каждого фонда. Эта сумма опре</w:t>
      </w:r>
      <w:r>
        <w:rPr>
          <w:rFonts w:ascii="Arial" w:hAnsi="Arial" w:cs="Arial"/>
          <w:snapToGrid w:val="0"/>
          <w:sz w:val="28"/>
          <w:szCs w:val="28"/>
        </w:rPr>
        <w:softHyphen/>
        <w:t>деляется как соответствующая процентная доля созданной налоговой базы. При этом сумма налога, зачисляемая в соста</w:t>
      </w:r>
      <w:r>
        <w:rPr>
          <w:rFonts w:ascii="Arial" w:hAnsi="Arial" w:cs="Arial"/>
          <w:snapToGrid w:val="0"/>
          <w:sz w:val="28"/>
          <w:szCs w:val="28"/>
        </w:rPr>
        <w:softHyphen/>
        <w:t>ве социального налога в Фонд социального страхования, дол</w:t>
      </w:r>
      <w:r>
        <w:rPr>
          <w:rFonts w:ascii="Arial" w:hAnsi="Arial" w:cs="Arial"/>
          <w:snapToGrid w:val="0"/>
          <w:sz w:val="28"/>
          <w:szCs w:val="28"/>
        </w:rPr>
        <w:softHyphen/>
        <w:t>жна быть уменьшена на произведенные налогоплательщика</w:t>
      </w:r>
      <w:r>
        <w:rPr>
          <w:rFonts w:ascii="Arial" w:hAnsi="Arial" w:cs="Arial"/>
          <w:snapToGrid w:val="0"/>
          <w:sz w:val="28"/>
          <w:szCs w:val="28"/>
        </w:rPr>
        <w:softHyphen/>
        <w:t>ми самостоятельно расходы на цели государственного соци</w:t>
      </w:r>
      <w:r>
        <w:rPr>
          <w:rFonts w:ascii="Arial" w:hAnsi="Arial" w:cs="Arial"/>
          <w:snapToGrid w:val="0"/>
          <w:sz w:val="28"/>
          <w:szCs w:val="28"/>
        </w:rPr>
        <w:softHyphen/>
        <w:t>ального страхования, предусмотренные российским законода</w:t>
      </w:r>
      <w:r>
        <w:rPr>
          <w:rFonts w:ascii="Arial" w:hAnsi="Arial" w:cs="Arial"/>
          <w:snapToGrid w:val="0"/>
          <w:sz w:val="28"/>
          <w:szCs w:val="28"/>
        </w:rPr>
        <w:softHyphen/>
        <w:t>тельством.</w:t>
      </w:r>
    </w:p>
    <w:p w:rsidR="003E595B" w:rsidRDefault="003E595B">
      <w:pPr>
        <w:pStyle w:val="21"/>
        <w:ind w:firstLine="567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Указанные налогоплательщики производят уплату авансо</w:t>
      </w:r>
      <w:r>
        <w:rPr>
          <w:rFonts w:ascii="Arial" w:hAnsi="Arial" w:cs="Arial"/>
          <w:color w:val="auto"/>
          <w:sz w:val="28"/>
          <w:szCs w:val="28"/>
        </w:rPr>
        <w:softHyphen/>
        <w:t>вых платежей по налогу ежемесячно в срок, установленный для получения средств в банке на оплату труда за истекший месяц, но не позднее 15-го числа следующего месяца. При этом законодательством запрещено банкам выдавать своему клиенту-налогоплательщику средства на оплату труда, если этот налогоплательщик не представил в банк платежных по</w:t>
      </w:r>
      <w:r>
        <w:rPr>
          <w:rFonts w:ascii="Arial" w:hAnsi="Arial" w:cs="Arial"/>
          <w:color w:val="auto"/>
          <w:sz w:val="28"/>
          <w:szCs w:val="28"/>
        </w:rPr>
        <w:softHyphen/>
        <w:t>ручений на перечисление налога.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Для правильного исчисления причитающихся сумм налога налогоплательщики должны вести учет отдельно по каждому из работников о суммах выплаченных им доходов и суммах налога, относящихся к этим доходам.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pStyle w:val="1"/>
      </w:pPr>
    </w:p>
    <w:p w:rsidR="003E595B" w:rsidRDefault="003E595B">
      <w:pPr>
        <w:pStyle w:val="1"/>
      </w:pPr>
    </w:p>
    <w:p w:rsidR="003E595B" w:rsidRDefault="003E595B">
      <w:pPr>
        <w:pStyle w:val="1"/>
      </w:pPr>
    </w:p>
    <w:p w:rsidR="003E595B" w:rsidRDefault="003E595B"/>
    <w:p w:rsidR="003E595B" w:rsidRDefault="003E595B">
      <w:pPr>
        <w:pStyle w:val="1"/>
        <w:sectPr w:rsidR="003E595B">
          <w:headerReference w:type="default" r:id="rId7"/>
          <w:footerReference w:type="default" r:id="rId8"/>
          <w:type w:val="nextColumn"/>
          <w:pgSz w:w="12242" w:h="15842"/>
          <w:pgMar w:top="1134" w:right="1440" w:bottom="1134" w:left="1701" w:header="709" w:footer="709" w:gutter="0"/>
          <w:cols w:space="709"/>
          <w:noEndnote/>
        </w:sectPr>
      </w:pPr>
    </w:p>
    <w:p w:rsidR="003E595B" w:rsidRDefault="003E595B">
      <w:pPr>
        <w:pStyle w:val="1"/>
      </w:pPr>
      <w:r>
        <w:t>Таблица 1. Ставки единого социального налога для налогоплательщиков – работодателей, за исключением организаций, занятых в производстве сельскохозяйственной продукции, родовых, семейных общин малочисленных народов Севера, занимающихся традиционными отраслями хозяйствования, и крестьянских (фермерских) хозяйств.</w:t>
      </w:r>
    </w:p>
    <w:p w:rsidR="003E595B" w:rsidRDefault="003E595B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  <w:gridCol w:w="1984"/>
        <w:gridCol w:w="1985"/>
        <w:gridCol w:w="2126"/>
        <w:gridCol w:w="1985"/>
      </w:tblGrid>
      <w:tr w:rsidR="003E595B" w:rsidRPr="003E595B">
        <w:trPr>
          <w:cantSplit/>
          <w:trHeight w:val="352"/>
        </w:trPr>
        <w:tc>
          <w:tcPr>
            <w:tcW w:w="2518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Налоговая база на каждого отдельного работника нарастающим итогом с начала года</w:t>
            </w:r>
          </w:p>
        </w:tc>
        <w:tc>
          <w:tcPr>
            <w:tcW w:w="1985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пенсионный фонд</w:t>
            </w:r>
          </w:p>
        </w:tc>
        <w:tc>
          <w:tcPr>
            <w:tcW w:w="1984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Фонд социального страхования</w:t>
            </w:r>
          </w:p>
        </w:tc>
        <w:tc>
          <w:tcPr>
            <w:tcW w:w="4111" w:type="dxa"/>
            <w:gridSpan w:val="2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Фонды обязательного медицинского страхования</w:t>
            </w:r>
          </w:p>
        </w:tc>
        <w:tc>
          <w:tcPr>
            <w:tcW w:w="1985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Итого</w:t>
            </w:r>
          </w:p>
        </w:tc>
      </w:tr>
      <w:tr w:rsidR="003E595B" w:rsidRPr="003E595B">
        <w:trPr>
          <w:cantSplit/>
          <w:trHeight w:val="353"/>
        </w:trPr>
        <w:tc>
          <w:tcPr>
            <w:tcW w:w="2518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территориальные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95B" w:rsidRPr="003E595B">
        <w:trPr>
          <w:trHeight w:val="352"/>
        </w:trPr>
        <w:tc>
          <w:tcPr>
            <w:tcW w:w="2518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До 100 000 руб.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28,0 %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4,0 %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0,2 %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3,4 %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35,6 %</w:t>
            </w:r>
          </w:p>
        </w:tc>
      </w:tr>
      <w:tr w:rsidR="003E595B" w:rsidRPr="003E595B">
        <w:trPr>
          <w:trHeight w:val="70"/>
        </w:trPr>
        <w:tc>
          <w:tcPr>
            <w:tcW w:w="2518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100 001 руб. до 300 000 руб.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28 000 руб. + 15,8 % с суммы, превышающей 100 000 руб.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4 000 руб. + 2,2 % с суммы, превышающей 100 000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200 руб. + 0,1 % с суммы, превышающей 100 000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3 400 руб. + 1,9 % с суммы, превышающей 100 000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35 600 руб. + 20,0 % с суммы, превышающей 100 000 руб.</w:t>
            </w:r>
          </w:p>
        </w:tc>
      </w:tr>
      <w:tr w:rsidR="003E595B" w:rsidRPr="003E595B">
        <w:trPr>
          <w:trHeight w:val="80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300 001 руб. до 600 000 руб.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59 600 руб. + 7,9 % с суммы, превышающей 300 000 руб.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8 400 руб. + 1,1 % с суммы, превышающей 300 000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400 руб. + 0,1 % с суммы, превышающей 300 000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7 200 руб. + 0,9 % с суммы, превышающей 300 000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75 600 руб.+ 10,0 % с суммы, превышающей 300 000 руб.</w:t>
            </w:r>
          </w:p>
        </w:tc>
      </w:tr>
      <w:tr w:rsidR="003E595B" w:rsidRPr="003E595B">
        <w:trPr>
          <w:trHeight w:val="112"/>
        </w:trPr>
        <w:tc>
          <w:tcPr>
            <w:tcW w:w="2518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518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Свыше600 000 руб.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83 300 руб.+ 2,0 % с суммы, превышающей 600 000 руб.</w:t>
            </w: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11 700 руб.</w:t>
            </w:r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700 руб.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9 900 руб.</w:t>
            </w:r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105 600 руб.+ 2,0 % с суммы, превышающей 600 000 руб.*</w:t>
            </w:r>
          </w:p>
        </w:tc>
      </w:tr>
    </w:tbl>
    <w:p w:rsidR="003E595B" w:rsidRDefault="003E595B">
      <w:pPr>
        <w:rPr>
          <w:rFonts w:ascii="Arial" w:hAnsi="Arial" w:cs="Arial"/>
          <w:sz w:val="24"/>
          <w:szCs w:val="24"/>
        </w:rPr>
      </w:pPr>
    </w:p>
    <w:p w:rsidR="003E595B" w:rsidRDefault="003E595B">
      <w:pPr>
        <w:pStyle w:val="23"/>
        <w:ind w:firstLine="0"/>
        <w:rPr>
          <w:sz w:val="20"/>
          <w:szCs w:val="20"/>
        </w:rPr>
      </w:pPr>
      <w:r>
        <w:rPr>
          <w:sz w:val="20"/>
          <w:szCs w:val="20"/>
        </w:rPr>
        <w:t>*до 1 января 2002 г. при определении налоговой базы на каждого отдельного работника с суммы, подлежащей уплате в Пенсионный фонд, превышающей 600 000 руб., применяется ставка в размере 5 процентов.</w:t>
      </w:r>
    </w:p>
    <w:p w:rsidR="003E595B" w:rsidRDefault="003E595B">
      <w:pPr>
        <w:spacing w:before="20" w:line="360" w:lineRule="auto"/>
        <w:jc w:val="center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before="20" w:line="360" w:lineRule="auto"/>
        <w:jc w:val="center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before="20" w:line="360" w:lineRule="auto"/>
        <w:jc w:val="center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Таблица 2. Ставки единого социального налога для выступающих в качестве работодателей организаций, занятых в </w:t>
      </w:r>
      <w:r>
        <w:rPr>
          <w:rFonts w:ascii="Arial" w:hAnsi="Arial" w:cs="Arial"/>
          <w:snapToGrid w:val="0"/>
          <w:color w:val="000000"/>
          <w:sz w:val="28"/>
          <w:szCs w:val="28"/>
        </w:rPr>
        <w:t>производстве сельскохозяйственной продукции, родовых, семейных общин малочисленных народов Севера,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color w:val="000000"/>
          <w:sz w:val="28"/>
          <w:szCs w:val="28"/>
        </w:rPr>
        <w:t>занимающихся традиционными отраслями хозяйствования, и крестьянских (фермерских) хозяйств</w:t>
      </w:r>
    </w:p>
    <w:p w:rsidR="003E595B" w:rsidRDefault="003E595B">
      <w:pPr>
        <w:spacing w:before="20" w:line="360" w:lineRule="auto"/>
        <w:jc w:val="center"/>
        <w:rPr>
          <w:rFonts w:ascii="Arial" w:hAnsi="Arial" w:cs="Arial"/>
          <w:snapToGrid w:val="0"/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27"/>
        <w:gridCol w:w="2126"/>
        <w:gridCol w:w="1843"/>
        <w:gridCol w:w="2126"/>
        <w:gridCol w:w="1985"/>
      </w:tblGrid>
      <w:tr w:rsidR="003E595B" w:rsidRPr="003E595B">
        <w:trPr>
          <w:cantSplit/>
          <w:trHeight w:val="352"/>
        </w:trPr>
        <w:tc>
          <w:tcPr>
            <w:tcW w:w="2376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Налоговая база на каждого отдельного работника нарастающим итогом с начала года</w:t>
            </w:r>
          </w:p>
        </w:tc>
        <w:tc>
          <w:tcPr>
            <w:tcW w:w="2127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пенсионный фонд</w:t>
            </w:r>
          </w:p>
        </w:tc>
        <w:tc>
          <w:tcPr>
            <w:tcW w:w="2126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Фонд социального страхования</w:t>
            </w:r>
          </w:p>
        </w:tc>
        <w:tc>
          <w:tcPr>
            <w:tcW w:w="3969" w:type="dxa"/>
            <w:gridSpan w:val="2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Фонды обязательного медицинского страхования</w:t>
            </w:r>
          </w:p>
        </w:tc>
        <w:tc>
          <w:tcPr>
            <w:tcW w:w="1985" w:type="dxa"/>
            <w:vMerge w:val="restart"/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Итого</w:t>
            </w:r>
          </w:p>
        </w:tc>
      </w:tr>
      <w:tr w:rsidR="003E595B" w:rsidRPr="003E595B">
        <w:trPr>
          <w:cantSplit/>
          <w:trHeight w:val="353"/>
        </w:trPr>
        <w:tc>
          <w:tcPr>
            <w:tcW w:w="2376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территориальные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3E595B" w:rsidRPr="003E595B" w:rsidRDefault="003E59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95B" w:rsidRPr="003E595B">
        <w:trPr>
          <w:trHeight w:val="352"/>
        </w:trPr>
        <w:tc>
          <w:tcPr>
            <w:tcW w:w="2376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До 100 000 руб.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20,6 %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2,9 %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0,1 %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2,5 %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26,1 %</w:t>
            </w:r>
          </w:p>
        </w:tc>
      </w:tr>
      <w:tr w:rsidR="003E595B" w:rsidRPr="003E595B">
        <w:trPr>
          <w:trHeight w:val="102"/>
        </w:trPr>
        <w:tc>
          <w:tcPr>
            <w:tcW w:w="2376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100 001 руб. до 300 000 руб.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20 600 руб. + 15,8 % с суммы, превышающей 100 000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2 900 руб. + 2,2 % с суммы, превышающей 100 000 руб.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100 руб. + 0,1 % с суммы, превышающей 100 000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2 500 руб. + 1,9 % с суммы, превышающей 100 000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26 100 руб. + 20,0 % с суммы, превышающей 100 000 руб.</w:t>
            </w:r>
          </w:p>
        </w:tc>
      </w:tr>
      <w:tr w:rsidR="003E595B" w:rsidRPr="003E595B">
        <w:trPr>
          <w:trHeight w:val="158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300 001 руб. до 600 000 руб.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52 200 руб. + 7,9 % с суммы, превышающей 300 000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7 300 руб. + 1,1 % с суммы, превышающей 300 000 руб.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300 руб. + 0,1 % с суммы, превышающей 300 000 руб.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6 300 руб. + 0,9 % с суммы, превышающей 300 000 руб.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66 100 руб. + 10,0 % с суммы, превышающей 300 000 руб.</w:t>
            </w:r>
          </w:p>
        </w:tc>
      </w:tr>
      <w:tr w:rsidR="003E595B" w:rsidRPr="003E595B">
        <w:trPr>
          <w:trHeight w:val="118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10"/>
                <w:szCs w:val="10"/>
              </w:rPr>
            </w:pPr>
          </w:p>
        </w:tc>
      </w:tr>
      <w:tr w:rsidR="003E595B" w:rsidRPr="003E595B">
        <w:trPr>
          <w:trHeight w:val="353"/>
        </w:trPr>
        <w:tc>
          <w:tcPr>
            <w:tcW w:w="2376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Свыше600 000 руб.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75 900 руб.+ 2,0 % с суммы, превышающей 600 000 руб.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10 600 руб.</w:t>
            </w:r>
          </w:p>
        </w:tc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600 руб.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9 000 руб.</w:t>
            </w:r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96 100 руб.+ 2,0 % с суммы, превышающей 600 000 руб.*</w:t>
            </w:r>
          </w:p>
        </w:tc>
      </w:tr>
    </w:tbl>
    <w:p w:rsidR="003E595B" w:rsidRDefault="003E595B">
      <w:pPr>
        <w:pStyle w:val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до 1 января 2002 г. при определении налоговой базы на каждого отдельного работника с суммы, подлежащей уплате в Пенсионный фонд, превышающей 600 000 руб., применяется ставка в размере 5 процентов.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pStyle w:val="2"/>
      </w:pPr>
      <w:r>
        <w:t>Таблица 3. Ставки единого социального налога для налогоплательщиков — предпринимателей</w:t>
      </w:r>
    </w:p>
    <w:p w:rsidR="003E595B" w:rsidRDefault="003E595B"/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1985"/>
        <w:gridCol w:w="2126"/>
        <w:gridCol w:w="2551"/>
      </w:tblGrid>
      <w:tr w:rsidR="003E595B" w:rsidRPr="003E595B">
        <w:trPr>
          <w:cantSplit/>
        </w:trPr>
        <w:tc>
          <w:tcPr>
            <w:tcW w:w="3085" w:type="dxa"/>
            <w:vMerge w:val="restart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Налоговая база на каждого отдельно</w:t>
            </w: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softHyphen/>
              <w:t>го работника Нарастающим итогом с начала года</w:t>
            </w:r>
          </w:p>
        </w:tc>
        <w:tc>
          <w:tcPr>
            <w:tcW w:w="2835" w:type="dxa"/>
            <w:vMerge w:val="restart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пенсионный фонд</w:t>
            </w:r>
          </w:p>
        </w:tc>
        <w:tc>
          <w:tcPr>
            <w:tcW w:w="4111" w:type="dxa"/>
            <w:gridSpan w:val="2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В Фонды обязательного медицинского страхования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Итого</w:t>
            </w:r>
          </w:p>
        </w:tc>
      </w:tr>
      <w:tr w:rsidR="003E595B" w:rsidRPr="003E595B">
        <w:trPr>
          <w:cantSplit/>
        </w:trPr>
        <w:tc>
          <w:tcPr>
            <w:tcW w:w="308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территориальные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595B" w:rsidRPr="003E595B">
        <w:tc>
          <w:tcPr>
            <w:tcW w:w="3085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До 100 000 руб.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19,2 </w:t>
            </w:r>
            <w:r w:rsidRPr="003E595B">
              <w:rPr>
                <w:rFonts w:ascii="Arial" w:hAnsi="Arial" w:cs="Arial"/>
                <w:i/>
                <w:iCs/>
                <w:snapToGrid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0,2 %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3,4 %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22,8 %</w:t>
            </w:r>
          </w:p>
        </w:tc>
      </w:tr>
      <w:tr w:rsidR="003E595B" w:rsidRPr="003E595B"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595B" w:rsidRPr="003E595B"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spacing w:before="2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100 001 руб. до 300 000 руб.</w:t>
            </w:r>
          </w:p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19 200 руб. + 10,8 % с суммы, превышающей </w:t>
            </w:r>
          </w:p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100 000 руб.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200 руб. + 0,1 % с суммы превышающей100 000 руб.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3 400 руб. + 1,9 % с суммы превышающей100 000 руб.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22 800 руб. + 12,8 % с суммы, превышающей100 000 руб.</w:t>
            </w:r>
          </w:p>
        </w:tc>
      </w:tr>
      <w:tr w:rsidR="003E595B" w:rsidRPr="003E595B"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E595B" w:rsidRPr="003E595B"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От 300 001 руб. до 600 000 руб.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40 800 руб. + 5,5 % с суммы, превышающей 300 000 руб.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400 руб.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7 200 руб. + 0,9 % с суммы, превышающей300 000 руб.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48 400 руб. + 6,4 % с суммы, превышающей 300 000 руб.</w:t>
            </w:r>
          </w:p>
        </w:tc>
      </w:tr>
      <w:tr w:rsidR="003E595B" w:rsidRPr="003E595B"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3E595B" w:rsidRPr="003E595B">
        <w:tc>
          <w:tcPr>
            <w:tcW w:w="3085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spacing w:before="2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Свыше 600 000 руб.</w:t>
            </w:r>
          </w:p>
          <w:p w:rsidR="003E595B" w:rsidRPr="003E595B" w:rsidRDefault="003E595B">
            <w:pPr>
              <w:spacing w:before="2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57 300 руб. + 2,0 % с суммы превышающей 600 000 руб.</w:t>
            </w:r>
          </w:p>
        </w:tc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400 руб.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9 900 руб.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3E595B" w:rsidRPr="003E595B" w:rsidRDefault="003E595B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3E595B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67 600 руб. + 2,0 % с суммы, превышающей 600 000 руб.</w:t>
            </w:r>
          </w:p>
        </w:tc>
      </w:tr>
    </w:tbl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  <w:sectPr w:rsidR="003E595B">
          <w:pgSz w:w="15842" w:h="12242" w:orient="landscape"/>
          <w:pgMar w:top="1134" w:right="1440" w:bottom="1701" w:left="1440" w:header="709" w:footer="709" w:gutter="0"/>
          <w:cols w:space="709"/>
          <w:noEndnote/>
        </w:sect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Несколько иной порядок исчисления и уплаты налога уста</w:t>
      </w:r>
      <w:r>
        <w:rPr>
          <w:rFonts w:ascii="Arial" w:hAnsi="Arial" w:cs="Arial"/>
          <w:snapToGrid w:val="0"/>
          <w:sz w:val="28"/>
          <w:szCs w:val="28"/>
        </w:rPr>
        <w:softHyphen/>
        <w:t>новлен в отношение налогоплательщиков — предпринимателей.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Исчисление суммы авансовых платежей на текущий нало</w:t>
      </w:r>
      <w:r>
        <w:rPr>
          <w:rFonts w:ascii="Arial" w:hAnsi="Arial" w:cs="Arial"/>
          <w:snapToGrid w:val="0"/>
          <w:sz w:val="28"/>
          <w:szCs w:val="28"/>
        </w:rPr>
        <w:softHyphen/>
        <w:t>говый период, подлежащих уплате этими налогоплательщи</w:t>
      </w:r>
      <w:r>
        <w:rPr>
          <w:rFonts w:ascii="Arial" w:hAnsi="Arial" w:cs="Arial"/>
          <w:snapToGrid w:val="0"/>
          <w:sz w:val="28"/>
          <w:szCs w:val="28"/>
        </w:rPr>
        <w:softHyphen/>
        <w:t>ками, за исключением адвокатов, производится налоговыми органами. При этом сумма авансовых платежей определяется исходя из суммы предполагаемого дохода с учетом расходов, связанных с его извлечением, который указан в подаваемой налогоплательщиком налоговой декларации. Указанная дек</w:t>
      </w:r>
      <w:r>
        <w:rPr>
          <w:rFonts w:ascii="Arial" w:hAnsi="Arial" w:cs="Arial"/>
          <w:snapToGrid w:val="0"/>
          <w:sz w:val="28"/>
          <w:szCs w:val="28"/>
        </w:rPr>
        <w:softHyphen/>
        <w:t>ларация должна быть подана налогоплательщиком не позднее 30 апреля года, следующего за отчетным годом. Сумма аван</w:t>
      </w:r>
      <w:r>
        <w:rPr>
          <w:rFonts w:ascii="Arial" w:hAnsi="Arial" w:cs="Arial"/>
          <w:snapToGrid w:val="0"/>
          <w:sz w:val="28"/>
          <w:szCs w:val="28"/>
        </w:rPr>
        <w:softHyphen/>
        <w:t>совых платежей может быть определена также исходя из сум</w:t>
      </w:r>
      <w:r>
        <w:rPr>
          <w:rFonts w:ascii="Arial" w:hAnsi="Arial" w:cs="Arial"/>
          <w:snapToGrid w:val="0"/>
          <w:sz w:val="28"/>
          <w:szCs w:val="28"/>
        </w:rPr>
        <w:softHyphen/>
        <w:t>мы фактической налоговой базы данного налогоплательщика за предыдущий налоговый период и соответствующих ставок единого социального налога. Исчисление суммы авансовых платежей на текущий налоговый период налоговые органы должны произвести не позднее пяти дней с момента подачи декларации с указанием сумм предполагаемого дохода на те</w:t>
      </w:r>
      <w:r>
        <w:rPr>
          <w:rFonts w:ascii="Arial" w:hAnsi="Arial" w:cs="Arial"/>
          <w:snapToGrid w:val="0"/>
          <w:sz w:val="28"/>
          <w:szCs w:val="28"/>
        </w:rPr>
        <w:softHyphen/>
        <w:t>кущий год.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случае появления в течение года у налогоплательщиков доходов, полученных от осуществления предпринимательской или другой профессиональной деятельности, они обязаны пред</w:t>
      </w:r>
      <w:r>
        <w:rPr>
          <w:rFonts w:ascii="Arial" w:hAnsi="Arial" w:cs="Arial"/>
          <w:snapToGrid w:val="0"/>
          <w:sz w:val="28"/>
          <w:szCs w:val="28"/>
        </w:rPr>
        <w:softHyphen/>
        <w:t>ставить налоговую декларацию с указанием суммы предпола</w:t>
      </w:r>
      <w:r>
        <w:rPr>
          <w:rFonts w:ascii="Arial" w:hAnsi="Arial" w:cs="Arial"/>
          <w:snapToGrid w:val="0"/>
          <w:sz w:val="28"/>
          <w:szCs w:val="28"/>
        </w:rPr>
        <w:softHyphen/>
        <w:t>гаемого дохода от указанной деятельности в текущем налого</w:t>
      </w:r>
      <w:r>
        <w:rPr>
          <w:rFonts w:ascii="Arial" w:hAnsi="Arial" w:cs="Arial"/>
          <w:snapToGrid w:val="0"/>
          <w:sz w:val="28"/>
          <w:szCs w:val="28"/>
        </w:rPr>
        <w:softHyphen/>
        <w:t>вом периоде в налоговый орган в пятидневный срок по исте</w:t>
      </w:r>
      <w:r>
        <w:rPr>
          <w:rFonts w:ascii="Arial" w:hAnsi="Arial" w:cs="Arial"/>
          <w:snapToGrid w:val="0"/>
          <w:sz w:val="28"/>
          <w:szCs w:val="28"/>
        </w:rPr>
        <w:softHyphen/>
        <w:t>чении месяца со дня появления таких доходов. При этом сумма предполагаемого дохода должна быть определена нало</w:t>
      </w:r>
      <w:r>
        <w:rPr>
          <w:rFonts w:ascii="Arial" w:hAnsi="Arial" w:cs="Arial"/>
          <w:snapToGrid w:val="0"/>
          <w:sz w:val="28"/>
          <w:szCs w:val="28"/>
        </w:rPr>
        <w:softHyphen/>
        <w:t>гоплательщиком по согласованию с налоговым органом.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Авансовые платежи уплачиваются на основании налого</w:t>
      </w:r>
      <w:r>
        <w:rPr>
          <w:rFonts w:ascii="Arial" w:hAnsi="Arial" w:cs="Arial"/>
          <w:snapToGrid w:val="0"/>
          <w:sz w:val="28"/>
          <w:szCs w:val="28"/>
        </w:rPr>
        <w:softHyphen/>
        <w:t>вых уведомлений, выписываемых и направляемых налогопла</w:t>
      </w:r>
      <w:r>
        <w:rPr>
          <w:rFonts w:ascii="Arial" w:hAnsi="Arial" w:cs="Arial"/>
          <w:snapToGrid w:val="0"/>
          <w:sz w:val="28"/>
          <w:szCs w:val="28"/>
        </w:rPr>
        <w:softHyphen/>
        <w:t>тельщикам в следующие сроки.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За январь — июнь налог уплачивается не позднее 15 июля текущего года в размере половины годовой суммы авансовых платежей, за июль — сентябрь — не позднее 15 октября теку</w:t>
      </w:r>
      <w:r>
        <w:rPr>
          <w:rFonts w:ascii="Arial" w:hAnsi="Arial" w:cs="Arial"/>
          <w:snapToGrid w:val="0"/>
          <w:sz w:val="28"/>
          <w:szCs w:val="28"/>
        </w:rPr>
        <w:softHyphen/>
        <w:t>щего года в размере одной четвертой годовой суммы авансо</w:t>
      </w:r>
      <w:r>
        <w:rPr>
          <w:rFonts w:ascii="Arial" w:hAnsi="Arial" w:cs="Arial"/>
          <w:snapToGrid w:val="0"/>
          <w:sz w:val="28"/>
          <w:szCs w:val="28"/>
        </w:rPr>
        <w:softHyphen/>
        <w:t>вых платежей и за октябрь — декабрь — не позднее 15 января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следующего года в размере одной четвертой годовой суммы авансовых платежей.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В случае значительного, т. е. более чем на 50 % увеличе</w:t>
      </w:r>
      <w:r>
        <w:rPr>
          <w:rFonts w:ascii="Arial" w:hAnsi="Arial" w:cs="Arial"/>
          <w:snapToGrid w:val="0"/>
          <w:sz w:val="28"/>
          <w:szCs w:val="28"/>
        </w:rPr>
        <w:softHyphen/>
        <w:t>ния дохода в налоговом периоде, против установленного при расчете авансовых платежей, налогоплательщик обязан пред</w:t>
      </w:r>
      <w:r>
        <w:rPr>
          <w:rFonts w:ascii="Arial" w:hAnsi="Arial" w:cs="Arial"/>
          <w:snapToGrid w:val="0"/>
          <w:sz w:val="28"/>
          <w:szCs w:val="28"/>
        </w:rPr>
        <w:softHyphen/>
        <w:t>ставить новую декларацию с указанием сумм предполагаемо</w:t>
      </w:r>
      <w:r>
        <w:rPr>
          <w:rFonts w:ascii="Arial" w:hAnsi="Arial" w:cs="Arial"/>
          <w:snapToGrid w:val="0"/>
          <w:sz w:val="28"/>
          <w:szCs w:val="28"/>
        </w:rPr>
        <w:softHyphen/>
        <w:t>го дохода на текущий год, а в случае значительного уменьше</w:t>
      </w:r>
      <w:r>
        <w:rPr>
          <w:rFonts w:ascii="Arial" w:hAnsi="Arial" w:cs="Arial"/>
          <w:snapToGrid w:val="0"/>
          <w:sz w:val="28"/>
          <w:szCs w:val="28"/>
        </w:rPr>
        <w:softHyphen/>
        <w:t>ния дохода он вправе представить новую декларацию. В этих случаях налоговый орган должен произвести перерасчет авансовых платежей налога на текущий год по не наступившим срокам уплаты не позднее пяти дней с момента подачи новой декларации.</w:t>
      </w:r>
    </w:p>
    <w:p w:rsidR="003E595B" w:rsidRDefault="003E595B">
      <w:pPr>
        <w:pStyle w:val="21"/>
        <w:ind w:firstLine="567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Окончательный расчет налога производится налогоплатель</w:t>
      </w:r>
      <w:r>
        <w:rPr>
          <w:rFonts w:ascii="Arial" w:hAnsi="Arial" w:cs="Arial"/>
          <w:color w:val="auto"/>
          <w:sz w:val="28"/>
          <w:szCs w:val="28"/>
        </w:rPr>
        <w:softHyphen/>
        <w:t>щиками — предпринимателями, за исключением адвокатов, самостоятельно, с учетом всех полученных в налоговом пери</w:t>
      </w:r>
      <w:r>
        <w:rPr>
          <w:rFonts w:ascii="Arial" w:hAnsi="Arial" w:cs="Arial"/>
          <w:color w:val="auto"/>
          <w:sz w:val="28"/>
          <w:szCs w:val="28"/>
        </w:rPr>
        <w:softHyphen/>
        <w:t>оде доходов, включаемых в налоговую базу. При этом сумма налога должна быть исчислена налогоплательщиком отдельно в отношении каждого фонда. Она определяется как соответ</w:t>
      </w:r>
      <w:r>
        <w:rPr>
          <w:rFonts w:ascii="Arial" w:hAnsi="Arial" w:cs="Arial"/>
          <w:color w:val="auto"/>
          <w:sz w:val="28"/>
          <w:szCs w:val="28"/>
        </w:rPr>
        <w:softHyphen/>
        <w:t>ствующая процентная доля соответствующей налоговой базы.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Разница между суммами авансовых платежей, уплаченны</w:t>
      </w:r>
      <w:r>
        <w:rPr>
          <w:rFonts w:ascii="Arial" w:hAnsi="Arial" w:cs="Arial"/>
          <w:snapToGrid w:val="0"/>
          <w:sz w:val="28"/>
          <w:szCs w:val="28"/>
        </w:rPr>
        <w:softHyphen/>
        <w:t>ми в течение налогового периода, и суммой налога, подлежа</w:t>
      </w:r>
      <w:r>
        <w:rPr>
          <w:rFonts w:ascii="Arial" w:hAnsi="Arial" w:cs="Arial"/>
          <w:snapToGrid w:val="0"/>
          <w:sz w:val="28"/>
          <w:szCs w:val="28"/>
        </w:rPr>
        <w:softHyphen/>
        <w:t>щей уплате по итогам налогового периода, должна быть вне</w:t>
      </w:r>
      <w:r>
        <w:rPr>
          <w:rFonts w:ascii="Arial" w:hAnsi="Arial" w:cs="Arial"/>
          <w:snapToGrid w:val="0"/>
          <w:sz w:val="28"/>
          <w:szCs w:val="28"/>
        </w:rPr>
        <w:softHyphen/>
        <w:t>сена налогоплательщиком не позднее 15 июля года, следую</w:t>
      </w:r>
      <w:r>
        <w:rPr>
          <w:rFonts w:ascii="Arial" w:hAnsi="Arial" w:cs="Arial"/>
          <w:snapToGrid w:val="0"/>
          <w:sz w:val="28"/>
          <w:szCs w:val="28"/>
        </w:rPr>
        <w:softHyphen/>
        <w:t>щего за отчетным налоговым периодом. Эта сумма может быть зачтена в счет будущих налоговых платежей или возвращена налогоплательщику.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Исчисление и уплата налога с доходов адвокатов осуще</w:t>
      </w:r>
      <w:r>
        <w:rPr>
          <w:rFonts w:ascii="Arial" w:hAnsi="Arial" w:cs="Arial"/>
          <w:snapToGrid w:val="0"/>
          <w:sz w:val="28"/>
          <w:szCs w:val="28"/>
        </w:rPr>
        <w:softHyphen/>
        <w:t>ствляются юридическими консультациями в таком же поряд</w:t>
      </w:r>
      <w:r>
        <w:rPr>
          <w:rFonts w:ascii="Arial" w:hAnsi="Arial" w:cs="Arial"/>
          <w:snapToGrid w:val="0"/>
          <w:sz w:val="28"/>
          <w:szCs w:val="28"/>
        </w:rPr>
        <w:softHyphen/>
        <w:t>ке, как это предусмотрено для налогоплательщиков — работо</w:t>
      </w:r>
      <w:r>
        <w:rPr>
          <w:rFonts w:ascii="Arial" w:hAnsi="Arial" w:cs="Arial"/>
          <w:snapToGrid w:val="0"/>
          <w:sz w:val="28"/>
          <w:szCs w:val="28"/>
        </w:rPr>
        <w:softHyphen/>
        <w:t>дателей.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3. Заключение</w:t>
      </w:r>
    </w:p>
    <w:p w:rsidR="003E595B" w:rsidRDefault="003E595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600"/>
        <w:jc w:val="both"/>
        <w:rPr>
          <w:sz w:val="28"/>
          <w:szCs w:val="28"/>
        </w:rPr>
      </w:pPr>
    </w:p>
    <w:p w:rsidR="003E595B" w:rsidRDefault="003E595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600"/>
        <w:jc w:val="both"/>
        <w:rPr>
          <w:rFonts w:ascii="LMUkrLine" w:hAnsi="LMUkrLine" w:cs="LMUkrLine"/>
          <w:sz w:val="28"/>
          <w:szCs w:val="28"/>
        </w:rPr>
      </w:pPr>
      <w:r>
        <w:rPr>
          <w:rFonts w:ascii="LMUkrLine" w:hAnsi="LMUkrLine" w:cs="LMUkrLine"/>
          <w:sz w:val="28"/>
          <w:szCs w:val="28"/>
        </w:rPr>
        <w:t xml:space="preserve">Åäèíûé ñîöèàëüíûé íàëîã çàìåíèë ñ 01.01.2001 âçíîñû â ñîöèàëüíûå âíåáþäæåòíûå ôîíäû - Ïåíñèîííûé ôîíä, ôîíä ñîöèàëüíîãî ñòðàõîâàíèÿ, ôîíäû îáÿçàòåëüíîãî ìåäèöèíñêîãî ñòðàõîâàíèÿ. Âçíîñû â ôîíä çàíÿòîñòè ñ ðàáîòîäàòåëåé îòìåíèëèñü, èñòî÷íèêîì ôîðìèðîâàíèÿ ýòîãî ôîíäà ñòàëè ïîñòóïëåíèÿ ïîäîõîäíîãî íàëîãà ñ ôèçè÷åñêèõ ëèö (íà ýòè öåëè âûäåëÿåòñÿ 1% èç 13% ïîäîõîäíîãî íàëîãà). Âçíîñû íà ñîöèàëüíîå ñòðàõîâàíèå îò íåñ÷àñòíûõ ñëó÷àåâ íà ïðîèçâîäñòâå è ïðîôåññèîíàëüíûõ çàáîëåâàíèé ïîêà ñîõðàíÿþòñÿ â íåèçìåííîì âèäå, è ïåðåõîä ê åäèíîìó ñîöèàëüíîìó íàëîãó íèêàê íå çàòðàãèâàåò ýòîò âèä ïëàòåæåé. 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работодателей изучение положений главы 24 НК представляет значительный интерес. С 1 января 2001 года работодатели при определенных условиях могут применять регрессивную шкалу налога - от 36,5 до 5% от фонда оплаты труда в зависимости от средней заработной платы в организации. Однако, в соответствии со ст.245 НК "Переходные положения" применение работодателем этой шкалы с 2001 года возможно лишь в случае, если начисленная во втором полугодии 2000 года заработная плата на одного работающего превышает 25 000 руб., т.е. свыше 4 000 руб. в месяц. Если же работодатель выплачивал более низкую зарплату, то с 2001 года он не имеет права применять регрессивную шкалу, а будет уплачивать социальный налог по единой ставке 35,6 %, независимо от того, какая средняя заработная плата сформировалась в организации в текущем году. В этом смысле глава 24 НК имеет ретроактивное действие - условия налогообложения 2001 года зависят от того, какие показатели организация имеет в 2000 году.</w:t>
      </w:r>
    </w:p>
    <w:p w:rsidR="003E595B" w:rsidRDefault="003E595B">
      <w:pPr>
        <w:pStyle w:val="23"/>
        <w:rPr>
          <w:rFonts w:ascii="LMUkrLine" w:hAnsi="LMUkrLine" w:cs="LMUkrLine"/>
        </w:rPr>
      </w:pPr>
      <w:r>
        <w:rPr>
          <w:rFonts w:ascii="LMUkrLine" w:hAnsi="LMUkrLine" w:cs="LMUkrLine"/>
        </w:rPr>
        <w:t xml:space="preserve">Îòìåòèì òàêæå, ÷òî âîçíàãðàæäåíèÿ ïî ëèöåíçèîííûì äîãîâîðàì âïåðâûå ïîïàëè ïîä îáëîæåíèå ñîöèàëüíûìè âçíîñàìè. 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Кроме того, объектом налогообложения признаются "выплаты в виде материальной помощи и иные безвозмездные выплаты... в пользу физических лиц, не связанных с налогоплательщиком трудовым договором либо договором гражданско-правового характера, предметом которого является выполнение работ (оказание услуг), авторским или лицензионным договором. Указанные выплаты не признаются объектом налогообложения, если они производятся из прибыли, остающейся в распоряжении организации. Выплаты в виде материальной помощи, иные безвозмездные выплаты, выплаты в натуральной форме, производимые сельскохозяйственной продукцией и (или) товарами для детей, признаются объектом налогообложения в части сумм, превышающих 1000 рублей в расчете на календарный месяц".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Используемая литература.</w:t>
      </w:r>
    </w:p>
    <w:p w:rsidR="003E595B" w:rsidRDefault="003E59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Налоговый кодекс РФ. Часть первая. М.: ЭКМОС, - 2000.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Налоговый кодекс РФ с комментариями. Часть вторая. М.: ТАНДЕМ, - 2001.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Евстигнеев Е.Н. Основы налогообложения и налогового права: Учебное пособие. – М.: ИНФРА-М, 2000.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План счетов бухгалтерского учета.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Кондраков Н. П. Бухгалтерский учет: Учебное пособие. – 2-е издание, переаб. и доп.-М.: ИНФРА-М, 2000.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Финансы. Денежное обращение. Кредит. Конспект лекций. М.: “Издательство ПРИОР”, 2000.</w:t>
      </w:r>
    </w:p>
    <w:p w:rsidR="003E595B" w:rsidRDefault="003E595B">
      <w:pPr>
        <w:pStyle w:val="a3"/>
        <w:numPr>
          <w:ilvl w:val="0"/>
          <w:numId w:val="4"/>
        </w:numPr>
        <w:tabs>
          <w:tab w:val="clear" w:pos="720"/>
          <w:tab w:val="left" w:pos="360"/>
        </w:tabs>
        <w:ind w:left="360"/>
      </w:pPr>
      <w:r>
        <w:t>Пансков В. Г. Налоги и налогооблажение в Российской Федерации. Учебник для вузов. Изд. 3-е доп. и перераб. – М.: Международный центр финансово-экономического развития, 2001.</w:t>
      </w: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E595B" w:rsidRDefault="003E595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E595B">
      <w:footerReference w:type="default" r:id="rId9"/>
      <w:pgSz w:w="12242" w:h="15842"/>
      <w:pgMar w:top="1701" w:right="1752" w:bottom="1134" w:left="1440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5B" w:rsidRDefault="003E595B">
      <w:r>
        <w:separator/>
      </w:r>
    </w:p>
  </w:endnote>
  <w:endnote w:type="continuationSeparator" w:id="0">
    <w:p w:rsidR="003E595B" w:rsidRDefault="003E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MUkrLin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5B" w:rsidRDefault="00412BB6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3E595B" w:rsidRDefault="003E59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5B" w:rsidRDefault="003E595B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33</w:t>
    </w:r>
  </w:p>
  <w:p w:rsidR="003E595B" w:rsidRDefault="003E59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5B" w:rsidRDefault="003E595B">
      <w:r>
        <w:separator/>
      </w:r>
    </w:p>
  </w:footnote>
  <w:footnote w:type="continuationSeparator" w:id="0">
    <w:p w:rsidR="003E595B" w:rsidRDefault="003E595B">
      <w:r>
        <w:continuationSeparator/>
      </w:r>
    </w:p>
  </w:footnote>
  <w:footnote w:id="1">
    <w:p w:rsidR="003E595B" w:rsidRDefault="003E595B">
      <w:pPr>
        <w:spacing w:before="160" w:line="360" w:lineRule="auto"/>
        <w:ind w:firstLine="567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Style w:val="ac"/>
        </w:rPr>
        <w:footnoteRef/>
      </w:r>
      <w:r>
        <w:t xml:space="preserve"> </w:t>
      </w:r>
      <w:r>
        <w:rPr>
          <w:rFonts w:ascii="Arial" w:hAnsi="Arial" w:cs="Arial"/>
          <w:snapToGrid w:val="0"/>
          <w:sz w:val="18"/>
          <w:szCs w:val="18"/>
        </w:rPr>
        <w:t>Указанные положения вступают в действие с 2002 г. В течение 2001 г. указанные ставки применяются налогоплательщиками - работо</w:t>
      </w:r>
      <w:r>
        <w:rPr>
          <w:rFonts w:ascii="Arial" w:hAnsi="Arial" w:cs="Arial"/>
          <w:snapToGrid w:val="0"/>
          <w:sz w:val="18"/>
          <w:szCs w:val="18"/>
        </w:rPr>
        <w:softHyphen/>
        <w:t>дателями при условии, что фактический размер выплат, начисленных в среднем на одного работника и принимавшихся за базу при расчете плате</w:t>
      </w:r>
      <w:r>
        <w:rPr>
          <w:rFonts w:ascii="Arial" w:hAnsi="Arial" w:cs="Arial"/>
          <w:snapToGrid w:val="0"/>
          <w:sz w:val="18"/>
          <w:szCs w:val="18"/>
        </w:rPr>
        <w:softHyphen/>
        <w:t>жей в государственные внебюджетные фонды во втором полугодии 2000 г., превышал 25 000 руб. Налогоплательщики, не соответствующие указан</w:t>
      </w:r>
      <w:r>
        <w:rPr>
          <w:rFonts w:ascii="Arial" w:hAnsi="Arial" w:cs="Arial"/>
          <w:snapToGrid w:val="0"/>
          <w:sz w:val="18"/>
          <w:szCs w:val="18"/>
        </w:rPr>
        <w:softHyphen/>
        <w:t>ному критерию, уплачивают налог по ставкам, предусмотренным при величине налоговой базы на каждого отдельного работника до 100 000 руб., независимо от фактической величины налоговой базы на каждого отдельного работника.</w:t>
      </w:r>
    </w:p>
    <w:p w:rsidR="003E595B" w:rsidRDefault="003E595B">
      <w:pPr>
        <w:pStyle w:val="aa"/>
        <w:spacing w:line="360" w:lineRule="auto"/>
        <w:ind w:firstLine="567"/>
        <w:jc w:val="both"/>
      </w:pPr>
      <w:r>
        <w:rPr>
          <w:rFonts w:ascii="Arial" w:hAnsi="Arial" w:cs="Arial"/>
          <w:snapToGrid w:val="0"/>
          <w:sz w:val="18"/>
          <w:szCs w:val="18"/>
        </w:rPr>
        <w:t>При расчете фактического размера выплат, начисленных в среднем на одного работника и принимавшихся за базу при расчете платежей в госу</w:t>
      </w:r>
      <w:r>
        <w:rPr>
          <w:rFonts w:ascii="Arial" w:hAnsi="Arial" w:cs="Arial"/>
          <w:snapToGrid w:val="0"/>
          <w:sz w:val="18"/>
          <w:szCs w:val="18"/>
        </w:rPr>
        <w:softHyphen/>
        <w:t>дарственные внебюджетные фонды, в организациях с численностью ра</w:t>
      </w:r>
      <w:r>
        <w:rPr>
          <w:rFonts w:ascii="Arial" w:hAnsi="Arial" w:cs="Arial"/>
          <w:snapToGrid w:val="0"/>
          <w:sz w:val="18"/>
          <w:szCs w:val="18"/>
        </w:rPr>
        <w:softHyphen/>
        <w:t>ботников свыше 30 человек не учитываются выплаты 10 процентов ра</w:t>
      </w:r>
      <w:r>
        <w:rPr>
          <w:rFonts w:ascii="Arial" w:hAnsi="Arial" w:cs="Arial"/>
          <w:snapToGrid w:val="0"/>
          <w:sz w:val="18"/>
          <w:szCs w:val="18"/>
        </w:rPr>
        <w:softHyphen/>
        <w:t>ботников, имеющих наибольшие по размеру выплаты, а в организациях с численностью работников до 30 человек— выплаты 30 процентов работ</w:t>
      </w:r>
      <w:r>
        <w:rPr>
          <w:rFonts w:ascii="Arial" w:hAnsi="Arial" w:cs="Arial"/>
          <w:snapToGrid w:val="0"/>
          <w:sz w:val="18"/>
          <w:szCs w:val="18"/>
        </w:rPr>
        <w:softHyphen/>
        <w:t>ников, имеющих наибольшие по размеру выплаты.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5B" w:rsidRDefault="003E595B">
    <w:pPr>
      <w:pStyle w:val="af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8B1"/>
    <w:multiLevelType w:val="multilevel"/>
    <w:tmpl w:val="4F303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B7F6D32"/>
    <w:multiLevelType w:val="multilevel"/>
    <w:tmpl w:val="E7C048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2">
    <w:nsid w:val="4A0B4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B3507FF"/>
    <w:multiLevelType w:val="multilevel"/>
    <w:tmpl w:val="020A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331AE"/>
    <w:multiLevelType w:val="multilevel"/>
    <w:tmpl w:val="5442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</w:rPr>
    </w:lvl>
  </w:abstractNum>
  <w:abstractNum w:abstractNumId="5">
    <w:nsid w:val="715E62E0"/>
    <w:multiLevelType w:val="multilevel"/>
    <w:tmpl w:val="9A7E74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BB6"/>
    <w:rsid w:val="0031287F"/>
    <w:rsid w:val="003E595B"/>
    <w:rsid w:val="00412BB6"/>
    <w:rsid w:val="006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658074C5-C474-4E31-80F7-3519CC2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56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0"/>
      <w:jc w:val="center"/>
      <w:outlineLvl w:val="1"/>
    </w:pPr>
    <w:rPr>
      <w:rFonts w:ascii="Arial" w:hAnsi="Arial" w:cs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color w:val="000000"/>
      <w:sz w:val="16"/>
      <w:szCs w:val="16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23">
    <w:name w:val="Body Text Indent 2"/>
    <w:basedOn w:val="a"/>
    <w:link w:val="24"/>
    <w:uiPriority w:val="99"/>
    <w:pPr>
      <w:spacing w:line="360" w:lineRule="auto"/>
      <w:ind w:firstLine="567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260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8">
    <w:name w:val="Title"/>
    <w:basedOn w:val="a"/>
    <w:link w:val="a9"/>
    <w:uiPriority w:val="99"/>
    <w:qFormat/>
    <w:pPr>
      <w:spacing w:line="360" w:lineRule="auto"/>
      <w:ind w:firstLine="56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rPr>
      <w:vertAlign w:val="superscript"/>
    </w:rPr>
  </w:style>
  <w:style w:type="paragraph" w:styleId="ad">
    <w:name w:val="Plain Text"/>
    <w:basedOn w:val="a"/>
    <w:link w:val="ae"/>
    <w:uiPriority w:val="99"/>
    <w:rPr>
      <w:rFonts w:ascii="Courier New" w:hAnsi="Courier New" w:cs="Courier New"/>
    </w:rPr>
  </w:style>
  <w:style w:type="character" w:customStyle="1" w:styleId="ae">
    <w:name w:val="Текст Знак"/>
    <w:link w:val="ad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6785</Words>
  <Characters>38679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45374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Сергей</dc:creator>
  <cp:keywords/>
  <dc:description/>
  <cp:lastModifiedBy>admin</cp:lastModifiedBy>
  <cp:revision>2</cp:revision>
  <cp:lastPrinted>2001-10-05T13:22:00Z</cp:lastPrinted>
  <dcterms:created xsi:type="dcterms:W3CDTF">2014-03-12T12:48:00Z</dcterms:created>
  <dcterms:modified xsi:type="dcterms:W3CDTF">2014-03-12T12:48:00Z</dcterms:modified>
</cp:coreProperties>
</file>