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B7" w:rsidRPr="00CA6E40" w:rsidRDefault="00016BB7" w:rsidP="00CA6E40">
      <w:pPr>
        <w:pStyle w:val="2"/>
        <w:divId w:val="445125317"/>
        <w:rPr>
          <w:lang w:val="uk-UA"/>
        </w:rPr>
      </w:pPr>
      <w:r w:rsidRPr="00CA6E40">
        <w:rPr>
          <w:lang w:val="uk-UA"/>
        </w:rPr>
        <w:t>Вибуття запасів</w:t>
      </w:r>
      <w:r w:rsidR="00CA6E40" w:rsidRPr="00CA6E40">
        <w:rPr>
          <w:lang w:val="uk-UA"/>
        </w:rPr>
        <w:t xml:space="preserve">: </w:t>
      </w:r>
      <w:r w:rsidRPr="00CA6E40">
        <w:rPr>
          <w:lang w:val="uk-UA"/>
        </w:rPr>
        <w:t>оцінка та відображення в обліку</w:t>
      </w:r>
    </w:p>
    <w:p w:rsid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Для оцінки вибуття запасів є декілька методів, які визначено в Положенні (стандарті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 xml:space="preserve">бухгалтерського обліку 9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Запаси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, затвердженому наказом Мінфіну України від 20</w:t>
      </w:r>
      <w:r w:rsidR="00CA6E40" w:rsidRPr="00CA6E40">
        <w:rPr>
          <w:lang w:val="uk-UA"/>
        </w:rPr>
        <w:t>.1</w:t>
      </w:r>
      <w:r w:rsidRPr="00CA6E40">
        <w:rPr>
          <w:lang w:val="uk-UA"/>
        </w:rPr>
        <w:t>0</w:t>
      </w:r>
      <w:r w:rsidR="00CA6E40" w:rsidRPr="00CA6E40">
        <w:rPr>
          <w:lang w:val="uk-UA"/>
        </w:rPr>
        <w:t>.9</w:t>
      </w:r>
      <w:r w:rsidRPr="00CA6E40">
        <w:rPr>
          <w:lang w:val="uk-UA"/>
        </w:rPr>
        <w:t>9 р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№ 246 (зареєстровано в Мін’юсті України 23</w:t>
      </w:r>
      <w:r w:rsidR="00CA6E40" w:rsidRPr="00CA6E40">
        <w:rPr>
          <w:lang w:val="uk-UA"/>
        </w:rPr>
        <w:t>.0</w:t>
      </w:r>
      <w:r w:rsidRPr="00CA6E40">
        <w:rPr>
          <w:lang w:val="uk-UA"/>
        </w:rPr>
        <w:t>7</w:t>
      </w:r>
      <w:r w:rsidR="00CA6E40" w:rsidRPr="00CA6E40">
        <w:rPr>
          <w:lang w:val="uk-UA"/>
        </w:rPr>
        <w:t>.9</w:t>
      </w:r>
      <w:r w:rsidRPr="00CA6E40">
        <w:rPr>
          <w:lang w:val="uk-UA"/>
        </w:rPr>
        <w:t>9 р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за № 4999/3792, зі змінами та доповненнями</w:t>
      </w:r>
      <w:r w:rsidR="00CA6E40" w:rsidRPr="00CA6E40">
        <w:rPr>
          <w:lang w:val="uk-UA"/>
        </w:rPr>
        <w:t xml:space="preserve">). </w:t>
      </w:r>
      <w:r w:rsidRPr="00CA6E40">
        <w:rPr>
          <w:lang w:val="uk-UA"/>
        </w:rPr>
        <w:t>Насамперед слід зазначити, що запаси підприємства – це активи, які</w:t>
      </w:r>
      <w:r w:rsidR="00CA6E40" w:rsidRPr="00CA6E40">
        <w:rPr>
          <w:lang w:val="uk-UA"/>
        </w:rPr>
        <w:t xml:space="preserve">: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утримуються для подальшого продажу за умов звичайної господарської діяльності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перебувають у процесі виробництва з метою подальшого продажу продукту виробництва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утримуються для споживання під час виробництва продукції, виконання робіт та надання послуг, а також управління підприємством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Запаси визнаються активом, якщо, по-перше, існує ймовірність того, що підприємство отримає в майбутньому економічні вигоди, пов’язані з їх використанням, i по-друге, коли їх вартість може бути достовірно оцінено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Запаси є оборотними активами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Всі запаси, які є на підприємстві, можна поділити на дві групи</w:t>
      </w:r>
      <w:r w:rsidR="00CA6E40" w:rsidRPr="00CA6E40">
        <w:rPr>
          <w:lang w:val="uk-UA"/>
        </w:rPr>
        <w:t xml:space="preserve">: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запаси, які на правах власності належать підприємству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запаси, які не є власністю підприємства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До власних запасів відносяться виробничі запаси (сировина, основні й допоміжні матеріали, комплектуючі вироби та інші матеріальні цінності, що призначені для виробництва продукції, виконання робіт, надання послуг, обслуговування виробництва й адміністративних потреб</w:t>
      </w:r>
      <w:r w:rsidR="00CA6E40" w:rsidRPr="00CA6E40">
        <w:rPr>
          <w:lang w:val="uk-UA"/>
        </w:rPr>
        <w:t xml:space="preserve">; </w:t>
      </w:r>
      <w:r w:rsidRPr="00CA6E40">
        <w:rPr>
          <w:lang w:val="uk-UA"/>
        </w:rPr>
        <w:t>малоцінні та швидкозношувані предмети</w:t>
      </w:r>
      <w:r w:rsidR="00CA6E40" w:rsidRPr="00CA6E40">
        <w:rPr>
          <w:lang w:val="uk-UA"/>
        </w:rPr>
        <w:t xml:space="preserve">); </w:t>
      </w:r>
      <w:r w:rsidRPr="00CA6E40">
        <w:rPr>
          <w:lang w:val="uk-UA"/>
        </w:rPr>
        <w:t>незавершене виробництво</w:t>
      </w:r>
      <w:r w:rsidR="00CA6E40" w:rsidRPr="00CA6E40">
        <w:rPr>
          <w:lang w:val="uk-UA"/>
        </w:rPr>
        <w:t xml:space="preserve">; </w:t>
      </w:r>
      <w:r w:rsidRPr="00CA6E40">
        <w:rPr>
          <w:lang w:val="uk-UA"/>
        </w:rPr>
        <w:t>готова продукція</w:t>
      </w:r>
      <w:r w:rsidR="00CA6E40" w:rsidRPr="00CA6E40">
        <w:rPr>
          <w:lang w:val="uk-UA"/>
        </w:rPr>
        <w:t xml:space="preserve">; </w:t>
      </w:r>
      <w:r w:rsidRPr="00CA6E40">
        <w:rPr>
          <w:lang w:val="uk-UA"/>
        </w:rPr>
        <w:t>товари, які придбані (отримані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й утримуються підприємством з метою подальшого продажу (тобто з метою отримання економічних вигод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а також молодняк тварин i тварини на відгодівлі (у сільськогосподарських підприємств</w:t>
      </w:r>
      <w:r w:rsidR="00CA6E40" w:rsidRPr="00CA6E40">
        <w:rPr>
          <w:lang w:val="uk-UA"/>
        </w:rPr>
        <w:t xml:space="preserve">).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До запасів, які не є власністю підприємства, відносяться матеріали, прийняті для переробки</w:t>
      </w:r>
      <w:r w:rsidR="00CA6E40" w:rsidRPr="00CA6E40">
        <w:rPr>
          <w:lang w:val="uk-UA"/>
        </w:rPr>
        <w:t xml:space="preserve">; </w:t>
      </w:r>
      <w:r w:rsidRPr="00CA6E40">
        <w:rPr>
          <w:lang w:val="uk-UA"/>
        </w:rPr>
        <w:t>матеріальні цінності на відповідальному зберіганні та товари на комісії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Вибуття запасів здійснюється шляхом відпуску їх у виробництво, продаж тощо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Для оцінки запасів, що вибули, може бути використано один з таких методів</w:t>
      </w:r>
      <w:r w:rsidR="00CA6E40" w:rsidRPr="00CA6E40">
        <w:rPr>
          <w:lang w:val="uk-UA"/>
        </w:rPr>
        <w:t xml:space="preserve">: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ідентифікованої собівартості відповідної одиниці запасів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середньозваженої собівартості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собівартості перших за часом надходження запасів (метод ФІФО</w:t>
      </w:r>
      <w:r w:rsidR="00CA6E40" w:rsidRPr="00CA6E40">
        <w:rPr>
          <w:lang w:val="uk-UA"/>
        </w:rPr>
        <w:t xml:space="preserve">);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собівартості останніх за часом надходження запасів (метод ЛІФО</w:t>
      </w:r>
      <w:r w:rsidR="00CA6E40" w:rsidRPr="00CA6E40">
        <w:rPr>
          <w:lang w:val="uk-UA"/>
        </w:rPr>
        <w:t xml:space="preserve">);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нормативних затрат</w:t>
      </w:r>
      <w:r w:rsidR="00CA6E40" w:rsidRPr="00CA6E40">
        <w:rPr>
          <w:lang w:val="uk-UA"/>
        </w:rPr>
        <w:t xml:space="preserve">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• ціни продажу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Для всіх одиниць бухгалтерського обліку запасів, які мають однакове призначення та однакові умови використання, застосовується лише один із наведених методів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Одиницею ж обліку запасів є найменування запасів або однорідна група запасів (вид</w:t>
      </w:r>
      <w:r w:rsidR="00CA6E40" w:rsidRPr="00CA6E40">
        <w:rPr>
          <w:lang w:val="uk-UA"/>
        </w:rPr>
        <w:t xml:space="preserve">).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За методом ідентифікованої собівартості оцінюються запаси, які відпускаються для виконання спеціальних замовлень i проектів, а також запаси, які не можуть замінити один одного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Цей метод може застосовуватись за умов незначної номенклатури матеріалів або товарів, що використовуються на підприємстві, при продажу товарів, які мають високу ціну, i у тому випадку, коли помітну питому вагу у вартості товару становить вартість сировини, що використовувалась для його виробництва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Облік надходження матеріалів, їх відпуску та залишків за цим методом здійснюється за конкретними одиницями запасів</w:t>
      </w:r>
      <w:r w:rsidR="00CA6E40" w:rsidRPr="00CA6E40">
        <w:rPr>
          <w:lang w:val="uk-UA"/>
        </w:rPr>
        <w:t xml:space="preserve">. </w:t>
      </w:r>
    </w:p>
    <w:p w:rsidR="00016BB7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Оцінка запасів, що вибули, за методом середньозваженої собівартості провадиться за кожною одиницею запасів шляхом ділення сумарної вартості залишку таких запасів на початок звітного місяця i вартості таких самих запасів, одержаних у звітному місяці, на їх сумарну кількість на початок звітного місяця i одержаних у звітному місяці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 xml:space="preserve">Таким чином, середньозважена собівартість одиниці запасів, які вибули, визначається за формулою </w:t>
      </w:r>
    </w:p>
    <w:p w:rsidR="00CA6E40" w:rsidRP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tbl>
      <w:tblPr>
        <w:tblW w:w="4297" w:type="pct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379"/>
        <w:gridCol w:w="2610"/>
        <w:gridCol w:w="379"/>
        <w:gridCol w:w="2547"/>
      </w:tblGrid>
      <w:tr w:rsidR="00016BB7" w:rsidRPr="006C6123" w:rsidTr="006C6123">
        <w:trPr>
          <w:divId w:val="445125317"/>
        </w:trPr>
        <w:tc>
          <w:tcPr>
            <w:tcW w:w="1404" w:type="pct"/>
            <w:vMerge w:val="restar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Середньозважена собівартість одиниці запасів конкретного найменування</w:t>
            </w:r>
            <w:r w:rsidR="00CA6E40" w:rsidRPr="006C6123">
              <w:rPr>
                <w:lang w:val="uk-UA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Вартість залишку запасів конкретного найменування на початок звітного періоду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+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Вартість запасів конкретного найменування, одержаних у звітному періоді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1404" w:type="pct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= 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-----------------------</w:t>
            </w:r>
          </w:p>
        </w:tc>
      </w:tr>
      <w:tr w:rsidR="00016BB7" w:rsidRPr="006C6123" w:rsidTr="006C6123">
        <w:trPr>
          <w:divId w:val="445125317"/>
        </w:trPr>
        <w:tc>
          <w:tcPr>
            <w:tcW w:w="1404" w:type="pct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Кількість запасів конкретного найменування на початок звітного періоду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+ </w:t>
            </w:r>
          </w:p>
        </w:tc>
        <w:tc>
          <w:tcPr>
            <w:tcW w:w="0" w:type="auto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Кількість запасів конкретного найменування, одержаних у звітному періоді </w:t>
            </w:r>
          </w:p>
        </w:tc>
      </w:tr>
    </w:tbl>
    <w:p w:rsid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За методом середньозваженої собівартості може бути оцінено кількість запасів конкретного найменування, що вибули за місяць, або кількість запасів за кожною окремою операцією з вибуття запасів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У цьому випадку визначатиметься середньозважена собівартість окремої операції шляхом ділення сумарної вартості запасів на дату операції на сумарну кількість таких запасів на дату операції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Оцінка запасів за методом собівартості перших за часом надходження запасів (метод ФІФО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базується на припущенні, що запаси використовуються в тій послідовності, в якій вони надходили на підприємство, i, відповідно, запаси, які першими відпускаються у виробництво (продаж та інше вибуття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оцінюються за собівартістю перших за часом надходження запасів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У разі використання методу собівартості останніх за часом надходження запасів (метод ЛІФО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принцип оцінки запасів базується на тому, що запаси використовуються у послідовності, протилежній їх надходженню на підприємство (зарахуванню у бухгалтерському обліку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i, відповідно, запаси, які першими відпускаються у виробництво (продаж та інше вибуття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оцінюються за собівартістю останніх за часом надходження запасів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Вищеперелічені методи середньозваженої собівартості – ФІФО та ЛІФО – можуть застосовуватись для оцінки будь-яких запасів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Суть методу нормативних затрат полягає в тому, що для оцінки запасів застосовують норми витрат на одиницю продукції (робіт, послуг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які встановлено підприємством з урахуванням нормальних рівнів використання запасів, праці, виробничих потужностей i діючих цін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Для забезпечення максимального наближення нормативних затрат до фактичних норми затрат i ціни у нормативній базі підприємства повинні регулярно перевірятися i переглядатися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Такий метод доцільно застосовувати на виробничих підприємствах, але за умови налагодженого нормативного господарства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У цьому випадку відхилення між нормативними i фактичними витратами на запаси (матеріали, сировина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є несуттєвими i списуються в момент придбання таких запасів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Сума перевищення фактичної собівартості запасів над їх нормативною собівартістю включається до складу собівартості реалізованої продукції звітного року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Останній метод оцінки запасів – метод ціни продажу – може застосовуватись на підприємствах роздрібної торгівлі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Суть цього методу полягає в тому, що при оцінці запасів застосовується середній відсоток торговельної націнки товарів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Придбані товари зараховуються за ціною продажу, що складається з витрат на їх придбання та доставку i торговельної націнки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Згідно з цим методом собівартість реалізованих товарів визначається як різниця між продажною (роздрібною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вартістю реалізованих товарів i сумою торговельної націнки на ці товари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У свою чергу, сума торговельної націнки на реалізовані товари визначається як добуток продажної (роздрібної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вартості реалізованих товарів i середнього відсотка торговельної націнки</w:t>
      </w:r>
      <w:r w:rsidR="00CA6E40" w:rsidRPr="00CA6E40">
        <w:rPr>
          <w:lang w:val="uk-UA"/>
        </w:rPr>
        <w:t xml:space="preserve">. </w:t>
      </w:r>
    </w:p>
    <w:p w:rsidR="00016BB7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Визначення середнього відсотка торговельної націнки здійснюється шляхом ділення суми залишку торговельних націнок на початок звітного місяця i торговельних націнок у продажній вартості товарів, одержаних у звітному місяці, на суму продажної (роздрібної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вартості залишку товарів на початок звітного місяця та суму продажної (роздрібної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вартості товарів, одержаних у звітному місяці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Таким чином, формула визначення середнього відсотка товарної націнки матиме такий вигляд</w:t>
      </w:r>
      <w:r w:rsidR="00CA6E40" w:rsidRPr="00CA6E40">
        <w:rPr>
          <w:lang w:val="uk-UA"/>
        </w:rPr>
        <w:t xml:space="preserve">: </w:t>
      </w:r>
    </w:p>
    <w:p w:rsidR="00CA6E40" w:rsidRP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tbl>
      <w:tblPr>
        <w:tblW w:w="4370" w:type="pc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5"/>
        <w:gridCol w:w="509"/>
        <w:gridCol w:w="2747"/>
        <w:gridCol w:w="380"/>
        <w:gridCol w:w="3264"/>
      </w:tblGrid>
      <w:tr w:rsidR="00016BB7" w:rsidRPr="006C6123" w:rsidTr="006C6123">
        <w:trPr>
          <w:divId w:val="445125317"/>
        </w:trPr>
        <w:tc>
          <w:tcPr>
            <w:tcW w:w="876" w:type="pct"/>
            <w:vMerge w:val="restar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Середній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відсоток торговельної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націнки </w:t>
            </w:r>
          </w:p>
        </w:tc>
        <w:tc>
          <w:tcPr>
            <w:tcW w:w="304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642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Торговельна націнка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на початок звітного місяця </w:t>
            </w:r>
          </w:p>
        </w:tc>
        <w:tc>
          <w:tcPr>
            <w:tcW w:w="227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  <w:r w:rsidR="00016BB7" w:rsidRPr="006C6123">
              <w:rPr>
                <w:lang w:val="uk-UA"/>
              </w:rPr>
              <w:t>+ </w:t>
            </w:r>
          </w:p>
        </w:tc>
        <w:tc>
          <w:tcPr>
            <w:tcW w:w="195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Торговельна націнка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за поточний місяць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876" w:type="pct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= </w:t>
            </w:r>
          </w:p>
        </w:tc>
        <w:tc>
          <w:tcPr>
            <w:tcW w:w="3820" w:type="pct"/>
            <w:gridSpan w:val="3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-------------------------</w:t>
            </w:r>
          </w:p>
        </w:tc>
      </w:tr>
      <w:tr w:rsidR="00016BB7" w:rsidRPr="006C6123" w:rsidTr="006C6123">
        <w:trPr>
          <w:divId w:val="445125317"/>
        </w:trPr>
        <w:tc>
          <w:tcPr>
            <w:tcW w:w="876" w:type="pct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642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Вартість залишку товарів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на початок місяця </w:t>
            </w:r>
          </w:p>
        </w:tc>
        <w:tc>
          <w:tcPr>
            <w:tcW w:w="227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  <w:r w:rsidR="00016BB7" w:rsidRPr="006C6123">
              <w:rPr>
                <w:lang w:val="uk-UA"/>
              </w:rPr>
              <w:t>+ </w:t>
            </w:r>
          </w:p>
        </w:tc>
        <w:tc>
          <w:tcPr>
            <w:tcW w:w="195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Продажна вартість товарів</w:t>
            </w:r>
            <w:r w:rsidR="00CA6E40" w:rsidRPr="006C6123">
              <w:rPr>
                <w:lang w:val="uk-UA"/>
              </w:rPr>
              <w:t xml:space="preserve">, </w:t>
            </w:r>
            <w:r w:rsidRPr="006C6123">
              <w:rPr>
                <w:lang w:val="uk-UA"/>
              </w:rPr>
              <w:t>одержаних у звітному місяці</w:t>
            </w:r>
            <w:r w:rsidR="00CA6E40" w:rsidRPr="006C6123">
              <w:rPr>
                <w:lang w:val="uk-UA"/>
              </w:rPr>
              <w:t xml:space="preserve"> </w:t>
            </w:r>
          </w:p>
        </w:tc>
      </w:tr>
    </w:tbl>
    <w:p w:rsid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Окрім того, цей метод може застосовуватись підприємствами, що мають значну i змінну номенклатуру товарів з приблизно однаковим рівнем торговельної націнки у тому випадку, якщо застосування інших методів оцінки вибуття запасів не виправдано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Вибір методу оцінки вибуття запасів підприємством залежить від напряму його діяльності, номенклатури запасів, особливостей виробництва продукції тощо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Водночас важко визначити, який з методів є кращим для оцінки вибуття запасів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Вибір методу зумовлює різний розмір оподатковуваного прибутку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Так, п</w:t>
      </w:r>
      <w:r w:rsidR="00CA6E40" w:rsidRPr="00CA6E40">
        <w:rPr>
          <w:lang w:val="uk-UA"/>
        </w:rPr>
        <w:t>.5.9</w:t>
      </w:r>
      <w:r w:rsidRPr="00CA6E40">
        <w:rPr>
          <w:lang w:val="uk-UA"/>
        </w:rPr>
        <w:t xml:space="preserve"> ст</w:t>
      </w:r>
      <w:r w:rsidR="00CA6E40" w:rsidRPr="00CA6E40">
        <w:rPr>
          <w:lang w:val="uk-UA"/>
        </w:rPr>
        <w:t>.5</w:t>
      </w:r>
      <w:r w:rsidRPr="00CA6E40">
        <w:rPr>
          <w:lang w:val="uk-UA"/>
        </w:rPr>
        <w:t xml:space="preserve"> Закону України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Про оподаткування прибутку підприємств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від 28</w:t>
      </w:r>
      <w:r w:rsidR="00CA6E40" w:rsidRPr="00CA6E40">
        <w:rPr>
          <w:lang w:val="uk-UA"/>
        </w:rPr>
        <w:t>.12.9</w:t>
      </w:r>
      <w:r w:rsidRPr="00CA6E40">
        <w:rPr>
          <w:lang w:val="uk-UA"/>
        </w:rPr>
        <w:t>4 р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№ 334/94-ВР (у редакції Закону від 22</w:t>
      </w:r>
      <w:r w:rsidR="00CA6E40" w:rsidRPr="00CA6E40">
        <w:rPr>
          <w:lang w:val="uk-UA"/>
        </w:rPr>
        <w:t>.0</w:t>
      </w:r>
      <w:r w:rsidRPr="00CA6E40">
        <w:rPr>
          <w:lang w:val="uk-UA"/>
        </w:rPr>
        <w:t>5</w:t>
      </w:r>
      <w:r w:rsidR="00CA6E40" w:rsidRPr="00CA6E40">
        <w:rPr>
          <w:lang w:val="uk-UA"/>
        </w:rPr>
        <w:t>.9</w:t>
      </w:r>
      <w:r w:rsidRPr="00CA6E40">
        <w:rPr>
          <w:lang w:val="uk-UA"/>
        </w:rPr>
        <w:t>7 р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№ 283/97-ВР, зі змінами та доповненнями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встановлено, що у разі убутку запасів платник податку може здійснювати оцінку їх вартості за методом ФІФО або за методом ідентифікованої собівартості відповідної одиниці запасів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Обрані методи оцінки вибуття запасів обов’язково зазначаються в наказі підприємства про облікову політику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Метод оцінки вибуття запасів не може змінюватись протягом звітного року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У випадку коли метод оцінки вибуття запасів змінюється, його зміну повинно бути обгрунтовано i розкрито у примітках до фінансової звітності підприємства з оцінкою наслідків змін облікової політики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Як зазначалося вище, кожен з методів по-різному впливає на розмір оподатковуваного прибутку, тому насамперед доцільно зробити розрахунки за кожним з них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>Після проведення підприємством аналізу отриманих результатів обирається той метод, показники якого найбільше відповідають його обліковій політиці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Відображення вибуття запасів у бухгалтерському обліку підприємства залежить від того, яким шляхом відбулося їх вибуття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Запаси, які були реалізовані, відображаються у складі витрат того періоду, в якому визнається дохід від їх реалізації (згідно з принципом відповідності доходів та витрат</w:t>
      </w:r>
      <w:r w:rsidR="00CA6E40" w:rsidRPr="00CA6E40">
        <w:rPr>
          <w:lang w:val="uk-UA"/>
        </w:rPr>
        <w:t xml:space="preserve">). </w:t>
      </w:r>
      <w:r w:rsidRPr="00CA6E40">
        <w:rPr>
          <w:lang w:val="uk-UA"/>
        </w:rPr>
        <w:t>Таким чином, у зазначеному випадку використовуватимуться такі субрахунки</w:t>
      </w:r>
      <w:r w:rsidR="00CA6E40" w:rsidRPr="00CA6E40">
        <w:rPr>
          <w:lang w:val="uk-UA"/>
        </w:rPr>
        <w:t xml:space="preserve">: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901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Собівартість реалізованої готової продукції</w:t>
      </w:r>
      <w:r w:rsidR="00CA6E40" w:rsidRPr="00CA6E40">
        <w:rPr>
          <w:lang w:val="uk-UA"/>
        </w:rPr>
        <w:t xml:space="preserve">";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902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Собівартість реалізованих товарів</w:t>
      </w:r>
      <w:r w:rsidR="00CA6E40" w:rsidRPr="00CA6E40">
        <w:rPr>
          <w:lang w:val="uk-UA"/>
        </w:rPr>
        <w:t xml:space="preserve">";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943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Собівартість реалізованих виробничих запасів</w:t>
      </w:r>
      <w:r w:rsidR="00CA6E40" w:rsidRPr="00CA6E40">
        <w:rPr>
          <w:lang w:val="uk-UA"/>
        </w:rPr>
        <w:t xml:space="preserve">".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Запаси, використані у процесі виробництва та при наданні послуг, залежно від мети використання включаються або до собівартості виготовленої продукції (робіт, послуг</w:t>
      </w:r>
      <w:r w:rsidR="00CA6E40" w:rsidRPr="00CA6E40">
        <w:rPr>
          <w:lang w:val="uk-UA"/>
        </w:rPr>
        <w:t>),</w:t>
      </w:r>
      <w:r w:rsidRPr="00CA6E40">
        <w:rPr>
          <w:lang w:val="uk-UA"/>
        </w:rPr>
        <w:t xml:space="preserve"> або до витрат періоду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 xml:space="preserve">Якщо використані запаси відноситимуться до собівартості виготовленої продукції, слід застосовувати рахунок 23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Виробництво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та рахунок 91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Загальновиробничі витрати</w:t>
      </w:r>
      <w:r w:rsidR="00CA6E40" w:rsidRPr="00CA6E40">
        <w:rPr>
          <w:lang w:val="uk-UA"/>
        </w:rPr>
        <w:t xml:space="preserve">". </w:t>
      </w:r>
      <w:r w:rsidRPr="00CA6E40">
        <w:rPr>
          <w:lang w:val="uk-UA"/>
        </w:rPr>
        <w:t>При використані запасів для обслуговування виробництва, управлінських потреб тощо слід застосовувати такі рахунки, як</w:t>
      </w:r>
      <w:r w:rsidR="00CA6E40" w:rsidRPr="00CA6E40">
        <w:rPr>
          <w:lang w:val="uk-UA"/>
        </w:rPr>
        <w:t xml:space="preserve">: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92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Адміністративні витрати</w:t>
      </w:r>
      <w:r w:rsidR="00CA6E40" w:rsidRPr="00CA6E40">
        <w:rPr>
          <w:lang w:val="uk-UA"/>
        </w:rPr>
        <w:t xml:space="preserve">";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93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Витрати на збут</w:t>
      </w:r>
      <w:r w:rsidR="00CA6E40" w:rsidRPr="00CA6E40">
        <w:rPr>
          <w:lang w:val="uk-UA"/>
        </w:rPr>
        <w:t xml:space="preserve">";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94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Інші витрати операційної діяльності</w:t>
      </w:r>
      <w:r w:rsidR="00CA6E40" w:rsidRPr="00CA6E40">
        <w:rPr>
          <w:lang w:val="uk-UA"/>
        </w:rPr>
        <w:t xml:space="preserve">";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99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Надзвичайні витрати</w:t>
      </w:r>
      <w:r w:rsidR="00CA6E40" w:rsidRPr="00CA6E40">
        <w:rPr>
          <w:lang w:val="uk-UA"/>
        </w:rPr>
        <w:t xml:space="preserve">".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Якщо вартість запасів, що використовуються для виготовлення продукції, становить значну питому вагу у вартості товару, то вибуття таких запасів відображатиметься за кредитом рахунку 20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Виробничі запаси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(з використанням відповідних субрахунків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 xml:space="preserve">та дебетом рахунку 23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Виробництво</w:t>
      </w:r>
      <w:r w:rsidR="00CA6E40" w:rsidRPr="00CA6E40">
        <w:rPr>
          <w:lang w:val="uk-UA"/>
        </w:rPr>
        <w:t xml:space="preserve">".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При передачі в експлуатацію малоцінних та швидкозношуваних предметів (МШП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>здійснюється їх списання з балансу з подальшою організацією кількісного обліку таких предметів безпосередньо за місцем експлуатації протягом терміну їх фактичного використання</w:t>
      </w:r>
      <w:r w:rsidR="00CA6E40" w:rsidRPr="00CA6E40">
        <w:rPr>
          <w:lang w:val="uk-UA"/>
        </w:rPr>
        <w:t xml:space="preserve">. </w:t>
      </w:r>
      <w:r w:rsidRPr="00CA6E40">
        <w:rPr>
          <w:lang w:val="uk-UA"/>
        </w:rPr>
        <w:t xml:space="preserve">Така передача МШП в бухгалтерському обліку відображається за дебетом рахунку 23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Виробництво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(або відповідних рахунків обліку витрат класу 9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 xml:space="preserve">та кредитом рахунку 22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Малоцінні та швидкозношувані предмети</w:t>
      </w:r>
      <w:r w:rsidR="00CA6E40" w:rsidRPr="00CA6E40">
        <w:rPr>
          <w:lang w:val="uk-UA"/>
        </w:rPr>
        <w:t xml:space="preserve">".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Можливі види вибуття запасів, а також їх відображення в бухгалтерському обліку наведено в таблиці з кореспонденцією рахунків для кожного з видів вибуття запасів</w:t>
      </w:r>
      <w:r w:rsidR="00CA6E40" w:rsidRPr="00CA6E40">
        <w:rPr>
          <w:lang w:val="uk-UA"/>
        </w:rPr>
        <w:t xml:space="preserve">. </w:t>
      </w:r>
    </w:p>
    <w:p w:rsid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Відображення в бухгалтерському обліку вибуття запасів </w:t>
      </w:r>
    </w:p>
    <w:tbl>
      <w:tblPr>
        <w:tblW w:w="4608" w:type="pct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36"/>
        <w:gridCol w:w="2651"/>
        <w:gridCol w:w="2677"/>
        <w:gridCol w:w="2257"/>
      </w:tblGrid>
      <w:tr w:rsidR="00016BB7" w:rsidRPr="006C6123" w:rsidTr="006C6123">
        <w:trPr>
          <w:divId w:val="445125317"/>
        </w:trPr>
        <w:tc>
          <w:tcPr>
            <w:tcW w:w="701" w:type="pct"/>
            <w:vMerge w:val="restar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№ з/п </w:t>
            </w:r>
          </w:p>
        </w:tc>
        <w:tc>
          <w:tcPr>
            <w:tcW w:w="1530" w:type="pct"/>
            <w:vMerge w:val="restar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Зміст операції </w:t>
            </w:r>
          </w:p>
        </w:tc>
        <w:tc>
          <w:tcPr>
            <w:tcW w:w="2769" w:type="pct"/>
            <w:gridSpan w:val="2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Кореспонденція рахунків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Дт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Кт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Реалізація виробничих запасів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1.1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доходу від реалізації матеріальних цінностей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377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 іншими дебіторами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712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 інших оборотних активів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1.2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собівартості реалізованих запасів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943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Собівартість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реалізованих виробничих запасів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Виробничі запаси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Малоцінні та швидкозношувані предмети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1.3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 ПДВ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712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 інших оборотних активів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641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за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податками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Реалізація готової продукції та товарів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2.1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доходу від реалізації готової продукції (товарів</w:t>
            </w:r>
            <w:r w:rsidR="00CA6E40" w:rsidRPr="006C6123">
              <w:rPr>
                <w:lang w:val="uk-UA"/>
              </w:rPr>
              <w:t xml:space="preserve">)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Рахунки в банках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36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 покупцями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та замовниками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701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 готової продукції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702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 товарів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2.2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 ПДВ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701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готової продукції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702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Дохід від реалізації товарів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641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за податками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2.3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Списання собівартості</w:t>
            </w:r>
            <w:r w:rsidR="00CA6E40" w:rsidRPr="006C6123">
              <w:rPr>
                <w:lang w:val="uk-UA"/>
              </w:rPr>
              <w:t xml:space="preserve">: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реалізованої промислової продукції</w:t>
            </w:r>
            <w:r w:rsidR="00CA6E40" w:rsidRPr="006C6123">
              <w:rPr>
                <w:lang w:val="uk-UA"/>
              </w:rPr>
              <w:t xml:space="preserve">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901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Собівартість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реалізованої готової продукції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26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Готова продукція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реалізованої продукції сільськогосподарського виробництва</w:t>
            </w:r>
            <w:r w:rsidR="00CA6E40" w:rsidRPr="006C6123">
              <w:rPr>
                <w:lang w:val="uk-UA"/>
              </w:rPr>
              <w:t xml:space="preserve">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901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Собівартість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реалізованої готової продукції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27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Продукція сільськогосподарського виробництва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реалізованих товарів</w:t>
            </w:r>
            <w:r w:rsidR="00CA6E40" w:rsidRPr="006C6123">
              <w:rPr>
                <w:lang w:val="uk-UA"/>
              </w:rPr>
              <w:t xml:space="preserve">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902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Собівартість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реалізованих товарів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28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Товари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списання запасів на</w:t>
            </w:r>
            <w:r w:rsidR="00CA6E40" w:rsidRPr="006C6123">
              <w:rPr>
                <w:lang w:val="uk-UA"/>
              </w:rPr>
              <w:t xml:space="preserve">: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3.1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виробництво продукції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(робіт, послуг</w:t>
            </w:r>
            <w:r w:rsidR="00CA6E40" w:rsidRPr="006C6123">
              <w:rPr>
                <w:lang w:val="uk-UA"/>
              </w:rPr>
              <w:t xml:space="preserve">)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23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Виробництво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Виробничі запаси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Малоцінні та швидкозношувані предмети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3.2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загальновиробничі потреби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Загальновиробничі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3.3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виправлення браку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24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Брак у виробництві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3.4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загальногосподарські потреби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Адміністративні 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3.5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забезпечення збуту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93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Витрати на збут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3.6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виконання досліджень та розробок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941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Витрати на дослідження та розробки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3.7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капітальне будівництво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15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Капітальні інвестиції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списання запасів (з використанням рахунків класу 8</w:t>
            </w:r>
            <w:r w:rsidR="00CA6E40" w:rsidRPr="006C6123">
              <w:rPr>
                <w:lang w:val="uk-UA"/>
              </w:rPr>
              <w:t xml:space="preserve">) </w:t>
            </w:r>
            <w:r w:rsidRPr="006C6123">
              <w:rPr>
                <w:lang w:val="uk-UA"/>
              </w:rPr>
              <w:t>на</w:t>
            </w:r>
            <w:r w:rsidR="00CA6E40" w:rsidRPr="006C6123">
              <w:rPr>
                <w:lang w:val="uk-UA"/>
              </w:rPr>
              <w:t xml:space="preserve">: 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4.1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операційну діяльність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80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Матеріальні 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Виробничі запаси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Малоцінні та швидкозношувані предмети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23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Виробництво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Загальновиробничі 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 xml:space="preserve"> 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Адміністративні витрати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93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Витрати на збут</w:t>
            </w:r>
            <w:r w:rsidR="00CA6E40" w:rsidRPr="006C6123">
              <w:rPr>
                <w:lang w:val="uk-UA"/>
              </w:rPr>
              <w:t xml:space="preserve">" </w:t>
            </w:r>
            <w:r w:rsidRPr="006C6123">
              <w:rPr>
                <w:lang w:val="uk-UA"/>
              </w:rPr>
              <w:t>94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Інші витрати операційної діяльності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80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Матеріальні 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CA6E40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4.2</w:t>
            </w:r>
            <w:r w:rsidR="00016BB7"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інвестиційну діяльність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15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Капітальні інвестиції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Виробничі запаси</w:t>
            </w:r>
            <w:r w:rsidR="00CA6E40" w:rsidRPr="006C6123">
              <w:rPr>
                <w:lang w:val="uk-UA"/>
              </w:rPr>
              <w:t>"</w:t>
            </w:r>
          </w:p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Малоцінні та швидкозношувані предмети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Вибуття запасів шляхом безоплатної передачі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5</w:t>
            </w:r>
            <w:r w:rsidR="00CA6E40" w:rsidRPr="006C6123">
              <w:rPr>
                <w:lang w:val="uk-UA"/>
              </w:rPr>
              <w:t>.1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запасів, безоплатно переданих іншим підприємствам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949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Інші витрати операційної діяльності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Відповідні рахунки класу 2 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Запаси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6C6123">
              <w:rPr>
                <w:lang w:val="uk-UA"/>
              </w:rPr>
              <w:t>5</w:t>
            </w:r>
            <w:r w:rsidR="00CA6E40" w:rsidRPr="006C6123">
              <w:rPr>
                <w:lang w:val="uk-UA"/>
              </w:rPr>
              <w:t>.2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 з ПДВ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6C6123">
              <w:rPr>
                <w:lang w:val="uk-UA"/>
              </w:rPr>
              <w:t>949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Інші витрати операційної діяльності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lang w:val="uk-UA"/>
              </w:rPr>
            </w:pPr>
            <w:r w:rsidRPr="006C6123">
              <w:rPr>
                <w:lang w:val="uk-UA"/>
              </w:rPr>
              <w:t>641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за податками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5000" w:type="pct"/>
            <w:gridSpan w:val="4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C6123">
              <w:rPr>
                <w:lang w:val="uk-UA"/>
              </w:rPr>
              <w:t>Відображення вибуття запасів на інші цілі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6 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списання запасів на утримання об’єктів соціальнокультурного призначення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949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Інші витрати операційної діяльності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Відповідні рахунки класу 2 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Запаси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списання готової продукції, що використана на власні потреби підприємства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Виробничі запаси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26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Готова продукція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8 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втрат запасів у разі стихійного лиха (пожежі, аварії тощо</w:t>
            </w:r>
            <w:r w:rsidR="00CA6E40" w:rsidRPr="006C6123">
              <w:rPr>
                <w:lang w:val="uk-UA"/>
              </w:rPr>
              <w:t xml:space="preserve">)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99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Надзвичайні витрати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Відповідні рахунки класу 2 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Запаси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отриманих відходів від списання запасів, втрачених (пошкоджених</w:t>
            </w:r>
            <w:r w:rsidR="00CA6E40" w:rsidRPr="006C6123">
              <w:rPr>
                <w:lang w:val="uk-UA"/>
              </w:rPr>
              <w:t xml:space="preserve">) </w:t>
            </w:r>
            <w:r w:rsidRPr="006C6123">
              <w:rPr>
                <w:lang w:val="uk-UA"/>
              </w:rPr>
              <w:t>під час надзвичайних подій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209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Інші матеріали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75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Надзвичайні доходи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10</w:t>
            </w:r>
            <w:r w:rsidR="00CA6E40" w:rsidRPr="006C6123">
              <w:rPr>
                <w:lang w:val="uk-UA"/>
              </w:rPr>
              <w:t>.1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виявленої нестачі матеріальних цінностей при інвентаризації</w:t>
            </w:r>
            <w:r w:rsidR="00CA6E40" w:rsidRPr="006C6123">
              <w:rPr>
                <w:lang w:val="uk-UA"/>
              </w:rPr>
              <w:t xml:space="preserve"> 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947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Нестачі та збитки від псування цінностей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 xml:space="preserve">Відповідні рахунки класу 2 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Запаси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10</w:t>
            </w:r>
            <w:r w:rsidR="00CA6E40" w:rsidRPr="006C6123">
              <w:rPr>
                <w:lang w:val="uk-UA"/>
              </w:rPr>
              <w:t>.2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 збитку на позабалансовому рахунку до встановлення винних осіб (відображається балансова вартість втраченого активу</w:t>
            </w:r>
            <w:r w:rsidR="00CA6E40" w:rsidRPr="006C6123">
              <w:rPr>
                <w:lang w:val="uk-UA"/>
              </w:rPr>
              <w:t xml:space="preserve">) </w:t>
            </w:r>
          </w:p>
        </w:tc>
        <w:tc>
          <w:tcPr>
            <w:tcW w:w="2769" w:type="pct"/>
            <w:gridSpan w:val="2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072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Невідшкодовані нестачі і втрати від псування цінностей</w:t>
            </w:r>
            <w:r w:rsidR="00CA6E40" w:rsidRPr="006C6123">
              <w:rPr>
                <w:lang w:val="uk-UA"/>
              </w:rPr>
              <w:t>"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10</w:t>
            </w:r>
            <w:r w:rsidR="00CA6E40" w:rsidRPr="006C6123">
              <w:rPr>
                <w:lang w:val="uk-UA"/>
              </w:rPr>
              <w:t>.3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суми, що підлягає відшкодуванню після встановлення винних осіб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375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за відшкодуванням завданих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збитків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716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Відшкодування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раніше списаних активів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10</w:t>
            </w:r>
            <w:r w:rsidR="00CA6E40" w:rsidRPr="006C6123">
              <w:rPr>
                <w:lang w:val="uk-UA"/>
              </w:rPr>
              <w:t>.4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суми з ПДВ </w:t>
            </w:r>
          </w:p>
        </w:tc>
        <w:tc>
          <w:tcPr>
            <w:tcW w:w="153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716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Відшкодування</w:t>
            </w:r>
            <w:r w:rsidR="00CA6E40" w:rsidRPr="006C6123">
              <w:rPr>
                <w:lang w:val="uk-UA"/>
              </w:rPr>
              <w:t xml:space="preserve"> </w:t>
            </w:r>
            <w:r w:rsidRPr="006C6123">
              <w:rPr>
                <w:lang w:val="uk-UA"/>
              </w:rPr>
              <w:t>раніше списаних активів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239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641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Розрахунки за податками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  <w:tr w:rsidR="00016BB7" w:rsidRPr="006C6123" w:rsidTr="006C6123">
        <w:trPr>
          <w:divId w:val="445125317"/>
        </w:trPr>
        <w:tc>
          <w:tcPr>
            <w:tcW w:w="701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10</w:t>
            </w:r>
            <w:r w:rsidR="00CA6E40" w:rsidRPr="006C6123">
              <w:rPr>
                <w:lang w:val="uk-UA"/>
              </w:rPr>
              <w:t>.5</w:t>
            </w:r>
            <w:r w:rsidRPr="006C6123">
              <w:rPr>
                <w:lang w:val="uk-UA"/>
              </w:rPr>
              <w:t> </w:t>
            </w:r>
          </w:p>
        </w:tc>
        <w:tc>
          <w:tcPr>
            <w:tcW w:w="1530" w:type="pct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Відображення зменшення суми заборгованості на позабалансовому рахунку після списання її за рахунок винних осіб </w:t>
            </w:r>
          </w:p>
        </w:tc>
        <w:tc>
          <w:tcPr>
            <w:tcW w:w="2769" w:type="pct"/>
            <w:gridSpan w:val="2"/>
            <w:shd w:val="clear" w:color="auto" w:fill="auto"/>
          </w:tcPr>
          <w:p w:rsidR="00016BB7" w:rsidRPr="006C6123" w:rsidRDefault="00016BB7" w:rsidP="006C6123">
            <w:pPr>
              <w:pStyle w:val="af8"/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6C6123">
              <w:rPr>
                <w:lang w:val="uk-UA"/>
              </w:rPr>
              <w:t>072</w:t>
            </w:r>
            <w:r w:rsidR="00CA6E40" w:rsidRPr="006C6123">
              <w:rPr>
                <w:lang w:val="uk-UA"/>
              </w:rPr>
              <w:t xml:space="preserve"> "</w:t>
            </w:r>
            <w:r w:rsidRPr="006C6123">
              <w:rPr>
                <w:lang w:val="uk-UA"/>
              </w:rPr>
              <w:t>Невідшкодовані нестачі і втрати від псування цінностей</w:t>
            </w:r>
            <w:r w:rsidR="00CA6E40" w:rsidRPr="006C6123">
              <w:rPr>
                <w:lang w:val="uk-UA"/>
              </w:rPr>
              <w:t>"</w:t>
            </w:r>
            <w:r w:rsidRPr="006C6123">
              <w:rPr>
                <w:lang w:val="uk-UA"/>
              </w:rPr>
              <w:t> </w:t>
            </w:r>
          </w:p>
        </w:tc>
      </w:tr>
    </w:tbl>
    <w:p w:rsid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Як зазначено в таблиці, при вибутті запасів внаслідок втрати таких запасів від нестачі, псування тощо до моменту визнання винних осіб суми зазнаних збитків відображаються на позабалансовому рахунку, а саме на субрахунку 072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Невідшкодовані нестачі i втрати від псування цінностей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рахунку 07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Списані активи</w:t>
      </w:r>
      <w:r w:rsidR="00CA6E40" w:rsidRPr="00CA6E40">
        <w:rPr>
          <w:lang w:val="uk-UA"/>
        </w:rPr>
        <w:t xml:space="preserve">". </w:t>
      </w:r>
      <w:r w:rsidRPr="00CA6E40">
        <w:rPr>
          <w:lang w:val="uk-UA"/>
        </w:rPr>
        <w:t>При цьому повинна відображатися сума, яка дорівнює балансовій вартості втрачених активів</w:t>
      </w:r>
      <w:r w:rsidR="00CA6E40" w:rsidRPr="00CA6E40">
        <w:rPr>
          <w:lang w:val="uk-UA"/>
        </w:rPr>
        <w:t xml:space="preserve">. 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>Після визнання винних осіб i визначення суми, яку відшкодовує винна особа, або після прийняття рішення, що винну особу не встановлено, провадиться списання суми завданих збитків</w:t>
      </w:r>
      <w:r w:rsidR="00CA6E40" w:rsidRPr="00CA6E40">
        <w:rPr>
          <w:lang w:val="uk-UA"/>
        </w:rPr>
        <w:t xml:space="preserve">. </w:t>
      </w:r>
    </w:p>
    <w:p w:rsidR="00CA6E40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r w:rsidRPr="00CA6E40">
        <w:rPr>
          <w:lang w:val="uk-UA"/>
        </w:rPr>
        <w:t xml:space="preserve">Відображення зменшення суми завданих збитків на субрахунку 072 обов’язково здійснюється з одночасним записом за дебетом субрахунку 375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Розрахунки за відшкодуванням завданих збитків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 xml:space="preserve"> i кредитом субрахунку 716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Відшкодування раніше списаних активів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, але в тому випадку, якщо прийнято рішення про відшкодування завданої шкоди винною особою</w:t>
      </w:r>
      <w:r w:rsidR="00CA6E40" w:rsidRPr="00CA6E40">
        <w:rPr>
          <w:lang w:val="uk-UA"/>
        </w:rPr>
        <w:t xml:space="preserve">. </w:t>
      </w:r>
    </w:p>
    <w:p w:rsidR="00016BB7" w:rsidRDefault="00CA6E40" w:rsidP="00CA6E40">
      <w:pPr>
        <w:pStyle w:val="2"/>
        <w:divId w:val="445125317"/>
        <w:rPr>
          <w:lang w:val="uk-UA"/>
        </w:rPr>
      </w:pPr>
      <w:r>
        <w:rPr>
          <w:lang w:val="uk-UA"/>
        </w:rPr>
        <w:br w:type="page"/>
      </w:r>
      <w:r w:rsidR="00016BB7" w:rsidRPr="00CA6E40">
        <w:rPr>
          <w:lang w:val="uk-UA"/>
        </w:rPr>
        <w:t>Література</w:t>
      </w:r>
    </w:p>
    <w:p w:rsidR="00CA6E40" w:rsidRPr="00CA6E40" w:rsidRDefault="00CA6E40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</w:p>
    <w:p w:rsidR="00016BB7" w:rsidRPr="00CA6E40" w:rsidRDefault="00016BB7" w:rsidP="00844627">
      <w:pPr>
        <w:pStyle w:val="a1"/>
        <w:divId w:val="445125317"/>
        <w:rPr>
          <w:lang w:val="uk-UA"/>
        </w:rPr>
      </w:pPr>
      <w:r w:rsidRPr="003F4D1A">
        <w:rPr>
          <w:lang w:val="uk-UA"/>
        </w:rPr>
        <w:t>www</w:t>
      </w:r>
      <w:r w:rsidR="00CA6E40" w:rsidRPr="003F4D1A">
        <w:rPr>
          <w:lang w:val="uk-UA"/>
        </w:rPr>
        <w:t xml:space="preserve">. </w:t>
      </w:r>
      <w:r w:rsidRPr="003F4D1A">
        <w:rPr>
          <w:lang w:val="uk-UA"/>
        </w:rPr>
        <w:t>visnuk</w:t>
      </w:r>
      <w:r w:rsidR="00CA6E40" w:rsidRPr="003F4D1A">
        <w:rPr>
          <w:lang w:val="uk-UA"/>
        </w:rPr>
        <w:t xml:space="preserve">. </w:t>
      </w:r>
      <w:r w:rsidRPr="003F4D1A">
        <w:rPr>
          <w:lang w:val="uk-UA"/>
        </w:rPr>
        <w:t>com</w:t>
      </w:r>
      <w:r w:rsidR="00CA6E40" w:rsidRPr="003F4D1A">
        <w:rPr>
          <w:lang w:val="uk-UA"/>
        </w:rPr>
        <w:t xml:space="preserve">. </w:t>
      </w:r>
      <w:r w:rsidRPr="003F4D1A">
        <w:rPr>
          <w:lang w:val="uk-UA"/>
        </w:rPr>
        <w:t>ua</w:t>
      </w:r>
    </w:p>
    <w:p w:rsidR="00016BB7" w:rsidRPr="00CA6E40" w:rsidRDefault="00016BB7" w:rsidP="00844627">
      <w:pPr>
        <w:pStyle w:val="a1"/>
        <w:divId w:val="445125317"/>
        <w:rPr>
          <w:lang w:val="uk-UA"/>
        </w:rPr>
      </w:pPr>
      <w:r w:rsidRPr="003F4D1A">
        <w:rPr>
          <w:lang w:val="uk-UA"/>
        </w:rPr>
        <w:t>www</w:t>
      </w:r>
      <w:r w:rsidR="00CA6E40" w:rsidRPr="003F4D1A">
        <w:rPr>
          <w:lang w:val="uk-UA"/>
        </w:rPr>
        <w:t xml:space="preserve">. </w:t>
      </w:r>
      <w:r w:rsidRPr="003F4D1A">
        <w:rPr>
          <w:lang w:val="uk-UA"/>
        </w:rPr>
        <w:t>factor</w:t>
      </w:r>
      <w:r w:rsidR="00CA6E40" w:rsidRPr="003F4D1A">
        <w:rPr>
          <w:lang w:val="uk-UA"/>
        </w:rPr>
        <w:t xml:space="preserve">. </w:t>
      </w:r>
      <w:r w:rsidRPr="003F4D1A">
        <w:rPr>
          <w:lang w:val="uk-UA"/>
        </w:rPr>
        <w:t>ua</w:t>
      </w:r>
    </w:p>
    <w:p w:rsidR="00016BB7" w:rsidRPr="00CA6E40" w:rsidRDefault="00016BB7" w:rsidP="00844627">
      <w:pPr>
        <w:pStyle w:val="a1"/>
        <w:divId w:val="445125317"/>
        <w:rPr>
          <w:lang w:val="uk-UA"/>
        </w:rPr>
      </w:pPr>
      <w:r w:rsidRPr="00CA6E40">
        <w:rPr>
          <w:lang w:val="uk-UA"/>
        </w:rPr>
        <w:t>Положення(стандарт</w:t>
      </w:r>
      <w:r w:rsidR="00844627">
        <w:rPr>
          <w:lang w:val="uk-UA"/>
        </w:rPr>
        <w:t>н</w:t>
      </w:r>
      <w:r w:rsidRPr="00CA6E40">
        <w:rPr>
          <w:lang w:val="uk-UA"/>
        </w:rPr>
        <w:t>і</w:t>
      </w:r>
      <w:r w:rsidR="00CA6E40" w:rsidRPr="00CA6E40">
        <w:rPr>
          <w:lang w:val="uk-UA"/>
        </w:rPr>
        <w:t xml:space="preserve">) </w:t>
      </w:r>
      <w:r w:rsidRPr="00CA6E40">
        <w:rPr>
          <w:lang w:val="uk-UA"/>
        </w:rPr>
        <w:t xml:space="preserve">бухгалтерського обліку 9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Запаси</w:t>
      </w:r>
      <w:r w:rsidR="00CA6E40" w:rsidRPr="00CA6E40">
        <w:rPr>
          <w:lang w:val="uk-UA"/>
        </w:rPr>
        <w:t>"</w:t>
      </w:r>
    </w:p>
    <w:p w:rsidR="00CA6E40" w:rsidRPr="00CA6E40" w:rsidRDefault="00016BB7" w:rsidP="00844627">
      <w:pPr>
        <w:pStyle w:val="a1"/>
        <w:divId w:val="445125317"/>
        <w:rPr>
          <w:lang w:val="uk-UA"/>
        </w:rPr>
      </w:pPr>
      <w:r w:rsidRPr="00CA6E40">
        <w:rPr>
          <w:lang w:val="uk-UA"/>
        </w:rPr>
        <w:t xml:space="preserve">Закон України </w:t>
      </w:r>
      <w:r w:rsidR="00CA6E40" w:rsidRPr="00CA6E40">
        <w:rPr>
          <w:lang w:val="uk-UA"/>
        </w:rPr>
        <w:t>"</w:t>
      </w:r>
      <w:r w:rsidRPr="00CA6E40">
        <w:rPr>
          <w:lang w:val="uk-UA"/>
        </w:rPr>
        <w:t>Про оподаткування прибутку підприємств</w:t>
      </w:r>
      <w:r w:rsidR="00CA6E40" w:rsidRPr="00CA6E40">
        <w:rPr>
          <w:lang w:val="uk-UA"/>
        </w:rPr>
        <w:t>"</w:t>
      </w:r>
    </w:p>
    <w:p w:rsidR="00016BB7" w:rsidRPr="00CA6E40" w:rsidRDefault="00016BB7" w:rsidP="00CA6E40">
      <w:pPr>
        <w:widowControl w:val="0"/>
        <w:autoSpaceDE w:val="0"/>
        <w:autoSpaceDN w:val="0"/>
        <w:adjustRightInd w:val="0"/>
        <w:divId w:val="445125317"/>
        <w:rPr>
          <w:lang w:val="uk-UA"/>
        </w:rPr>
      </w:pPr>
      <w:bookmarkStart w:id="0" w:name="_GoBack"/>
      <w:bookmarkEnd w:id="0"/>
    </w:p>
    <w:sectPr w:rsidR="00016BB7" w:rsidRPr="00CA6E40" w:rsidSect="00CA6E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23" w:rsidRDefault="006C6123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6C6123" w:rsidRDefault="006C6123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40" w:rsidRDefault="00CA6E4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40" w:rsidRDefault="00CA6E4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23" w:rsidRDefault="006C6123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6C6123" w:rsidRDefault="006C6123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40" w:rsidRDefault="003F4D1A" w:rsidP="00CA6E40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CA6E40" w:rsidRDefault="00CA6E40" w:rsidP="00CA6E40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40" w:rsidRDefault="00CA6E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87868E1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2E317E"/>
    <w:multiLevelType w:val="hybridMultilevel"/>
    <w:tmpl w:val="D122A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B7E"/>
    <w:rsid w:val="00016BB7"/>
    <w:rsid w:val="00253B7D"/>
    <w:rsid w:val="003F4D1A"/>
    <w:rsid w:val="00534A26"/>
    <w:rsid w:val="006C6123"/>
    <w:rsid w:val="00844627"/>
    <w:rsid w:val="009C7B7E"/>
    <w:rsid w:val="00C1757A"/>
    <w:rsid w:val="00CA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B4750A2-8DA0-40F4-9CF2-4EBBBC59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CA6E4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CA6E4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CA6E4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CA6E40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CA6E4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CA6E4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CA6E40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CA6E40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CA6E40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CA6E4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character" w:styleId="a7">
    <w:name w:val="Hyperlink"/>
    <w:uiPriority w:val="99"/>
    <w:rsid w:val="00CA6E40"/>
    <w:rPr>
      <w:color w:val="0000FF"/>
      <w:u w:val="single"/>
    </w:rPr>
  </w:style>
  <w:style w:type="character" w:styleId="a8">
    <w:name w:val="FollowedHyperlink"/>
    <w:uiPriority w:val="99"/>
    <w:rPr>
      <w:color w:val="0000FF"/>
      <w:u w:val="single"/>
    </w:rPr>
  </w:style>
  <w:style w:type="paragraph" w:styleId="a9">
    <w:name w:val="header"/>
    <w:basedOn w:val="a2"/>
    <w:next w:val="aa"/>
    <w:link w:val="ab"/>
    <w:uiPriority w:val="99"/>
    <w:rsid w:val="00CA6E4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CA6E40"/>
    <w:rPr>
      <w:vertAlign w:val="superscript"/>
    </w:rPr>
  </w:style>
  <w:style w:type="paragraph" w:styleId="aa">
    <w:name w:val="Body Text"/>
    <w:basedOn w:val="a2"/>
    <w:link w:val="ad"/>
    <w:uiPriority w:val="99"/>
    <w:rsid w:val="00CA6E40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link w:val="aa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CA6E4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"/>
    <w:uiPriority w:val="99"/>
    <w:rsid w:val="00CA6E4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CA6E40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11">
    <w:name w:val="Текст Знак1"/>
    <w:link w:val="af1"/>
    <w:uiPriority w:val="99"/>
    <w:locked/>
    <w:rsid w:val="00CA6E4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CA6E40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3"/>
    <w:uiPriority w:val="99"/>
    <w:semiHidden/>
    <w:locked/>
    <w:rsid w:val="00CA6E40"/>
    <w:rPr>
      <w:sz w:val="28"/>
      <w:szCs w:val="28"/>
      <w:lang w:val="ru-RU" w:eastAsia="ru-RU"/>
    </w:rPr>
  </w:style>
  <w:style w:type="paragraph" w:styleId="af3">
    <w:name w:val="footer"/>
    <w:basedOn w:val="a2"/>
    <w:link w:val="12"/>
    <w:uiPriority w:val="99"/>
    <w:semiHidden/>
    <w:rsid w:val="00CA6E40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9"/>
    <w:uiPriority w:val="99"/>
    <w:semiHidden/>
    <w:locked/>
    <w:rsid w:val="00CA6E40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CA6E4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CA6E40"/>
    <w:pPr>
      <w:numPr>
        <w:numId w:val="2"/>
      </w:numPr>
      <w:spacing w:line="360" w:lineRule="auto"/>
      <w:ind w:firstLine="720"/>
    </w:pPr>
    <w:rPr>
      <w:sz w:val="28"/>
      <w:szCs w:val="28"/>
    </w:rPr>
  </w:style>
  <w:style w:type="character" w:styleId="af6">
    <w:name w:val="page number"/>
    <w:uiPriority w:val="99"/>
    <w:rsid w:val="00CA6E40"/>
  </w:style>
  <w:style w:type="character" w:customStyle="1" w:styleId="af7">
    <w:name w:val="номер страницы"/>
    <w:uiPriority w:val="99"/>
    <w:rsid w:val="00CA6E40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CA6E40"/>
    <w:pPr>
      <w:widowControl w:val="0"/>
      <w:autoSpaceDE w:val="0"/>
      <w:autoSpaceDN w:val="0"/>
      <w:adjustRightInd w:val="0"/>
      <w:spacing w:before="120" w:after="120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CA6E40"/>
    <w:pPr>
      <w:widowControl w:val="0"/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CA6E4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CA6E4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CA6E40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CA6E40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CA6E40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CA6E40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CA6E40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CA6E40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CA6E40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CA6E4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CA6E40"/>
    <w:rPr>
      <w:i/>
      <w:iCs/>
    </w:rPr>
  </w:style>
  <w:style w:type="paragraph" w:customStyle="1" w:styleId="af8">
    <w:name w:val="ТАБЛИЦА"/>
    <w:next w:val="a2"/>
    <w:autoRedefine/>
    <w:uiPriority w:val="99"/>
    <w:rsid w:val="00CA6E40"/>
    <w:pPr>
      <w:spacing w:line="360" w:lineRule="auto"/>
    </w:pPr>
    <w:rPr>
      <w:color w:val="000000"/>
    </w:rPr>
  </w:style>
  <w:style w:type="paragraph" w:customStyle="1" w:styleId="14">
    <w:name w:val="Стиль1"/>
    <w:basedOn w:val="af8"/>
    <w:autoRedefine/>
    <w:uiPriority w:val="99"/>
    <w:rsid w:val="00CA6E40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CA6E4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CA6E40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CA6E40"/>
    <w:pPr>
      <w:autoSpaceDE w:val="0"/>
      <w:autoSpaceDN w:val="0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CA6E40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CA6E40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  <w:style w:type="table" w:styleId="aff0">
    <w:name w:val="Table Grid"/>
    <w:basedOn w:val="a4"/>
    <w:uiPriority w:val="99"/>
    <w:rsid w:val="00CA6E4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Table Grid 1"/>
    <w:basedOn w:val="a4"/>
    <w:uiPriority w:val="99"/>
    <w:rsid w:val="00CA6E40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Вибуття запасів: оцінка та відображення в обліку</vt:lpstr>
    </vt:vector>
  </TitlesOfParts>
  <Company>Организация</Company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Вибуття запасів: оцінка та відображення в обліку</dc:title>
  <dc:subject/>
  <dc:creator>Customer</dc:creator>
  <cp:keywords/>
  <dc:description/>
  <cp:lastModifiedBy>admin</cp:lastModifiedBy>
  <cp:revision>2</cp:revision>
  <dcterms:created xsi:type="dcterms:W3CDTF">2014-03-03T17:50:00Z</dcterms:created>
  <dcterms:modified xsi:type="dcterms:W3CDTF">2014-03-03T17:50:00Z</dcterms:modified>
</cp:coreProperties>
</file>