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56" w:rsidRPr="005A505C" w:rsidRDefault="004C7F56" w:rsidP="005A505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C7F56" w:rsidRPr="005A505C" w:rsidRDefault="004C7F56" w:rsidP="005A50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7F56" w:rsidRPr="004C7F56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4C7F56" w:rsidRPr="005A505C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4C7F56">
        <w:rPr>
          <w:sz w:val="28"/>
          <w:szCs w:val="28"/>
        </w:rPr>
        <w:t>Понятие и структ</w:t>
      </w:r>
      <w:r>
        <w:rPr>
          <w:sz w:val="28"/>
          <w:szCs w:val="28"/>
        </w:rPr>
        <w:t>ура международного рынка услуг</w:t>
      </w:r>
      <w:r>
        <w:rPr>
          <w:sz w:val="28"/>
          <w:szCs w:val="28"/>
        </w:rPr>
        <w:tab/>
      </w:r>
    </w:p>
    <w:p w:rsidR="004C7F56" w:rsidRPr="005A505C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4C7F56">
        <w:rPr>
          <w:sz w:val="28"/>
          <w:szCs w:val="28"/>
        </w:rPr>
        <w:t>Россия на междунаро</w:t>
      </w:r>
      <w:r>
        <w:rPr>
          <w:sz w:val="28"/>
          <w:szCs w:val="28"/>
        </w:rPr>
        <w:t>дном рынке туристических услуг</w:t>
      </w:r>
    </w:p>
    <w:p w:rsidR="004C7F56" w:rsidRPr="004C7F56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4C7F56">
        <w:rPr>
          <w:sz w:val="28"/>
          <w:szCs w:val="28"/>
        </w:rPr>
        <w:t>Россия на международно</w:t>
      </w:r>
      <w:r>
        <w:rPr>
          <w:sz w:val="28"/>
          <w:szCs w:val="28"/>
        </w:rPr>
        <w:t>м рынке технологических услуг</w:t>
      </w:r>
    </w:p>
    <w:p w:rsidR="004C7F56" w:rsidRPr="004C7F56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C7F56">
        <w:rPr>
          <w:sz w:val="28"/>
          <w:szCs w:val="28"/>
        </w:rPr>
        <w:t>Россия на междунаро</w:t>
      </w:r>
      <w:r>
        <w:rPr>
          <w:sz w:val="28"/>
          <w:szCs w:val="28"/>
        </w:rPr>
        <w:t>дном рынке транспортных услуг</w:t>
      </w:r>
    </w:p>
    <w:p w:rsidR="004C7F56" w:rsidRPr="005A505C" w:rsidRDefault="004C7F56" w:rsidP="005A505C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8514D" w:rsidRPr="004C7F56" w:rsidRDefault="004C7F56" w:rsidP="005A505C">
      <w:pPr>
        <w:widowControl w:val="0"/>
        <w:spacing w:line="360" w:lineRule="auto"/>
        <w:rPr>
          <w:sz w:val="28"/>
          <w:szCs w:val="28"/>
        </w:rPr>
      </w:pPr>
      <w:r w:rsidRPr="004C7F56">
        <w:rPr>
          <w:sz w:val="28"/>
          <w:szCs w:val="28"/>
        </w:rPr>
        <w:t>Список использованной литературы</w:t>
      </w:r>
    </w:p>
    <w:p w:rsidR="004C7F56" w:rsidRDefault="004C7F56" w:rsidP="005A505C">
      <w:pPr>
        <w:widowControl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4271" w:rsidRPr="004C7F56" w:rsidRDefault="003F4271" w:rsidP="005A505C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Введение</w:t>
      </w:r>
    </w:p>
    <w:p w:rsidR="003F4271" w:rsidRPr="004C7F56" w:rsidRDefault="003F4271" w:rsidP="005A505C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109A0" w:rsidRPr="004C7F56" w:rsidRDefault="003F4271" w:rsidP="005A505C">
      <w:pPr>
        <w:widowControl w:val="0"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4C7F56">
        <w:rPr>
          <w:sz w:val="28"/>
          <w:szCs w:val="28"/>
        </w:rPr>
        <w:t>В настоящее время в мировом хозяйстве наряду с рынками то</w:t>
      </w:r>
      <w:r w:rsidRPr="004C7F56">
        <w:rPr>
          <w:sz w:val="28"/>
          <w:szCs w:val="28"/>
        </w:rPr>
        <w:softHyphen/>
        <w:t>варов, рабочей силы и капиталов быстрыми темпами развивается рынок услуг.</w:t>
      </w:r>
      <w:r w:rsidR="004109A0" w:rsidRPr="004C7F56">
        <w:rPr>
          <w:sz w:val="28"/>
          <w:szCs w:val="28"/>
        </w:rPr>
        <w:t xml:space="preserve"> </w:t>
      </w:r>
      <w:r w:rsidR="004109A0" w:rsidRPr="004C7F56">
        <w:rPr>
          <w:bCs/>
          <w:color w:val="000000"/>
          <w:sz w:val="28"/>
          <w:szCs w:val="28"/>
        </w:rPr>
        <w:t>Услуга - это трудовая целесообразная деятельность, результаты которой выражаются в полезном эффекте, удовлетворяющем какие-либо потребности отдельного человека или общества в целом.</w:t>
      </w:r>
    </w:p>
    <w:p w:rsidR="004109A0" w:rsidRPr="004C7F56" w:rsidRDefault="004109A0" w:rsidP="005A505C">
      <w:pPr>
        <w:widowControl w:val="0"/>
        <w:spacing w:line="360" w:lineRule="auto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В основе мирового рынка услуг лежит огромная и быстрорастущая часть мирового хозяйства - национальные сферы услуг.</w:t>
      </w:r>
    </w:p>
    <w:p w:rsidR="003F4271" w:rsidRPr="004C7F56" w:rsidRDefault="003F4271" w:rsidP="005A505C">
      <w:pPr>
        <w:pStyle w:val="a6"/>
        <w:ind w:firstLine="709"/>
        <w:rPr>
          <w:szCs w:val="28"/>
        </w:rPr>
      </w:pPr>
      <w:r w:rsidRPr="004C7F56">
        <w:rPr>
          <w:szCs w:val="28"/>
        </w:rPr>
        <w:t>Базой формирования последнего является сфера ус</w:t>
      </w:r>
      <w:r w:rsidRPr="004C7F56">
        <w:rPr>
          <w:szCs w:val="28"/>
        </w:rPr>
        <w:softHyphen/>
        <w:t>луг, которая занимает значительное место в экономике государств мира. Так, доля услуг в ВВП развитых стран составляет сейчас при</w:t>
      </w:r>
      <w:r w:rsidRPr="004C7F56">
        <w:rPr>
          <w:szCs w:val="28"/>
        </w:rPr>
        <w:softHyphen/>
        <w:t>мерно 70%, а развивающихся — 55%.</w:t>
      </w:r>
    </w:p>
    <w:p w:rsidR="003F4271" w:rsidRPr="004C7F56" w:rsidRDefault="003F4271" w:rsidP="005A50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Ускорение развития сферы услуг для воздействия на экономический рост  – главная задача, как для развитых, так и для развивающихся стран. Но это невозможно без тщательного, детального изучения самих услуг и их влияния на развитие всей страны в целом. </w:t>
      </w:r>
    </w:p>
    <w:p w:rsidR="003F4271" w:rsidRPr="004C7F56" w:rsidRDefault="00167C5A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Н</w:t>
      </w:r>
      <w:r w:rsidR="003F4271" w:rsidRPr="004C7F56">
        <w:rPr>
          <w:sz w:val="28"/>
          <w:szCs w:val="28"/>
        </w:rPr>
        <w:t>а протяжении двух последних десятилетий сфера услуг является одним  из наиболее динамично развивающихся  секторов мировой экономики. Поэтому эта тема приобретает сегодня такую актуальность.</w:t>
      </w:r>
    </w:p>
    <w:p w:rsidR="003F4271" w:rsidRPr="004C7F56" w:rsidRDefault="003F4271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данной работе мы рассмотрим положение России на международном рынке услуг, а именно такие сегменты рынка, как туристический, технологический и рынок транспортных услуг.</w:t>
      </w:r>
    </w:p>
    <w:p w:rsidR="004C7F56" w:rsidRDefault="004C7F56" w:rsidP="005A505C">
      <w:pPr>
        <w:widowControl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289E" w:rsidRPr="004C7F56" w:rsidRDefault="007C48D2" w:rsidP="005A505C">
      <w:pPr>
        <w:pStyle w:val="af3"/>
        <w:widowControl w:val="0"/>
        <w:numPr>
          <w:ilvl w:val="0"/>
          <w:numId w:val="7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Понятие и структура международного рынка услуг</w:t>
      </w:r>
    </w:p>
    <w:p w:rsidR="0033289E" w:rsidRPr="005A505C" w:rsidRDefault="0033289E" w:rsidP="005A505C">
      <w:pPr>
        <w:pStyle w:val="a6"/>
        <w:ind w:firstLine="709"/>
        <w:contextualSpacing/>
        <w:rPr>
          <w:szCs w:val="28"/>
        </w:rPr>
      </w:pP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До последнего времени рынок услуг представлял собой поле деятельности мелких и средних фирм. Но с выходом на международный рынок транснациональных корпораций, ситуация кардинально изменилась. Транснациональные корпорации смогли поставить себе на службу современные средства телекоммуникаций, создав глобальную систему передачи информации. Это привело к резкому росту сферы международных услуг. Услуга – это предмет труда человека, направленный на удовлетворение общественной потребности, произведенной для обмена, но имеющий ряд отличительных особенностей от товара.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Можно выделить следующие особенности: </w:t>
      </w:r>
    </w:p>
    <w:p w:rsidR="0033289E" w:rsidRPr="004C7F56" w:rsidRDefault="00167C5A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1. У</w:t>
      </w:r>
      <w:r w:rsidR="0033289E" w:rsidRPr="004C7F56">
        <w:rPr>
          <w:sz w:val="28"/>
          <w:szCs w:val="28"/>
        </w:rPr>
        <w:t>слуга производится и потребляется одновременно, не подлежит хранению, неосязаема и невидима.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2. Торговля услугами на мировом рынке тесно связана с тор</w:t>
      </w:r>
      <w:r w:rsidRPr="004C7F56">
        <w:rPr>
          <w:sz w:val="28"/>
          <w:szCs w:val="28"/>
        </w:rPr>
        <w:softHyphen/>
        <w:t>говлей товарами и оказывает на нее все возрастающее воздейст</w:t>
      </w:r>
      <w:r w:rsidRPr="004C7F56">
        <w:rPr>
          <w:sz w:val="28"/>
          <w:szCs w:val="28"/>
        </w:rPr>
        <w:softHyphen/>
        <w:t>вие. Это объясняется тем, что для эффективного экспорта това</w:t>
      </w:r>
      <w:r w:rsidRPr="004C7F56">
        <w:rPr>
          <w:sz w:val="28"/>
          <w:szCs w:val="28"/>
        </w:rPr>
        <w:softHyphen/>
        <w:t>ров необходимо привлекать большее количество услуг, начиная с анализа рынков и кончая транспортировкой и сервисным об</w:t>
      </w:r>
      <w:r w:rsidRPr="004C7F56">
        <w:rPr>
          <w:sz w:val="28"/>
          <w:szCs w:val="28"/>
        </w:rPr>
        <w:softHyphen/>
        <w:t xml:space="preserve">служиванием товаров. 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3. Не все виды услуг, в отли</w:t>
      </w:r>
      <w:r w:rsidR="0058514D" w:rsidRPr="004C7F56">
        <w:rPr>
          <w:sz w:val="28"/>
          <w:szCs w:val="28"/>
        </w:rPr>
        <w:t>чие от товаров, пригодны для во</w:t>
      </w:r>
      <w:r w:rsidRPr="004C7F56">
        <w:rPr>
          <w:sz w:val="28"/>
          <w:szCs w:val="28"/>
        </w:rPr>
        <w:t>влечения в международную торговлю. Это в первую очередь ка</w:t>
      </w:r>
      <w:r w:rsidRPr="004C7F56">
        <w:rPr>
          <w:sz w:val="28"/>
          <w:szCs w:val="28"/>
        </w:rPr>
        <w:softHyphen/>
        <w:t>сается таких видов услуг, как коммунальные и бытовые.</w:t>
      </w:r>
    </w:p>
    <w:p w:rsidR="0033289E" w:rsidRPr="004C7F56" w:rsidRDefault="0033289E" w:rsidP="005A505C">
      <w:pPr>
        <w:pStyle w:val="a6"/>
        <w:tabs>
          <w:tab w:val="left" w:pos="8931"/>
        </w:tabs>
        <w:ind w:firstLine="709"/>
        <w:contextualSpacing/>
        <w:rPr>
          <w:szCs w:val="28"/>
        </w:rPr>
      </w:pPr>
      <w:r w:rsidRPr="004C7F56">
        <w:rPr>
          <w:szCs w:val="28"/>
        </w:rPr>
        <w:t>4. Международная торговля услугами в большей степени, чем торговля товарами, защищена государством от ин</w:t>
      </w:r>
      <w:r w:rsidR="0058514D" w:rsidRPr="004C7F56">
        <w:rPr>
          <w:szCs w:val="28"/>
        </w:rPr>
        <w:t>остранной кон</w:t>
      </w:r>
      <w:r w:rsidRPr="004C7F56">
        <w:rPr>
          <w:szCs w:val="28"/>
        </w:rPr>
        <w:t>куренции.</w:t>
      </w:r>
    </w:p>
    <w:p w:rsidR="0033289E" w:rsidRPr="004C7F56" w:rsidRDefault="00167C5A" w:rsidP="005A505C">
      <w:pPr>
        <w:pStyle w:val="a6"/>
        <w:tabs>
          <w:tab w:val="left" w:pos="8931"/>
        </w:tabs>
        <w:ind w:firstLine="709"/>
        <w:contextualSpacing/>
        <w:rPr>
          <w:szCs w:val="28"/>
        </w:rPr>
      </w:pPr>
      <w:r w:rsidRPr="004C7F56">
        <w:rPr>
          <w:szCs w:val="28"/>
        </w:rPr>
        <w:t>5. О</w:t>
      </w:r>
      <w:r w:rsidR="0033289E" w:rsidRPr="004C7F56">
        <w:rPr>
          <w:szCs w:val="28"/>
        </w:rPr>
        <w:t>тсутствуют посредники.</w:t>
      </w:r>
    </w:p>
    <w:p w:rsidR="0033289E" w:rsidRPr="004C7F56" w:rsidRDefault="00167C5A" w:rsidP="005A505C">
      <w:pPr>
        <w:pStyle w:val="a6"/>
        <w:tabs>
          <w:tab w:val="left" w:pos="8931"/>
        </w:tabs>
        <w:ind w:firstLine="709"/>
        <w:contextualSpacing/>
        <w:rPr>
          <w:szCs w:val="28"/>
        </w:rPr>
      </w:pPr>
      <w:r w:rsidRPr="004C7F56">
        <w:rPr>
          <w:szCs w:val="28"/>
        </w:rPr>
        <w:t>6. Э</w:t>
      </w:r>
      <w:r w:rsidR="0033289E" w:rsidRPr="004C7F56">
        <w:rPr>
          <w:szCs w:val="28"/>
        </w:rPr>
        <w:t>кспорт осуществляется путем непосредственного вывоза за границу (воплощенные услуги транспорта, информационные услуги), а также посредством перемещения потребителя услуг (нерезидента) в страну производителя и временного перемещения за границу физического лица – поставщика услуг.</w:t>
      </w:r>
    </w:p>
    <w:p w:rsidR="0033289E" w:rsidRPr="004C7F56" w:rsidRDefault="0033289E" w:rsidP="005A505C">
      <w:pPr>
        <w:pStyle w:val="31"/>
        <w:widowControl w:val="0"/>
        <w:tabs>
          <w:tab w:val="left" w:pos="8931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Понятие «услуги» включает не</w:t>
      </w:r>
      <w:r w:rsidR="0058514D" w:rsidRPr="004C7F56">
        <w:rPr>
          <w:sz w:val="28"/>
          <w:szCs w:val="28"/>
        </w:rPr>
        <w:softHyphen/>
        <w:t>сколько десятков видов деятель</w:t>
      </w:r>
      <w:r w:rsidRPr="004C7F56">
        <w:rPr>
          <w:sz w:val="28"/>
          <w:szCs w:val="28"/>
        </w:rPr>
        <w:t>ности, продукция которых может быть определена как услуга. В число услуг входят (по классификатору ООН) 160 видов услуг, разделенных на 12 основных разделов: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1. Деловые услуги — 46 отраслевых видов услуг.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2. Услуги связи — 25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3. Строительные и инжиниринговые услуги — 5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4. Дистрибьюторские услуги — 5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5. Общеобразовательные услуги — 5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6. Услуги по защите окружающей среды — 4 вида.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7. Финансовые услуги, включая страхование, — 17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8. Услуги по охране здоровья и социальные услуги – 4 вида.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9. Туризм и путешествия – 4 вида.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10. Услуги в области организации досуга, культуры и спорта – 5 видов.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11.Транспортные услуги – 33 вида.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12. Прочие услуги.</w:t>
      </w:r>
    </w:p>
    <w:p w:rsidR="0033289E" w:rsidRPr="004C7F56" w:rsidRDefault="0033289E" w:rsidP="005A505C">
      <w:pPr>
        <w:pStyle w:val="a6"/>
        <w:tabs>
          <w:tab w:val="left" w:pos="8931"/>
        </w:tabs>
        <w:ind w:firstLine="709"/>
        <w:contextualSpacing/>
        <w:rPr>
          <w:szCs w:val="28"/>
        </w:rPr>
      </w:pPr>
      <w:r w:rsidRPr="004C7F56">
        <w:rPr>
          <w:szCs w:val="28"/>
        </w:rPr>
        <w:t>Мировой банк классифицирует услуги по принципу их взаимодействия с другими ф</w:t>
      </w:r>
      <w:r w:rsidR="004C7F56">
        <w:rPr>
          <w:szCs w:val="28"/>
        </w:rPr>
        <w:t>ормами МЭО на следующие группы: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1) </w:t>
      </w:r>
      <w:r w:rsidRPr="004C7F56">
        <w:rPr>
          <w:i/>
          <w:iCs/>
          <w:sz w:val="28"/>
          <w:szCs w:val="28"/>
        </w:rPr>
        <w:t>факторные услуги —</w:t>
      </w:r>
      <w:r w:rsidRPr="004C7F56">
        <w:rPr>
          <w:sz w:val="28"/>
          <w:szCs w:val="28"/>
        </w:rPr>
        <w:t xml:space="preserve"> платежи, возникающие в связи с  международным движением капиталов, рабочей силы и  технологии;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2) </w:t>
      </w:r>
      <w:r w:rsidRPr="004C7F56">
        <w:rPr>
          <w:i/>
          <w:iCs/>
          <w:sz w:val="28"/>
          <w:szCs w:val="28"/>
        </w:rPr>
        <w:t>нефакторные услуги —</w:t>
      </w:r>
      <w:r w:rsidRPr="004C7F56">
        <w:rPr>
          <w:sz w:val="28"/>
          <w:szCs w:val="28"/>
        </w:rPr>
        <w:t xml:space="preserve"> остальные виды услуг (транс</w:t>
      </w:r>
      <w:r w:rsidRPr="004C7F56">
        <w:rPr>
          <w:sz w:val="28"/>
          <w:szCs w:val="28"/>
        </w:rPr>
        <w:softHyphen/>
        <w:t xml:space="preserve">порт, туризм и прочие нефинансовые услуги). 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зависимости от целей анализа в основу классификации услуг могут быть положены различные принципы. Так, по способам доставки потребителю услуги классифицируются на: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• </w:t>
      </w:r>
      <w:r w:rsidRPr="004C7F56">
        <w:rPr>
          <w:i/>
          <w:iCs/>
          <w:sz w:val="28"/>
          <w:szCs w:val="28"/>
        </w:rPr>
        <w:t>услуги, связанные с инвестициями: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1) финансовые услуги;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2) туристические услуги;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• </w:t>
      </w:r>
      <w:r w:rsidRPr="004C7F56">
        <w:rPr>
          <w:i/>
          <w:iCs/>
          <w:sz w:val="28"/>
          <w:szCs w:val="28"/>
        </w:rPr>
        <w:t>услуги, связанные с торговлей: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1) транспортные и сопутствующие услуги: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(фрахт;  хранение и складирование; погрузочно-разгрузочные работы;  сопровождение груза в пути;  выполнение таможенных формальностей;)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• </w:t>
      </w:r>
      <w:r w:rsidRPr="004C7F56">
        <w:rPr>
          <w:i/>
          <w:iCs/>
          <w:sz w:val="28"/>
          <w:szCs w:val="28"/>
        </w:rPr>
        <w:t>услуги, связанные с инвестициями и торговлей: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b/>
          <w:bCs/>
          <w:sz w:val="28"/>
          <w:szCs w:val="28"/>
        </w:rPr>
        <w:t>1)</w:t>
      </w:r>
      <w:r w:rsidRPr="004C7F56">
        <w:rPr>
          <w:sz w:val="28"/>
          <w:szCs w:val="28"/>
        </w:rPr>
        <w:t xml:space="preserve"> бизнес-услуги: (маркетинговые исследования; аудит; консалтинг; страхование;  рекламные услуги;  арендные операции и т.д.)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2) связь;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3) строительство и инженерно-консультационные ус</w:t>
      </w:r>
      <w:r w:rsidRPr="004C7F56">
        <w:rPr>
          <w:sz w:val="28"/>
          <w:szCs w:val="28"/>
        </w:rPr>
        <w:softHyphen/>
        <w:t>луги;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4) компьютерные и информационные услуги;</w:t>
      </w:r>
    </w:p>
    <w:p w:rsidR="0033289E" w:rsidRPr="004C7F56" w:rsidRDefault="0033289E" w:rsidP="005A505C">
      <w:pPr>
        <w:widowControl w:val="0"/>
        <w:tabs>
          <w:tab w:val="left" w:pos="8931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5) культурные услуги (проведение выставок, ярма</w:t>
      </w:r>
      <w:r w:rsidRPr="004C7F56">
        <w:rPr>
          <w:sz w:val="28"/>
          <w:szCs w:val="28"/>
        </w:rPr>
        <w:softHyphen/>
        <w:t>рок).</w:t>
      </w:r>
    </w:p>
    <w:p w:rsidR="0033289E" w:rsidRPr="004C7F56" w:rsidRDefault="0033289E" w:rsidP="005A505C">
      <w:pPr>
        <w:pStyle w:val="a5"/>
        <w:widowControl w:val="0"/>
        <w:tabs>
          <w:tab w:val="left" w:pos="8931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На мировом рынке услуг преобладают развитые страны. На них приходится около 70% мирового экспорта и примерно такая же доля мирового импорта услуг. Особенно выделяются США, на которые приходится около 18% всего мирового экспорта услуг; в их общем объеме экспорта товаров и услуг доля последних приближается к 30%.</w:t>
      </w:r>
    </w:p>
    <w:p w:rsidR="007C48D2" w:rsidRPr="004C7F56" w:rsidRDefault="007C48D2" w:rsidP="005A505C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E68B1" w:rsidRPr="004C7F56" w:rsidRDefault="0058514D" w:rsidP="005A505C">
      <w:pPr>
        <w:pStyle w:val="af3"/>
        <w:widowControl w:val="0"/>
        <w:numPr>
          <w:ilvl w:val="0"/>
          <w:numId w:val="7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Россия на международном рынке туристических услуг</w:t>
      </w:r>
    </w:p>
    <w:p w:rsidR="0033289E" w:rsidRPr="004C7F56" w:rsidRDefault="0033289E" w:rsidP="005A505C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93A6F" w:rsidRPr="004C7F56" w:rsidRDefault="00F93A6F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Для большинства стран мира, в настоящее время, туризм - один из основных источников дохода. Туризм занимает первое место в мире среди всех остальных секторов экономики по количеству рабочих мест. Если в 1998 г. в сфере туризма было занято 115 млн чел., то по прогнозу в 2020 году будет создано 550 млн рабочих мест.</w:t>
      </w:r>
    </w:p>
    <w:p w:rsidR="00906D3E" w:rsidRPr="004C7F56" w:rsidRDefault="00906D3E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Объем международного туристического потока неуклонно продолжает расти даже в условиях время от времени возникающих проблем </w:t>
      </w:r>
      <w:r w:rsidR="0002258A" w:rsidRPr="004C7F56">
        <w:rPr>
          <w:sz w:val="28"/>
          <w:szCs w:val="28"/>
        </w:rPr>
        <w:t>в экономическом, политическом, экологическом,</w:t>
      </w:r>
      <w:r w:rsidRPr="004C7F56">
        <w:rPr>
          <w:sz w:val="28"/>
          <w:szCs w:val="28"/>
        </w:rPr>
        <w:t xml:space="preserve"> </w:t>
      </w:r>
      <w:r w:rsidR="0002258A" w:rsidRPr="004C7F56">
        <w:rPr>
          <w:sz w:val="28"/>
          <w:szCs w:val="28"/>
        </w:rPr>
        <w:t>энергетическом и ряде</w:t>
      </w:r>
      <w:r w:rsidRPr="004C7F56">
        <w:rPr>
          <w:sz w:val="28"/>
          <w:szCs w:val="28"/>
        </w:rPr>
        <w:t xml:space="preserve"> других кризисов.</w:t>
      </w:r>
    </w:p>
    <w:p w:rsidR="00906D3E" w:rsidRPr="004C7F56" w:rsidRDefault="00906D3E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Почти все регионы мира последние годы демонстрируют быстрый рост объемов туристического потока, но </w:t>
      </w:r>
      <w:r w:rsidR="00A163B2" w:rsidRPr="004C7F56">
        <w:rPr>
          <w:sz w:val="28"/>
          <w:szCs w:val="28"/>
        </w:rPr>
        <w:t>наиболее</w:t>
      </w:r>
      <w:r w:rsidRPr="004C7F56">
        <w:rPr>
          <w:sz w:val="28"/>
          <w:szCs w:val="28"/>
        </w:rPr>
        <w:t xml:space="preserve"> значительных результатов добился Азиатско-Тихоокеанский регион, где число путешественников стало на 255% больше, чем в 2000 г. Этот успех объясняется активными рекламными кампаниями государств региона, а также поддержанием цен на "кризисном" уровне</w:t>
      </w:r>
      <w:r w:rsidR="00167C5A" w:rsidRPr="004C7F56">
        <w:rPr>
          <w:sz w:val="28"/>
          <w:szCs w:val="28"/>
        </w:rPr>
        <w:t xml:space="preserve">. </w:t>
      </w:r>
      <w:r w:rsidRPr="004C7F56">
        <w:rPr>
          <w:sz w:val="28"/>
          <w:szCs w:val="28"/>
        </w:rPr>
        <w:t>Значительных результатов за последние восемь лет достигли</w:t>
      </w:r>
      <w:r w:rsidR="00167C5A" w:rsidRPr="004C7F56">
        <w:rPr>
          <w:sz w:val="28"/>
          <w:szCs w:val="28"/>
        </w:rPr>
        <w:t xml:space="preserve"> так же</w:t>
      </w:r>
      <w:r w:rsidRPr="004C7F56">
        <w:rPr>
          <w:sz w:val="28"/>
          <w:szCs w:val="28"/>
        </w:rPr>
        <w:t xml:space="preserve"> государства </w:t>
      </w:r>
      <w:r w:rsidR="00167C5A" w:rsidRPr="004C7F56">
        <w:rPr>
          <w:sz w:val="28"/>
          <w:szCs w:val="28"/>
        </w:rPr>
        <w:t>Восточной и Центральной Европы.</w:t>
      </w:r>
    </w:p>
    <w:p w:rsidR="00906D3E" w:rsidRPr="004C7F56" w:rsidRDefault="00906D3E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Значительные результаты в туризме в последние года были достигнуты во многом благодаря большому числу масштабных событий, таких</w:t>
      </w:r>
      <w:r w:rsidR="00A163B2" w:rsidRPr="004C7F56">
        <w:rPr>
          <w:sz w:val="28"/>
          <w:szCs w:val="28"/>
        </w:rPr>
        <w:t xml:space="preserve"> как</w:t>
      </w:r>
      <w:r w:rsidRPr="004C7F56">
        <w:rPr>
          <w:sz w:val="28"/>
          <w:szCs w:val="28"/>
        </w:rPr>
        <w:t>, Летние Олимпийские игры в Китае, а также Зимние Олимпийские игры в Канаде, Чемпионат мира по хоккею, Европейский чемпионат по футболу и другие. Более 65% всех передвижений иностранных туристов и 75% создаваемых во всем мире поездок совершаются гражданами промышленно развитых стран.</w:t>
      </w:r>
    </w:p>
    <w:p w:rsidR="00906D3E" w:rsidRPr="004C7F56" w:rsidRDefault="00906D3E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Долгосрочные перспективы развития индустрии туризма представляются специалистам оптимистическими. </w:t>
      </w:r>
      <w:r w:rsidR="00A163B2" w:rsidRPr="004C7F56">
        <w:rPr>
          <w:sz w:val="28"/>
          <w:szCs w:val="28"/>
        </w:rPr>
        <w:t>Ожидается, что в</w:t>
      </w:r>
      <w:r w:rsidRPr="004C7F56">
        <w:rPr>
          <w:sz w:val="28"/>
          <w:szCs w:val="28"/>
        </w:rPr>
        <w:t xml:space="preserve"> 2010 г. в мире будет путешествовать 1 млрд чел., а к 2020 г. - 1,5 млрд чел. и доходы от гостинично-туристских услуг составят примерно 2 трлн долл.</w:t>
      </w:r>
    </w:p>
    <w:p w:rsidR="004C7F56" w:rsidRPr="005A505C" w:rsidRDefault="004C7F56" w:rsidP="005A505C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906D3E" w:rsidRPr="004C7F56" w:rsidRDefault="00906D3E" w:rsidP="005A505C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4C7F56">
        <w:rPr>
          <w:sz w:val="28"/>
          <w:szCs w:val="28"/>
        </w:rPr>
        <w:t xml:space="preserve">Таблица </w:t>
      </w:r>
      <w:r w:rsidR="007C48D2" w:rsidRPr="004C7F56">
        <w:rPr>
          <w:sz w:val="28"/>
          <w:szCs w:val="28"/>
        </w:rPr>
        <w:t>1</w:t>
      </w:r>
      <w:r w:rsidRPr="004C7F56">
        <w:rPr>
          <w:sz w:val="28"/>
          <w:szCs w:val="28"/>
        </w:rPr>
        <w:t>. Страны - лидеры выездного туризма в 2010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830"/>
        <w:gridCol w:w="2410"/>
      </w:tblGrid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Страна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 xml:space="preserve">Количество международных поездок, млн. 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Доля рынка,%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Германия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163,5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10,2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Япония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141,5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8,8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США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123,5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7,7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Китай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100,0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6,2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Великобритания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96,1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6,0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 xml:space="preserve">Франция 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37,6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2,3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Нидерланды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35,4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2,2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Канада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331,3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2,0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Россия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30,5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1,9</w:t>
            </w:r>
          </w:p>
        </w:tc>
      </w:tr>
      <w:tr w:rsidR="00906D3E" w:rsidRPr="003F1B62" w:rsidTr="003F1B62">
        <w:trPr>
          <w:jc w:val="center"/>
        </w:trPr>
        <w:tc>
          <w:tcPr>
            <w:tcW w:w="1856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Италия</w:t>
            </w:r>
          </w:p>
        </w:tc>
        <w:tc>
          <w:tcPr>
            <w:tcW w:w="283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29,7</w:t>
            </w:r>
          </w:p>
        </w:tc>
        <w:tc>
          <w:tcPr>
            <w:tcW w:w="241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1,9</w:t>
            </w:r>
          </w:p>
        </w:tc>
      </w:tr>
    </w:tbl>
    <w:p w:rsidR="004C7F56" w:rsidRDefault="004C7F56" w:rsidP="005A505C">
      <w:pPr>
        <w:widowControl w:val="0"/>
        <w:spacing w:after="200" w:line="276" w:lineRule="auto"/>
        <w:rPr>
          <w:sz w:val="28"/>
          <w:szCs w:val="28"/>
        </w:rPr>
      </w:pPr>
    </w:p>
    <w:p w:rsidR="00906D3E" w:rsidRPr="004C7F56" w:rsidRDefault="00906D3E" w:rsidP="005A505C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4C7F56">
        <w:rPr>
          <w:sz w:val="28"/>
          <w:szCs w:val="28"/>
        </w:rPr>
        <w:t xml:space="preserve">Таблица </w:t>
      </w:r>
      <w:r w:rsidR="007C48D2" w:rsidRPr="004C7F56">
        <w:rPr>
          <w:sz w:val="28"/>
          <w:szCs w:val="28"/>
        </w:rPr>
        <w:t>2</w:t>
      </w:r>
      <w:r w:rsidRPr="004C7F56">
        <w:rPr>
          <w:sz w:val="28"/>
          <w:szCs w:val="28"/>
        </w:rPr>
        <w:t>. Страны - лидеры въездного туризма в 2020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2749"/>
        <w:gridCol w:w="1800"/>
      </w:tblGrid>
      <w:tr w:rsidR="00906D3E" w:rsidRPr="003F1B62" w:rsidTr="003F1B62">
        <w:trPr>
          <w:trHeight w:val="377"/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Страна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Количество прибытий, млн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Доля рынка,%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Китай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137,1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8,6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США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102,4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6,4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Франция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93,3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5,8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Испания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71,0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4,4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Гонконг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58,3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3,7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Италия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52,9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3,3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Великобритания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52,8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3,3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Мексика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48,9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3,1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Россия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47,1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2,9</w:t>
            </w:r>
          </w:p>
        </w:tc>
      </w:tr>
      <w:tr w:rsidR="00906D3E" w:rsidRPr="003F1B62" w:rsidTr="003F1B62">
        <w:trPr>
          <w:jc w:val="center"/>
        </w:trPr>
        <w:tc>
          <w:tcPr>
            <w:tcW w:w="1875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Чехия</w:t>
            </w:r>
          </w:p>
        </w:tc>
        <w:tc>
          <w:tcPr>
            <w:tcW w:w="2749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44,0</w:t>
            </w:r>
          </w:p>
        </w:tc>
        <w:tc>
          <w:tcPr>
            <w:tcW w:w="1800" w:type="dxa"/>
            <w:shd w:val="clear" w:color="auto" w:fill="auto"/>
          </w:tcPr>
          <w:p w:rsidR="00906D3E" w:rsidRPr="004C7F56" w:rsidRDefault="00906D3E" w:rsidP="003F1B62">
            <w:pPr>
              <w:pStyle w:val="a9"/>
              <w:widowControl w:val="0"/>
              <w:jc w:val="both"/>
            </w:pPr>
            <w:r w:rsidRPr="004C7F56">
              <w:t>2,7</w:t>
            </w:r>
          </w:p>
        </w:tc>
      </w:tr>
    </w:tbl>
    <w:p w:rsidR="00906D3E" w:rsidRPr="004C7F56" w:rsidRDefault="00906D3E" w:rsidP="005A50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06D3E" w:rsidRPr="004C7F56" w:rsidRDefault="00906D3E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Анализируя положение в Российской Федерации, можно обозначить, что для нее, как и для большого количества стран Европы, характерны постепенное старение общества, увеличение количества городского населения в сравнении с сельским населением, довольно высокий уровень образованности, большое количество праздничных и выходных дней, возрастающий интерес россиян к людям в других странах и городах. Все </w:t>
      </w:r>
      <w:r w:rsidR="00A163B2" w:rsidRPr="004C7F56">
        <w:rPr>
          <w:sz w:val="28"/>
          <w:szCs w:val="28"/>
        </w:rPr>
        <w:t>эти</w:t>
      </w:r>
      <w:r w:rsidRPr="004C7F56">
        <w:rPr>
          <w:sz w:val="28"/>
          <w:szCs w:val="28"/>
        </w:rPr>
        <w:t xml:space="preserve"> факторы закладывают хорошие основы для туризма. Однако "тормозящим" фактором для развития въездного и в</w:t>
      </w:r>
      <w:r w:rsidR="00A163B2" w:rsidRPr="004C7F56">
        <w:rPr>
          <w:sz w:val="28"/>
          <w:szCs w:val="28"/>
        </w:rPr>
        <w:t>ыездного</w:t>
      </w:r>
      <w:r w:rsidRPr="004C7F56">
        <w:rPr>
          <w:sz w:val="28"/>
          <w:szCs w:val="28"/>
        </w:rPr>
        <w:t xml:space="preserve"> туризма является довольно низкий уровень жизни основного количества граждан страны. Если в ближайшие годы станет возможным переломить эту негативную тенденцию и стимулировать рост доходов, то российский туризм ожидает дальнейший подъем.</w:t>
      </w:r>
    </w:p>
    <w:p w:rsidR="00906D3E" w:rsidRPr="004C7F56" w:rsidRDefault="00DF1581" w:rsidP="005A505C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приведенных ниже таблицах можно проследить потоки выездного и въездного туризма в стране за последние</w:t>
      </w:r>
      <w:r w:rsidR="004947D6" w:rsidRPr="004C7F56">
        <w:rPr>
          <w:sz w:val="28"/>
          <w:szCs w:val="28"/>
        </w:rPr>
        <w:t xml:space="preserve"> годы</w:t>
      </w:r>
      <w:r w:rsidRPr="004C7F56">
        <w:rPr>
          <w:sz w:val="28"/>
          <w:szCs w:val="28"/>
        </w:rPr>
        <w:t>:</w:t>
      </w:r>
    </w:p>
    <w:p w:rsidR="004947D6" w:rsidRPr="004C7F56" w:rsidRDefault="00552072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Отметим что в сравнении с 2008 г. в 2009 г. в целом выездной туризм снизился на 15,5%, люди в период кризиса предпочли сэкономить на отдыхе. В то же время въездной туризм снизился лишь на 8,5%.</w:t>
      </w:r>
    </w:p>
    <w:p w:rsidR="00552072" w:rsidRPr="004C7F56" w:rsidRDefault="00552072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Хотя тройка лидеров наиболее предпочтительных для россиян туристических направлений осталась неизменной – это, как и в прошлом году, Египет, Турция и Китай, но произошли довольно значительные изменения и перераспределение российских туристов, выбравших для путешествий эти страны.</w:t>
      </w:r>
    </w:p>
    <w:p w:rsidR="00552072" w:rsidRPr="004C7F56" w:rsidRDefault="00552072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Наибольшие изменения коснулись Китая, который потерял более 51% российских туристов. Как считают эксперты, такое резкое снижение численности россиян, основная масса которых посещают Китай исключительно с целью шопинга, произошло из-за ужесточения таможенного режима с российской стороны и снижения покупательной способности россиян вследствие кризиса.</w:t>
      </w:r>
    </w:p>
    <w:p w:rsidR="00552072" w:rsidRPr="004C7F56" w:rsidRDefault="008D726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 xml:space="preserve">Турция потеряла более 11% туристов из России, в основном, из-за нежелания турецких туроператоров и хотельеров снижать цены во время кризиса, в то же время примерно на 13% возросло количество российских туристов, отправившихся отдыхать в Египет, что свидетельствует  о более гибкой политике местных туроператоров и привлекательных для россиян ценах на путевки, особенно в </w:t>
      </w:r>
      <w:r w:rsidR="004947D6" w:rsidRPr="004C7F56">
        <w:rPr>
          <w:bCs/>
          <w:color w:val="000000"/>
          <w:sz w:val="28"/>
          <w:szCs w:val="28"/>
        </w:rPr>
        <w:t>осенне-зимний</w:t>
      </w:r>
      <w:r w:rsidRPr="004C7F56">
        <w:rPr>
          <w:bCs/>
          <w:color w:val="000000"/>
          <w:sz w:val="28"/>
          <w:szCs w:val="28"/>
        </w:rPr>
        <w:t xml:space="preserve"> сезон.</w:t>
      </w:r>
    </w:p>
    <w:p w:rsidR="008D726A" w:rsidRPr="004C7F56" w:rsidRDefault="008D726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Отмена визового режима между Россией и Израилем чрезвычайно благоприятно сказалась на туристическом обмене между странами. Несмотря на кризис, число российских туристов посетивших Израиль увеличилось на 36%. Соответственно, на 42% увеличилось число туристов из Израиля, посетивших Россию.</w:t>
      </w:r>
    </w:p>
    <w:p w:rsidR="008D726A" w:rsidRPr="004C7F56" w:rsidRDefault="00D6289E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 xml:space="preserve">Также увеличилось количество российских граждан, посетивших Германию, Швейцарию, Великобританию, США, Корею, Нидерланды и Латвию. Во многом, увеличение спроса на путешествие в эти страны является исключительной заслугой их правительств и предпринимаемыми мерами, направленными на преодоление негативного влияния экономического кризиса на развития рынка туристских услуг. Например в Корее для привлечения иностранных туристов разработана государственная программа </w:t>
      </w:r>
      <w:r w:rsidRPr="004C7F56">
        <w:rPr>
          <w:bCs/>
          <w:color w:val="000000"/>
          <w:sz w:val="28"/>
          <w:szCs w:val="28"/>
          <w:lang w:val="en-US"/>
        </w:rPr>
        <w:t>VISIT</w:t>
      </w:r>
      <w:r w:rsidRPr="004C7F56">
        <w:rPr>
          <w:bCs/>
          <w:color w:val="000000"/>
          <w:sz w:val="28"/>
          <w:szCs w:val="28"/>
        </w:rPr>
        <w:t xml:space="preserve"> </w:t>
      </w:r>
      <w:r w:rsidRPr="004C7F56">
        <w:rPr>
          <w:bCs/>
          <w:color w:val="000000"/>
          <w:sz w:val="28"/>
          <w:szCs w:val="28"/>
          <w:lang w:val="en-US"/>
        </w:rPr>
        <w:t>KOREA</w:t>
      </w:r>
      <w:r w:rsidRPr="004C7F56">
        <w:rPr>
          <w:bCs/>
          <w:color w:val="000000"/>
          <w:sz w:val="28"/>
          <w:szCs w:val="28"/>
        </w:rPr>
        <w:t xml:space="preserve"> </w:t>
      </w:r>
      <w:r w:rsidRPr="004C7F56">
        <w:rPr>
          <w:bCs/>
          <w:color w:val="000000"/>
          <w:sz w:val="28"/>
          <w:szCs w:val="28"/>
          <w:lang w:val="en-US"/>
        </w:rPr>
        <w:t>YEAR</w:t>
      </w:r>
      <w:r w:rsidRPr="004C7F56">
        <w:rPr>
          <w:bCs/>
          <w:color w:val="000000"/>
          <w:sz w:val="28"/>
          <w:szCs w:val="28"/>
        </w:rPr>
        <w:t xml:space="preserve"> на 2010-2012 гг., которая </w:t>
      </w:r>
      <w:r w:rsidR="004947D6" w:rsidRPr="004C7F56">
        <w:rPr>
          <w:bCs/>
          <w:color w:val="000000"/>
          <w:sz w:val="28"/>
          <w:szCs w:val="28"/>
        </w:rPr>
        <w:t>предполагает</w:t>
      </w:r>
      <w:r w:rsidRPr="004C7F56">
        <w:rPr>
          <w:bCs/>
          <w:color w:val="000000"/>
          <w:sz w:val="28"/>
          <w:szCs w:val="28"/>
        </w:rPr>
        <w:t xml:space="preserve"> гибкую систему скидок, поощрений и распродаж для туристов, а для российских туроператоров, рекламирующих это </w:t>
      </w:r>
      <w:r w:rsidR="004947D6" w:rsidRPr="004C7F56">
        <w:rPr>
          <w:bCs/>
          <w:color w:val="000000"/>
          <w:sz w:val="28"/>
          <w:szCs w:val="28"/>
        </w:rPr>
        <w:t>направление</w:t>
      </w:r>
      <w:r w:rsidRPr="004C7F56">
        <w:rPr>
          <w:bCs/>
          <w:color w:val="000000"/>
          <w:sz w:val="28"/>
          <w:szCs w:val="28"/>
        </w:rPr>
        <w:t xml:space="preserve"> в СМИ, оплату их расходов на рекламу в размере 70% и выше. Большое значение в привлечении туристов так же играют отмена и упрощение визовых режимов. Планируется отмена визовых режимов с Турцией, ЕС и Египтом, что значительно увеличит поток россиян по данным направлениям.</w:t>
      </w:r>
    </w:p>
    <w:p w:rsidR="008D726A" w:rsidRPr="004C7F56" w:rsidRDefault="008D726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Страны не предпринимающие никаких активных действий по увеличению туристического потока, продолжают катастрофически терять русских туристов. Так, от 20% до 90% наших туристов потеряли за 2009 г. Хорватия, Литва, Япония, Норвегия, Мальта, Иордания, Эстония и Канада.</w:t>
      </w:r>
    </w:p>
    <w:p w:rsidR="00D6289E" w:rsidRPr="004C7F56" w:rsidRDefault="00D6289E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 xml:space="preserve">По въездному туризму, как уже было отмечено, показатели в 2009 г. изменились </w:t>
      </w:r>
      <w:r w:rsidR="008F4B5D" w:rsidRPr="004C7F56">
        <w:rPr>
          <w:bCs/>
          <w:color w:val="000000"/>
          <w:sz w:val="28"/>
          <w:szCs w:val="28"/>
        </w:rPr>
        <w:t>не так значительно как по выездному, и наша страна, несмотря на кризис, остается привлекательной для иностранцев.</w:t>
      </w:r>
    </w:p>
    <w:p w:rsidR="008F4B5D" w:rsidRPr="004C7F56" w:rsidRDefault="008F4B5D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По-прежнему, наибольшим спросом пользуется Россия у граждан Германии, США, Великобритании, Финляндии, Китая и Италии, причем, если интерес граждан Великобритании и Финляндии к нашей стране повысился, то китайцы и итальянцы немного охладели к путешествиям по России.</w:t>
      </w:r>
    </w:p>
    <w:p w:rsidR="008F4B5D" w:rsidRPr="004C7F56" w:rsidRDefault="008F4B5D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Увеличилось количество визитов в Россию и</w:t>
      </w:r>
      <w:r w:rsidR="004947D6" w:rsidRPr="004C7F56">
        <w:rPr>
          <w:bCs/>
          <w:color w:val="000000"/>
          <w:sz w:val="28"/>
          <w:szCs w:val="28"/>
        </w:rPr>
        <w:t xml:space="preserve"> из</w:t>
      </w:r>
      <w:r w:rsidRPr="004C7F56">
        <w:rPr>
          <w:bCs/>
          <w:color w:val="000000"/>
          <w:sz w:val="28"/>
          <w:szCs w:val="28"/>
        </w:rPr>
        <w:t xml:space="preserve"> таких стран как Израиль, Австрия, Швеция, </w:t>
      </w:r>
      <w:r w:rsidR="004947D6" w:rsidRPr="004C7F56">
        <w:rPr>
          <w:bCs/>
          <w:color w:val="000000"/>
          <w:sz w:val="28"/>
          <w:szCs w:val="28"/>
        </w:rPr>
        <w:t>Швейцария, Египет, Куба и Тунис</w:t>
      </w:r>
      <w:r w:rsidRPr="004C7F56">
        <w:rPr>
          <w:bCs/>
          <w:color w:val="000000"/>
          <w:sz w:val="28"/>
          <w:szCs w:val="28"/>
        </w:rPr>
        <w:t>. Практически не изменилось число туристов из Греции.</w:t>
      </w:r>
    </w:p>
    <w:p w:rsidR="008F4B5D" w:rsidRPr="004C7F56" w:rsidRDefault="008F4B5D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Более чем на 20% по сравнению с 2008 г. снизилось из Турции, Кореи, Польши, Чехии, Кипра, Словакии, Филиппин и ОАЭ.</w:t>
      </w:r>
    </w:p>
    <w:p w:rsidR="007C48D2" w:rsidRPr="004C7F56" w:rsidRDefault="00167C5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 xml:space="preserve">В 2014 г. планируется значительное количество иностранных туристов в связи с проведением </w:t>
      </w:r>
      <w:r w:rsidR="00116F25" w:rsidRPr="004C7F56">
        <w:rPr>
          <w:bCs/>
          <w:color w:val="000000"/>
          <w:sz w:val="28"/>
          <w:szCs w:val="28"/>
        </w:rPr>
        <w:t>З</w:t>
      </w:r>
      <w:r w:rsidRPr="004C7F56">
        <w:rPr>
          <w:bCs/>
          <w:color w:val="000000"/>
          <w:sz w:val="28"/>
          <w:szCs w:val="28"/>
        </w:rPr>
        <w:t>имних</w:t>
      </w:r>
      <w:r w:rsidR="00116F25" w:rsidRPr="004C7F56">
        <w:rPr>
          <w:bCs/>
          <w:color w:val="000000"/>
          <w:sz w:val="28"/>
          <w:szCs w:val="28"/>
        </w:rPr>
        <w:t xml:space="preserve"> Олимпийских игр в Сочи.</w:t>
      </w:r>
    </w:p>
    <w:p w:rsidR="004C7F56" w:rsidRPr="004C7F56" w:rsidRDefault="004C7F56" w:rsidP="005A505C">
      <w:pPr>
        <w:pStyle w:val="af3"/>
        <w:widowControl w:val="0"/>
        <w:spacing w:line="360" w:lineRule="auto"/>
        <w:ind w:left="709"/>
        <w:jc w:val="both"/>
        <w:rPr>
          <w:b/>
          <w:sz w:val="28"/>
          <w:szCs w:val="28"/>
        </w:rPr>
      </w:pPr>
    </w:p>
    <w:p w:rsidR="00952408" w:rsidRPr="004C7F56" w:rsidRDefault="00863B71" w:rsidP="005A505C">
      <w:pPr>
        <w:pStyle w:val="af3"/>
        <w:widowControl w:val="0"/>
        <w:numPr>
          <w:ilvl w:val="0"/>
          <w:numId w:val="7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Россия на международном рынке технологий</w:t>
      </w:r>
    </w:p>
    <w:p w:rsidR="00952408" w:rsidRPr="004C7F56" w:rsidRDefault="00952408" w:rsidP="005A505C">
      <w:pPr>
        <w:widowControl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D027D" w:rsidRPr="004C7F56" w:rsidRDefault="00FD027D" w:rsidP="005A505C">
      <w:pPr>
        <w:pStyle w:val="a5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Появлению рынка технологий способствовало введение патентных систем в конце XVIII — начале XIX вв., приведшее к укреплению права собственности создателя на продукты своего интеллектуального труда, что обусловило резкое расширение </w:t>
      </w:r>
      <w:r w:rsidRPr="004C7F56">
        <w:rPr>
          <w:rStyle w:val="a4"/>
          <w:b w:val="0"/>
          <w:sz w:val="28"/>
          <w:szCs w:val="28"/>
        </w:rPr>
        <w:t>торговли</w:t>
      </w:r>
      <w:r w:rsidRPr="004C7F56">
        <w:rPr>
          <w:sz w:val="28"/>
          <w:szCs w:val="28"/>
        </w:rPr>
        <w:t xml:space="preserve"> средствами производства, ранее сдерживаемое прежде всего боязнью копирования. В США такая система была введена в 1787 г., во Франции — в 1791 г., в России — в 1812 г., Испании — в 1820 г. Особое развитие этот </w:t>
      </w:r>
      <w:r w:rsidRPr="004C7F56">
        <w:rPr>
          <w:rStyle w:val="a4"/>
          <w:b w:val="0"/>
          <w:sz w:val="28"/>
          <w:szCs w:val="28"/>
        </w:rPr>
        <w:t>рынок</w:t>
      </w:r>
      <w:r w:rsidRPr="004C7F56">
        <w:rPr>
          <w:sz w:val="28"/>
          <w:szCs w:val="28"/>
        </w:rPr>
        <w:t xml:space="preserve"> получил в XX в. с появлением правовой базы, ростом научно-технического прогресса, возникновением новых составляющих его объекта.</w:t>
      </w:r>
    </w:p>
    <w:p w:rsidR="00126611" w:rsidRPr="004C7F56" w:rsidRDefault="00126611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Начиная с Царских времен, Россия всегда была страной больше ориентированной на экспорт, чем на импорт. Согласно исследованию Всемирного Банка, в 1980 году экспорт товаров из СССР достигал 75,4 млрд. долларов, что превысило экспортные показатели США в 2,8 раза – 212,9 млрд. долларов, а в 1985 году экспорт в России вырос до 87,3 млрд. долларов. Тогдашний СССР входил в первую десятку самых крупных экспортеров в мире и занимал 7-е место в этом рейтинге. Долю «совкового» экспорта на тот момент эксперты ВТО оценивали в 4,5% всей мировой торговли.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В настоящее время в мировой экономике активно формируется новая </w:t>
      </w:r>
      <w:r w:rsidR="00963D27" w:rsidRPr="004C7F56">
        <w:rPr>
          <w:sz w:val="28"/>
          <w:szCs w:val="28"/>
        </w:rPr>
        <w:t>ступень</w:t>
      </w:r>
      <w:r w:rsidRPr="004C7F56">
        <w:rPr>
          <w:sz w:val="28"/>
          <w:szCs w:val="28"/>
        </w:rPr>
        <w:t xml:space="preserve"> развития, в основе которой лежит современный этап НТР - информационно-технологическая революция – и инновационное развитие. Характерной чертой экономического роста является интеллектуализация основных факторов производства. Несравненно возрастает значимость и масштабность обмена результатами интеллектуальной деятельности: патентами, лицензиями на изобретения, промышленными образцами, ноу-хау, товарными знаками (брендами), программным обеспечением и т. д. В этих условиях можно говорить о функционировании международного рынка объектов интеллектуальной собственности как о самостоятельном секторе мирового рынка с присущими только ему особенностями и тенденциями развития. Во-первых, интеллектуальные продукты и услуги занимают все более значимое место на международных рынках (например, лицензии, составлявшие в 1945–1955 гг. не более четверти американского</w:t>
      </w:r>
      <w:r w:rsidR="004109A0" w:rsidRPr="004C7F56">
        <w:rPr>
          <w:sz w:val="28"/>
          <w:szCs w:val="28"/>
        </w:rPr>
        <w:t xml:space="preserve"> </w:t>
      </w:r>
      <w:r w:rsidRPr="004C7F56">
        <w:rPr>
          <w:sz w:val="28"/>
          <w:szCs w:val="28"/>
        </w:rPr>
        <w:t>экспорта, к 1990-м гг. превысили его половину). Во-вторых, по экспертным оценкам, мировой рынок интеллектуальных товаров и услуг в настоящее время растет в 5 раз быстрее, чем традиционных. К тому же основной признак современности – рост наукоемкости самих товаров и услуг. Не говоря уже о таких сферах, как космические исследования, оборона, где НТП проявляется в первую очередь, все более наукоемкими становятся и потребительские товары (автомобили, аудио-, видео- и бытовая техника, электроника и др.)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Передача объектов собственности от автора (собственника) интеллектуального продукта субъекту инновационной деятельности происходит на основе взаимного обмена «правами». Первичный собственник</w:t>
      </w:r>
      <w:r w:rsidR="004109A0" w:rsidRPr="004C7F56">
        <w:rPr>
          <w:sz w:val="28"/>
          <w:szCs w:val="28"/>
        </w:rPr>
        <w:t xml:space="preserve"> </w:t>
      </w:r>
      <w:r w:rsidRPr="004C7F56">
        <w:rPr>
          <w:sz w:val="28"/>
          <w:szCs w:val="28"/>
        </w:rPr>
        <w:t>интеллектуального продукта, уступая право собственности (или часть функций собственности), получает соответствующее вознаграждение. Новый же собственник интеллектуального продукта получает выгоду при его конечной реализации в ходе инновационной деятельности либо при перепродаже этого продукта.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7F56">
        <w:rPr>
          <w:sz w:val="28"/>
          <w:szCs w:val="28"/>
        </w:rPr>
        <w:t>Формы обмена объектами интеллектуальной деятельности с юридической точки зрения обычно разделяют на две группы.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К первой группе могут быть отнесены объекты, правовая охрана которых обеспечивается на основе соответствующих норм внутреннего законодательства и международных соглашений. Это охраняемые объекты промышленной собственности, то есть изобретения, полезные модели, промышленные образцы, товарные знаки, фирменные наименования, а также научно-технические сведения, защищаемые нормами патентного и авторского права (инструкции и другие виды технической документации). Существенными особенностями прав промышленной собственности, входящих в первую группу, являются следующие: права приобретаются в результате получения от соответствующего государственного органа специального документа (патента); порядок приобретения, использования, защиты прав промышленной собственности регламентируется специальными законами по охране отдельных объектов; данные права действуют только в пределах границ государства, где они приобретены; большая часть этих прав</w:t>
      </w:r>
      <w:r w:rsidR="007C48D2" w:rsidRPr="004C7F56">
        <w:rPr>
          <w:sz w:val="28"/>
          <w:szCs w:val="28"/>
        </w:rPr>
        <w:t xml:space="preserve"> </w:t>
      </w:r>
      <w:r w:rsidRPr="004C7F56">
        <w:rPr>
          <w:sz w:val="28"/>
          <w:szCs w:val="28"/>
        </w:rPr>
        <w:t>носит временный характер, то есть действует в течение срока, не превышающего установленного соответствующим законом; их обладателям предоставляется монополия на использование объекта (изобретения, полезной модели, промышленного образца, товарного знака, фирменного наименования и др.).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Ко второй группе относят научно-технические достижения, не пользующиеся такой правовой охраной в форме патента, но обладающие различиями в техническом уровне, что является основным критерием водораздела между ноу-хау и охраняемыми объектами промышленной собственности, в частности изобретениями. Единственный документ, определяющий содержание ноу-хау, – это договор между его продавцом и покупателем.</w:t>
      </w:r>
    </w:p>
    <w:p w:rsidR="007C48D2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Ведущее место на мировом рынке объектов ИС принадлежит США, Японии (из нетто-импортера превратилась в нетто-экспортера ИС и высоких технологий в целом), Германии, Великобритании, Франции.</w:t>
      </w:r>
    </w:p>
    <w:p w:rsidR="004C7F56" w:rsidRPr="005A505C" w:rsidRDefault="004C7F56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126611" w:rsidRPr="004C7F56" w:rsidRDefault="007C48D2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iCs/>
          <w:sz w:val="28"/>
          <w:szCs w:val="28"/>
        </w:rPr>
      </w:pPr>
      <w:r w:rsidRPr="004C7F56">
        <w:rPr>
          <w:iCs/>
          <w:sz w:val="28"/>
          <w:szCs w:val="28"/>
        </w:rPr>
        <w:t>Таблица 5.</w:t>
      </w:r>
      <w:r w:rsidR="00126611" w:rsidRPr="004C7F56">
        <w:rPr>
          <w:iCs/>
          <w:sz w:val="28"/>
          <w:szCs w:val="28"/>
        </w:rPr>
        <w:t>Доля стран – членов ОЭСР на отдельных рынках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iCs/>
          <w:sz w:val="28"/>
          <w:szCs w:val="28"/>
        </w:rPr>
      </w:pPr>
      <w:r w:rsidRPr="004C7F56">
        <w:rPr>
          <w:iCs/>
          <w:sz w:val="28"/>
          <w:szCs w:val="28"/>
        </w:rPr>
        <w:t>высокотехнологичной продукции (в % к общему объему рынков)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134"/>
        <w:gridCol w:w="1634"/>
        <w:gridCol w:w="1343"/>
        <w:gridCol w:w="1634"/>
      </w:tblGrid>
      <w:tr w:rsidR="00126611" w:rsidRPr="003F1B62" w:rsidTr="003F1B62">
        <w:trPr>
          <w:jc w:val="center"/>
        </w:trPr>
        <w:tc>
          <w:tcPr>
            <w:tcW w:w="257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Вид продукции</w:t>
            </w:r>
          </w:p>
        </w:tc>
        <w:tc>
          <w:tcPr>
            <w:tcW w:w="5745" w:type="dxa"/>
            <w:gridSpan w:val="4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Удельный вес стран</w:t>
            </w:r>
          </w:p>
        </w:tc>
      </w:tr>
      <w:tr w:rsidR="00126611" w:rsidRPr="003F1B62" w:rsidTr="003F1B62">
        <w:trPr>
          <w:jc w:val="center"/>
        </w:trPr>
        <w:tc>
          <w:tcPr>
            <w:tcW w:w="257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Продукция авиакосмической отрасли</w:t>
            </w:r>
          </w:p>
        </w:tc>
        <w:tc>
          <w:tcPr>
            <w:tcW w:w="11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США-36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Великобритания – 17</w:t>
            </w:r>
          </w:p>
        </w:tc>
        <w:tc>
          <w:tcPr>
            <w:tcW w:w="134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Германия – 14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Франция – 14</w:t>
            </w:r>
          </w:p>
        </w:tc>
      </w:tr>
      <w:tr w:rsidR="00126611" w:rsidRPr="003F1B62" w:rsidTr="003F1B62">
        <w:trPr>
          <w:jc w:val="center"/>
        </w:trPr>
        <w:tc>
          <w:tcPr>
            <w:tcW w:w="257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Изделия электронной промышленности</w:t>
            </w:r>
          </w:p>
        </w:tc>
        <w:tc>
          <w:tcPr>
            <w:tcW w:w="11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США – 21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Япония – 18</w:t>
            </w:r>
          </w:p>
        </w:tc>
        <w:tc>
          <w:tcPr>
            <w:tcW w:w="134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Южная Корея – 11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Великобритания – 9</w:t>
            </w:r>
          </w:p>
        </w:tc>
      </w:tr>
      <w:tr w:rsidR="00126611" w:rsidRPr="003F1B62" w:rsidTr="003F1B62">
        <w:trPr>
          <w:jc w:val="center"/>
        </w:trPr>
        <w:tc>
          <w:tcPr>
            <w:tcW w:w="257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Офисное и компьютерное оборудование</w:t>
            </w:r>
          </w:p>
        </w:tc>
        <w:tc>
          <w:tcPr>
            <w:tcW w:w="11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США – 20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Япония – 13</w:t>
            </w:r>
          </w:p>
        </w:tc>
        <w:tc>
          <w:tcPr>
            <w:tcW w:w="134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Нидерланды – 12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Великобритания – 9</w:t>
            </w:r>
          </w:p>
        </w:tc>
      </w:tr>
      <w:tr w:rsidR="00126611" w:rsidRPr="003F1B62" w:rsidTr="003F1B62">
        <w:trPr>
          <w:jc w:val="center"/>
        </w:trPr>
        <w:tc>
          <w:tcPr>
            <w:tcW w:w="257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Фармацевтическая продукция</w:t>
            </w:r>
          </w:p>
        </w:tc>
        <w:tc>
          <w:tcPr>
            <w:tcW w:w="11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Бельгия – 15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Германия – 11</w:t>
            </w:r>
          </w:p>
        </w:tc>
        <w:tc>
          <w:tcPr>
            <w:tcW w:w="1343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США – 10,5</w:t>
            </w:r>
          </w:p>
        </w:tc>
        <w:tc>
          <w:tcPr>
            <w:tcW w:w="1634" w:type="dxa"/>
            <w:shd w:val="clear" w:color="auto" w:fill="auto"/>
          </w:tcPr>
          <w:p w:rsidR="00126611" w:rsidRPr="003F1B62" w:rsidRDefault="00126611" w:rsidP="003F1B6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iCs/>
                <w:sz w:val="20"/>
                <w:szCs w:val="20"/>
              </w:rPr>
            </w:pPr>
            <w:r w:rsidRPr="003F1B62">
              <w:rPr>
                <w:iCs/>
                <w:sz w:val="20"/>
                <w:szCs w:val="20"/>
              </w:rPr>
              <w:t>Ирландия – 10,5</w:t>
            </w:r>
          </w:p>
        </w:tc>
      </w:tr>
    </w:tbl>
    <w:p w:rsidR="007C48D2" w:rsidRPr="004C7F56" w:rsidRDefault="007C48D2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начале XXI в. эти и другие развитые страны Запада концентрируют у себя более 90% мирового научного потенциала и контролируют 80% глобального рынка высоких технологий, объем которого оценивается в 2,5–3 трлн. долл., что превосходит рынок сырьевых и энергетических ресурсов. (Предполагается, что к 2015–2020 гг. он достигнет 4 трлн. долл.) Наиболее динамично развивается при торговле технологиями обмен патентами, лицензиями, ноу-хау и промышленными образц</w:t>
      </w:r>
      <w:r w:rsidR="00963D27" w:rsidRPr="004C7F56">
        <w:rPr>
          <w:sz w:val="28"/>
          <w:szCs w:val="28"/>
        </w:rPr>
        <w:t>ами.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Сравнительно высокая патентная активность (по количеству заявок на получение патентов) в российской промышленности (170 отечественных заявок на 1 млн. жителей) ставит Россию в один ряд с наиболее развитыми странами, но пока не приводит к глубоким технологическим сдвигам. В промышленность РФ внедряется только 2% инноваций. На объекты ИС и другие виды интеллектуальных продуктов в российском экспорте приходится лишь около 3% общего стоимостного объема экспорта (для сравнения: у Бразилии – более 5%, у Китая – 25%). Однако следует учитывать, что 3% всего экспорта – это технологии, передаваемые по лицензиям на изобретения или ноу-хау. А в целом доля экспорта высокотехнологичной продукции в РФ выше. Россия устойчиво занимает ведущие позиции на мировом рынке вооружений – весьма наукоемкого продукта (современные самолеты «Су» и «МиГ», боевые вертолеты, подводные лодки, эсминцы, фрегаты, средства ПВО и т. д.). В 2003 г. было поставлено на экспорт продукции военного назначения на сумму более 5 млрд. долл. Одновременно РФ успешно конкурирует на рынках ядерных технологий, космической техники и услуг, некоторых видов электронной промышленности. По имеющимся оценкам, доля России на рынке оборудования и услуг для атомных электростанций составляла в начале 2000-х гг. 11% (сейчас ее возможности резко возрастают с выходом на рынок ЕС), и, по оценкам, в скором времени России может принадлежать до 1/3 мирового рынка оборудования для АЭС, в переработке ядерных отходов – 8–9%, в коммерческих космических запусках – 11%, продажах космических аппаратов – 2%, наземного оборудования космических систем – 1%.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Основными партнерами России в торговле технологиями являются страны ОЭСР, Индия и Китай. На долю стран ОЭСР в 2002 г. пришлось около 50% суммарного оборота и 67% всех заключенных соглашений.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Крупнейшими импортерами российских технологий выступают Индия и Китай (17,4% и 17,6% в 2002 г. соответственно). Доля США сократилась с 20,9% в 2000 г. до 13,7% в 2002 г. В структуре импорта технологий в Россию лидируют страны – члены ОЭСР (85,4% всего российского импорта технологий). Среди них по чистой стоимости соглашений по импорту лидируют Франция (29,3%), Германия (9,5%), Великобритания (8%) и США (7%).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современной структуре российского экспорта технологий преобладают все же так называемые неохраноспособные виды интеллектуальной собственности, значительно менее ценные с коммерческой точки зрения.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Главные направления сотрудничества с зарубежными странами – оказание зарубежным странам инжиниринговых услуг (67,98% от совокупного экспорта объектов интеллектуальной собственности и 31,55% от их импорта) и передача научно-исследовательских работ (9,84% и 31,9% соответственно), не всегда защищенных патентами.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Особую роль занимают соглашения по передаче товарных знаков (0,68% по экспорту и 14,52% по импорту). Лишь 3% в структуре технологического экспорта составляют отечественные изобретения и ноу-хау, передаваемые по лицензиям.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Международный обмен объектами интеллектуальной собственности стал в настоящее время самостоятельной сферой экономических отношений. Отсюда условием успешной интеграции России в систему международных экономических отношений становится расширение и повышение эффективности российской внешней торговли этими видами товаров и услуг с совершенствованием национальной системы правовой охраны и передачи интеллектуальной собственности.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bCs/>
          <w:sz w:val="28"/>
          <w:szCs w:val="28"/>
        </w:rPr>
        <w:t xml:space="preserve">Обеспечение правовой охраны объектов интеллектуальной собственности. </w:t>
      </w:r>
      <w:r w:rsidRPr="004C7F56">
        <w:rPr>
          <w:sz w:val="28"/>
          <w:szCs w:val="28"/>
        </w:rPr>
        <w:t xml:space="preserve">В 2005–2006 гг. усовершенствованы процессы проведения экспертизы заявок на выдачу патентов на изобретения и полезную модель, включая повышение качества и сокращение сроков экспертизы. Это влияет и на показатели </w:t>
      </w:r>
      <w:r w:rsidRPr="004C7F56">
        <w:rPr>
          <w:bCs/>
          <w:sz w:val="28"/>
          <w:szCs w:val="28"/>
        </w:rPr>
        <w:t xml:space="preserve">патентования иностранных разработок в России </w:t>
      </w:r>
      <w:r w:rsidRPr="004C7F56">
        <w:rPr>
          <w:sz w:val="28"/>
          <w:szCs w:val="28"/>
        </w:rPr>
        <w:t xml:space="preserve">и показатели </w:t>
      </w:r>
      <w:r w:rsidRPr="004C7F56">
        <w:rPr>
          <w:bCs/>
          <w:sz w:val="28"/>
          <w:szCs w:val="28"/>
        </w:rPr>
        <w:t xml:space="preserve">патентования российских разработок за рубежом </w:t>
      </w:r>
      <w:r w:rsidRPr="004C7F56">
        <w:rPr>
          <w:sz w:val="28"/>
          <w:szCs w:val="28"/>
        </w:rPr>
        <w:t>(последние пока незначительны, часто из-за отсутствия денежных средств).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Российской Федерации запатентованы разработки из 85 стран. Самые крупные массивы патентных документов (более 1000 патентов) имеют патентообладатели Украины, США, Японии, Франции, Германии, Швейцарии, Белоруссии (страны перечислены в порядке убывания количества полученных патентов). Иностранные заявители в последние годы получают менее 20% от общего количества выданных в Российской Федерации патентов.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настоящее время в России существует тенденция к увеличению количества подаваемых патентных заявок. Это связано с интенсификацией изобретательской активности в РФ. До 1997 г. происходил спад на данном направлении. На 10 тыс. населения приходилось всего 1,03 патентной заявки. В 2003 г. этот показатель составил 1,70. В общей сложности в 2003 г. было подано 30 651 заявка и выдано 24 726 патентов, а в 2005 г. подано 32 254 заявки и выдано 23 390 патентов.</w:t>
      </w:r>
    </w:p>
    <w:p w:rsidR="00116F25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К сожалению, в отличие от промышленно развитых стран, изобретательская активность в России резко падает по мере приближения к концу научно-технологической цепи. Так, количество действующих патентов на изобретения в 2001 г. более чем в 7,5 раза превосходило число заявок на полезные модели. 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При действующей системе патентной защиты и практике коммерциализации результатов исследований и разработок нельзя ставить во главу угла рост патентования. Большинство разработок реализуется в форме ноу-хау, а не патентов. Патентование в России служит в первую очередь для закрепления приоритета – по аналогии с публикацией в научном журнале. </w:t>
      </w:r>
      <w:r w:rsidR="00116F25" w:rsidRPr="004C7F56">
        <w:rPr>
          <w:sz w:val="28"/>
          <w:szCs w:val="28"/>
        </w:rPr>
        <w:t>Р</w:t>
      </w:r>
      <w:r w:rsidRPr="004C7F56">
        <w:rPr>
          <w:sz w:val="28"/>
          <w:szCs w:val="28"/>
        </w:rPr>
        <w:t>оссийский патент не обеспечивает международной защиты, а информация о существенных параметрах изобретения становится доступной. Не случайно поэтому практически действующими являются, по данным Российского агентства по патентам и товарным знакам, только 35% общего числа патентов, а их поддержание в среднем прекращается через 4–5 лет.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 xml:space="preserve">По мировым меркам сложившееся в России соотношение количества патентов иностранных и национальных патентообладателей не является высоким. Так, в 2001 г., согласно отчету Европейского патентного ведомства, заявители из Японии подали 18,6% заявок на получение европатента, из США – 27,6%, из других неевропейских стран – 5,4%, всего 51,6% от общего количества поданных заявок, то есть на долю европейских стран пришлось меньше половины заявок – 48,4%. В США, согласно данным отчета ведомства по патентам и товарным знакам США, за тот же год доля поданных неамериканских заявок составила </w:t>
      </w:r>
      <w:r w:rsidR="00DC3DDA" w:rsidRPr="004C7F56">
        <w:rPr>
          <w:sz w:val="28"/>
          <w:szCs w:val="28"/>
        </w:rPr>
        <w:t xml:space="preserve">46,5%. В России же </w:t>
      </w:r>
      <w:r w:rsidRPr="004C7F56">
        <w:rPr>
          <w:sz w:val="28"/>
          <w:szCs w:val="28"/>
        </w:rPr>
        <w:t>эта цифра – менее 20%.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Крупнейшим иностранным патентообладателем в России является компания «Самсунг электроникс», специализирующаяся в области электроники и средств связи</w:t>
      </w:r>
      <w:r w:rsidR="00DC3DDA" w:rsidRPr="004C7F56">
        <w:rPr>
          <w:sz w:val="28"/>
          <w:szCs w:val="28"/>
        </w:rPr>
        <w:t xml:space="preserve"> </w:t>
      </w:r>
      <w:r w:rsidRPr="004C7F56">
        <w:rPr>
          <w:sz w:val="28"/>
          <w:szCs w:val="28"/>
        </w:rPr>
        <w:t xml:space="preserve">– </w:t>
      </w:r>
      <w:r w:rsidR="00DC3DDA" w:rsidRPr="004C7F56">
        <w:rPr>
          <w:sz w:val="28"/>
          <w:szCs w:val="28"/>
        </w:rPr>
        <w:t xml:space="preserve">это </w:t>
      </w:r>
      <w:r w:rsidRPr="004C7F56">
        <w:rPr>
          <w:sz w:val="28"/>
          <w:szCs w:val="28"/>
        </w:rPr>
        <w:t>одна из немногих иностранных компаний, которая занимается в России реализацией крупных инвестиционных проектов по наукоемким технологиям, вкладывает значительные средства в разработки, выполняемые здесь российскими специалистами по прямы</w:t>
      </w:r>
      <w:r w:rsidR="00116F25" w:rsidRPr="004C7F56">
        <w:rPr>
          <w:sz w:val="28"/>
          <w:szCs w:val="28"/>
        </w:rPr>
        <w:t>м заказам компании.</w:t>
      </w:r>
    </w:p>
    <w:p w:rsidR="00116F25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список крупнейших иностранных патентообладателей входят и многоотраслевой концерн «Сименс АГ», а также гиганты химико-фармацевтического направления: «Хёхст АГ», «ЭЛИ ЛИЛЛИ энд компани», «Л’Ореаль», «Пфайзер инк.». Перечисленные фирмы входят в число крупных патентообладателей не только в России, но и в развитых странах</w:t>
      </w:r>
      <w:r w:rsidR="00116F25" w:rsidRPr="004C7F56">
        <w:rPr>
          <w:sz w:val="28"/>
          <w:szCs w:val="28"/>
        </w:rPr>
        <w:t xml:space="preserve">. 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Патенты иностранных компаний распределены по тематическим направлениям неравномерно и в некоторых отраслях занимают доминирующее положение. В числе тематических направлений, где иностранным патентообладателям принадлежит значительная доля патентов и где иностранные компании являются лидерами процесса патентования, можно выделить следующие: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1) лекарства и препараты, лекарственные формы. Способы их получения и использования для диагностики, терапии и исследований, включая препараты, содержащие радиоактивные вещества (подкласс Ф61К по Международной патентной классификации);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2) химические и физические процессы общего назначения для химической и/или физической модификации веществ. Катализ, коллоидная химия (B01J);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3) органическая химия. Получение ациклических, карбоциклических и гетероциклических соединений для различных целей (подклассы C07C, D, F). Способы получения и/или химической обработки высокомолекулярных соединений. Композиции на основе этих соединений (подклассы C08F, G, J, K, L).</w:t>
      </w:r>
    </w:p>
    <w:p w:rsidR="00126611" w:rsidRPr="004C7F56" w:rsidRDefault="00126611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По мнению специалистов, Россия способна успешно конкурировать как минимум на 10–15 направлениях наукоемкой продукции и услуг (макротехнологий) из 50. К ним относятся: авиакосмическое машиностроение; спецметаллургия; космическая техника; ядерные технологии; водородная энергетика; оптоэлектронные технологии; телекоммуникационное оборудование; лазерные и нанотехнологии и др.</w:t>
      </w:r>
    </w:p>
    <w:p w:rsidR="00126611" w:rsidRPr="004C7F56" w:rsidRDefault="00963D27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В этих целях</w:t>
      </w:r>
      <w:r w:rsidR="00126611" w:rsidRPr="004C7F56">
        <w:rPr>
          <w:sz w:val="28"/>
          <w:szCs w:val="28"/>
        </w:rPr>
        <w:t>, необходимы изменения качества экономического роста за счет развития инновационных высокотехнологических кластеров, встраивание в международные научно-технологические программы и стратегические альянсы, пересмотр методов финансирования приоритетов создания национальной инновационной системы (НИС).</w:t>
      </w:r>
    </w:p>
    <w:p w:rsidR="00DC3DDA" w:rsidRPr="004C7F56" w:rsidRDefault="00DC3DDA" w:rsidP="005A5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Ниже рассмотрим таблицы, в которых указанны данные за некоторые годы по экспорту товаров и услуг РФ, импорту и сальдо.</w:t>
      </w:r>
    </w:p>
    <w:p w:rsidR="004C7F56" w:rsidRDefault="004C7F56" w:rsidP="005A505C">
      <w:pPr>
        <w:widowControl w:val="0"/>
        <w:spacing w:after="200" w:line="276" w:lineRule="auto"/>
        <w:rPr>
          <w:color w:val="000000"/>
          <w:sz w:val="28"/>
          <w:szCs w:val="28"/>
        </w:rPr>
      </w:pPr>
    </w:p>
    <w:p w:rsidR="00126611" w:rsidRPr="004C7F56" w:rsidRDefault="007C48D2" w:rsidP="005A505C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 xml:space="preserve">Таблица </w:t>
      </w:r>
      <w:r w:rsidR="00116F25" w:rsidRPr="004C7F56">
        <w:rPr>
          <w:color w:val="000000"/>
          <w:sz w:val="28"/>
          <w:szCs w:val="28"/>
        </w:rPr>
        <w:t>6</w:t>
      </w:r>
      <w:r w:rsidRPr="004C7F56">
        <w:rPr>
          <w:color w:val="000000"/>
          <w:sz w:val="28"/>
          <w:szCs w:val="28"/>
        </w:rPr>
        <w:t>. Экспорт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639"/>
        <w:gridCol w:w="851"/>
        <w:gridCol w:w="709"/>
        <w:gridCol w:w="850"/>
        <w:gridCol w:w="851"/>
        <w:gridCol w:w="850"/>
        <w:gridCol w:w="709"/>
        <w:gridCol w:w="850"/>
        <w:gridCol w:w="851"/>
      </w:tblGrid>
      <w:tr w:rsidR="00863B71" w:rsidRPr="003F1B62" w:rsidTr="003F1B62">
        <w:trPr>
          <w:jc w:val="center"/>
        </w:trPr>
        <w:tc>
          <w:tcPr>
            <w:tcW w:w="1927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63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70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1999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863B71" w:rsidRPr="003F1B62" w:rsidTr="003F1B62">
        <w:trPr>
          <w:jc w:val="center"/>
        </w:trPr>
        <w:tc>
          <w:tcPr>
            <w:tcW w:w="1927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Экспорт товаров и услуг РФ</w:t>
            </w:r>
          </w:p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(млрд.долларов США)</w:t>
            </w:r>
          </w:p>
        </w:tc>
        <w:tc>
          <w:tcPr>
            <w:tcW w:w="63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86,90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74,40</w:t>
            </w:r>
          </w:p>
        </w:tc>
        <w:tc>
          <w:tcPr>
            <w:tcW w:w="70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75,60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101,90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107,30</w:t>
            </w:r>
          </w:p>
        </w:tc>
        <w:tc>
          <w:tcPr>
            <w:tcW w:w="709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135,90</w:t>
            </w:r>
          </w:p>
        </w:tc>
        <w:tc>
          <w:tcPr>
            <w:tcW w:w="850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183,20</w:t>
            </w:r>
          </w:p>
        </w:tc>
        <w:tc>
          <w:tcPr>
            <w:tcW w:w="851" w:type="dxa"/>
            <w:shd w:val="clear" w:color="auto" w:fill="auto"/>
            <w:hideMark/>
          </w:tcPr>
          <w:p w:rsidR="00863B71" w:rsidRPr="003F1B62" w:rsidRDefault="00863B71" w:rsidP="003F1B62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3F1B62">
              <w:rPr>
                <w:color w:val="000000"/>
                <w:sz w:val="20"/>
                <w:szCs w:val="20"/>
              </w:rPr>
              <w:t>245,30</w:t>
            </w:r>
          </w:p>
        </w:tc>
      </w:tr>
    </w:tbl>
    <w:p w:rsidR="00BB7C3B" w:rsidRPr="004C7F56" w:rsidRDefault="00BB7C3B" w:rsidP="005A505C">
      <w:pPr>
        <w:widowControl w:val="0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454847" w:rsidRPr="004C7F56" w:rsidRDefault="007C48D2" w:rsidP="005A505C">
      <w:pPr>
        <w:pStyle w:val="af3"/>
        <w:widowControl w:val="0"/>
        <w:numPr>
          <w:ilvl w:val="0"/>
          <w:numId w:val="7"/>
        </w:numPr>
        <w:spacing w:line="360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4C7F56">
        <w:rPr>
          <w:b/>
          <w:bCs/>
          <w:color w:val="000000"/>
          <w:sz w:val="28"/>
          <w:szCs w:val="28"/>
        </w:rPr>
        <w:t>Россия на международном рынке транспортных услуг</w:t>
      </w:r>
    </w:p>
    <w:p w:rsidR="00C62B8B" w:rsidRPr="004C7F56" w:rsidRDefault="00C62B8B" w:rsidP="005A505C">
      <w:pPr>
        <w:widowControl w:val="0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Транспорт - важная составляющая хозяйственного комплекса России. Его доля в общем числе занятых в экономике страны равна примерно 7%</w:t>
      </w:r>
      <w:r w:rsidR="004A7950" w:rsidRPr="004C7F56">
        <w:rPr>
          <w:color w:val="000000"/>
          <w:sz w:val="28"/>
          <w:szCs w:val="28"/>
        </w:rPr>
        <w:t xml:space="preserve">, в производственных фондах 20% </w:t>
      </w:r>
      <w:r w:rsidR="004A7950" w:rsidRPr="004C7F56">
        <w:rPr>
          <w:b/>
          <w:bCs/>
          <w:i/>
          <w:iCs/>
          <w:sz w:val="28"/>
          <w:szCs w:val="28"/>
        </w:rPr>
        <w:t xml:space="preserve">Транспорт </w:t>
      </w:r>
      <w:r w:rsidR="004A7950" w:rsidRPr="004C7F56">
        <w:rPr>
          <w:sz w:val="28"/>
          <w:szCs w:val="28"/>
        </w:rPr>
        <w:t>– единственный вид российских услуг, где стоимость экспорта превосходит стоимость импорта, обеспечивая активный результат для платежного баланса.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Транспортная система России включает железнодорожный, автомобильный, водный, морской, трубопроводный и воздушный транспорт.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Ведущую роль в транспортной системе России занимает железнодорожный транспорт. Это обусловлено не только природными, экономическими и др. особенностями страны, но и рядом его технико-экономических преимуществ перед другими видами транспорта. Современная железнодорожная сеть России складывалась на протяжении длительного времени. Наиболее густую и разветвленную сеть железных дорог имеет европейская часть страны. В структуре грузовых перевозок железнодорожного транспорта значительная доля (почти 9/10 всей его грузовой работы) приходится на уголь, минерально-строительные, нефтяные, лесные и хлебные грузы, руду и черные металлы, минеральные удобрения. Железнодорожный транспорт играет существенную роль и в пассажирских перевозках, хотя перевозки пассажиров в приведенной продукции железнодорожного транспорта составляют небольшую долю (менее 10%).</w:t>
      </w:r>
    </w:p>
    <w:p w:rsidR="00F20C4D" w:rsidRPr="004C7F56" w:rsidRDefault="00F20C4D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Морской транспорт России в транспортной системе - один из ведущих. Особенно велика его роль в перевозках экспортно-импортных грузов (90% грузооборота в международном сообщении). В составе перевозок морским транспортном преобладают нефтяные грузы, руды, строительные материалы, лес, каменный уголь, хлебные грузы. Доля перевозок пассажиров невелика. Первое место в грузообороте морского транспорта России принадлежит портам Дальневосточного бассейна, на долю которых приходится почти 50% отправляемых и получаемых грузов.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Автомобильный транспорт играет первостепенную</w:t>
      </w:r>
      <w:r w:rsidR="00F20C4D" w:rsidRPr="004C7F56">
        <w:rPr>
          <w:color w:val="000000"/>
          <w:sz w:val="28"/>
          <w:szCs w:val="28"/>
        </w:rPr>
        <w:t xml:space="preserve"> роль в пассажирских перевозках и</w:t>
      </w:r>
      <w:r w:rsidRPr="004C7F56">
        <w:rPr>
          <w:color w:val="000000"/>
          <w:sz w:val="28"/>
          <w:szCs w:val="28"/>
        </w:rPr>
        <w:t xml:space="preserve"> транспортировке грузов. Автомобильные трассы проложены параллельно железнодорожным магистралям, поэтому наибольшей густотой сети отличаются районы европейской части. В грузообороте автомобильного транспорта выделяются строительные материалы, вскрышные породы и грунт, сельскохозяйственные и лесные грузы, черные металлы, товары народного потребления.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Речной транспорт в нашей стране один из старейших. Преимущества речного транспорта оказались недостаточными для того, чтобы сделать его конкурентоспособным в отношении других видов транспорта. Поэтому доля речного транспорта в перевозке грузов и людей невелика (2,5 и 0,25%</w:t>
      </w:r>
      <w:r w:rsidR="00F20C4D" w:rsidRPr="004C7F56">
        <w:rPr>
          <w:color w:val="000000"/>
          <w:sz w:val="28"/>
          <w:szCs w:val="28"/>
        </w:rPr>
        <w:t xml:space="preserve"> соответственно</w:t>
      </w:r>
      <w:r w:rsidRPr="004C7F56">
        <w:rPr>
          <w:color w:val="000000"/>
          <w:sz w:val="28"/>
          <w:szCs w:val="28"/>
        </w:rPr>
        <w:t>) и обнаруживает устойчивую тенденцию к сокращению.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Воздушный транспорт выполняет роль одного из главных перевозчиков пассажиров на большие расстояния. По удельному весу в пассажирообороте страны (примерно 16%) он уступает только железнодорожному и автомобильному транспорту, но значительно превосходит остальные. Объем грузов, перевозимых авиационным транспортом, относительно невелик, в их составе преобладают особо ценные, скоропортящиеся и срочные грузы. В общей работе воздушного транспорта перевозки пассажиров составляют 4/5, а грузов и почты 1/5.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 xml:space="preserve">Трубопроводный транспорт среди других видов транспорта самый молодой, но по объему выполняемой работы - ведущий. Он предназначен для транспортировки жидких (нефть и нефтепродукты) и газообразных продуктов. Доля трубопроводного транспорта в грузообороте страны с каждым годом растет, что обусловлено рядом его эксплуатационных преимуществ (надежность, высокая пропускаемость, низкая себестоимость продукта и т.д.) Из основных нефтедобывающих и газодобывающих районов (Западная Сибирь, Урало-Поволжский Северный районы) нефтепроводы и газопроводы проложены в Европу. 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В условиях формирования новой модели развития мировой экономики транспорт является инструментом реализации национальных интересов России, обеспечения достойного места страны в мировой хозяйственной системе.</w:t>
      </w:r>
    </w:p>
    <w:p w:rsidR="00F20C4D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 xml:space="preserve">Экспорт транспортных услуг Российской Федерации вырос с 3 млрд.долл. в 1999 г. до </w:t>
      </w:r>
      <w:r w:rsidR="00FC7A89" w:rsidRPr="004C7F56">
        <w:rPr>
          <w:color w:val="000000"/>
          <w:sz w:val="28"/>
          <w:szCs w:val="28"/>
        </w:rPr>
        <w:t>7 млрд.долл. в 2008</w:t>
      </w:r>
      <w:r w:rsidRPr="004C7F56">
        <w:rPr>
          <w:color w:val="000000"/>
          <w:sz w:val="28"/>
          <w:szCs w:val="28"/>
        </w:rPr>
        <w:t xml:space="preserve"> г. </w:t>
      </w:r>
    </w:p>
    <w:p w:rsidR="00DA2821" w:rsidRPr="004C7F56" w:rsidRDefault="001218BA" w:rsidP="005A50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color w:val="000000"/>
          <w:sz w:val="28"/>
          <w:szCs w:val="28"/>
        </w:rPr>
        <w:t>Заявив в 2000 г. о том, что у нас есть транспортные коридоры "Север-Юг", Транссиб, глубоководные речные пути, к 2005 г. мы подходим совсем не с теми транзитными показателями, о которых говорилось на Первой и Второй международных евроазиатских конференциях по транспорту</w:t>
      </w:r>
      <w:r w:rsidR="00157804" w:rsidRPr="004C7F56">
        <w:rPr>
          <w:color w:val="000000"/>
          <w:sz w:val="28"/>
          <w:szCs w:val="28"/>
        </w:rPr>
        <w:t xml:space="preserve">. </w:t>
      </w:r>
      <w:r w:rsidR="00DA2821" w:rsidRPr="004C7F56">
        <w:rPr>
          <w:sz w:val="28"/>
          <w:szCs w:val="28"/>
        </w:rPr>
        <w:t>Перспективным направлением развития транзитных услуг для России является развитие транспортного коридора «Север – Юг).</w:t>
      </w:r>
    </w:p>
    <w:p w:rsidR="00DA2821" w:rsidRPr="004C7F56" w:rsidRDefault="00DA2821" w:rsidP="005A50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C7F56">
        <w:rPr>
          <w:sz w:val="28"/>
          <w:szCs w:val="28"/>
        </w:rPr>
        <w:t>Это позволит «перехватить» грузопотоки между Азией (Индия, Иран и др.) и Скандинавскими</w:t>
      </w:r>
      <w:r w:rsidR="00117E68" w:rsidRPr="004C7F56">
        <w:rPr>
          <w:sz w:val="28"/>
          <w:szCs w:val="28"/>
        </w:rPr>
        <w:t>,</w:t>
      </w:r>
      <w:r w:rsidRPr="004C7F56">
        <w:rPr>
          <w:sz w:val="28"/>
          <w:szCs w:val="28"/>
        </w:rPr>
        <w:t xml:space="preserve"> и другими европейскими странами.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Взаимодействие между Россией и Европейским сою</w:t>
      </w:r>
      <w:r w:rsidR="00F20C4D" w:rsidRPr="004C7F56">
        <w:rPr>
          <w:color w:val="000000"/>
          <w:sz w:val="28"/>
          <w:szCs w:val="28"/>
        </w:rPr>
        <w:t xml:space="preserve">зом в области транспорта, а это </w:t>
      </w:r>
      <w:r w:rsidRPr="004C7F56">
        <w:rPr>
          <w:color w:val="000000"/>
          <w:sz w:val="28"/>
          <w:szCs w:val="28"/>
        </w:rPr>
        <w:t>главный торговый партнер</w:t>
      </w:r>
      <w:r w:rsidR="00F20C4D" w:rsidRPr="004C7F56">
        <w:rPr>
          <w:color w:val="000000"/>
          <w:sz w:val="28"/>
          <w:szCs w:val="28"/>
        </w:rPr>
        <w:t xml:space="preserve"> страны</w:t>
      </w:r>
      <w:r w:rsidRPr="004C7F56">
        <w:rPr>
          <w:color w:val="000000"/>
          <w:sz w:val="28"/>
          <w:szCs w:val="28"/>
        </w:rPr>
        <w:t>, должно получить дальнейшее развитие за счет приложения совместных усилий в деле формирования общих пространств России и расширенного ЕС в соответствии с решениями саммита, состоявшегося в мае 2003 года в Санкт-Петербурге. Сотрудничество между Россией и ЕС в области транспорта, наряду с реализацией концепции Общего европейского экономического пространства (ОЕЭП) и развитием энергодиалога, призвано стать ключевым составным элементом будущего общего пространства "Россия-ЕС" в области экономики и торговли, формирование которого позволит вывести отношения между ними на качественно новый уровень.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Основными направлениями международной интеграции в области транспорта являются: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интеграция российского транспорта в европейскую транспортную систему;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формирование и развитие общего транспортного пространства стран СНГ;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развитие взаимодействия в рамках регионального сотрудничества;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повышение роли России в создаваемой интегрированной транспортной системе Азиатско-Тихоокеанского региона;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участие в международных транспортных проектах и программах.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Государственная поддержка отечественных транспортных организаций, работающих на международных рынках транспортных услуг, осуществляется в следующих основных направлениях: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создание для российских перевозчиков благоприятных экономических условий ведения бизнеса на тех сегментах рынка, где они работают, прежде всего, по уровню налогообложения операторов;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создание для отечественных международных перевозчиков не менее благоприятных режимов при выполнении таможенных и пограничных процедур, чем для перевозчиков других стран;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создание условий для приобретения российскими перевозчиками современной транспортной техники, обеспечивающей не только конкурентоспособность на международных рынках, но и принципиальную доступность этих рынков для отечественных операторов;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разработка механизмов оперативного принятия ответных мер в случаях, когда российские перевозчики подвергаются дискриминации за рубежом;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повышение эффективности механизмов национального регулирования сегментов рынка международных перевозок, на которых действует двусторонняя разрешительная система;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проведение согласованной «наступательной» политики в международных организациях, осуществляющих допуск на международные рынки транспортных услуг;</w:t>
      </w:r>
      <w:r w:rsidR="00117E68" w:rsidRPr="004C7F56">
        <w:rPr>
          <w:color w:val="000000"/>
          <w:sz w:val="28"/>
          <w:szCs w:val="28"/>
        </w:rPr>
        <w:t xml:space="preserve"> </w:t>
      </w:r>
      <w:r w:rsidRPr="004C7F56">
        <w:rPr>
          <w:color w:val="000000"/>
          <w:sz w:val="28"/>
          <w:szCs w:val="28"/>
        </w:rPr>
        <w:t>разработка и реализация мер, стимулирующих отечественных грузоотправителей к заключению договоров поставки на базисных условиях, предусматривающих перевозку экспортных грузов отечественными транспортными организациями.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 xml:space="preserve">Использование транзитного потенциала России должно быть не только приоритетом развития транспортной системы, но и самостоятельной точкой роста экономики. 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 xml:space="preserve">В общей сложности до </w:t>
      </w:r>
      <w:r w:rsidR="00FC7A89" w:rsidRPr="004C7F56">
        <w:rPr>
          <w:bCs/>
          <w:color w:val="000000"/>
          <w:sz w:val="28"/>
          <w:szCs w:val="28"/>
        </w:rPr>
        <w:t>нынешнего года</w:t>
      </w:r>
      <w:r w:rsidRPr="004C7F56">
        <w:rPr>
          <w:bCs/>
          <w:color w:val="000000"/>
          <w:sz w:val="28"/>
          <w:szCs w:val="28"/>
        </w:rPr>
        <w:t xml:space="preserve"> Россия планир</w:t>
      </w:r>
      <w:r w:rsidR="00FC7A89" w:rsidRPr="004C7F56">
        <w:rPr>
          <w:bCs/>
          <w:color w:val="000000"/>
          <w:sz w:val="28"/>
          <w:szCs w:val="28"/>
        </w:rPr>
        <w:t>овала</w:t>
      </w:r>
      <w:r w:rsidR="00C62B8B" w:rsidRPr="004C7F56">
        <w:rPr>
          <w:bCs/>
          <w:color w:val="000000"/>
          <w:sz w:val="28"/>
          <w:szCs w:val="28"/>
        </w:rPr>
        <w:t xml:space="preserve"> </w:t>
      </w:r>
      <w:r w:rsidRPr="004C7F56">
        <w:rPr>
          <w:bCs/>
          <w:color w:val="000000"/>
          <w:sz w:val="28"/>
          <w:szCs w:val="28"/>
        </w:rPr>
        <w:t>вложить в реализацию проектов, связ</w:t>
      </w:r>
      <w:r w:rsidR="00C62B8B" w:rsidRPr="004C7F56">
        <w:rPr>
          <w:bCs/>
          <w:color w:val="000000"/>
          <w:sz w:val="28"/>
          <w:szCs w:val="28"/>
        </w:rPr>
        <w:t xml:space="preserve">анных с развитием евроазиатских </w:t>
      </w:r>
      <w:r w:rsidRPr="004C7F56">
        <w:rPr>
          <w:bCs/>
          <w:color w:val="000000"/>
          <w:sz w:val="28"/>
          <w:szCs w:val="28"/>
        </w:rPr>
        <w:t>транспортных коридоров, порядка 15 млрд. USD.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Скорость сообщения в основных международных коридорах</w:t>
      </w:r>
      <w:r w:rsidR="00C62B8B" w:rsidRPr="004C7F56">
        <w:rPr>
          <w:bCs/>
          <w:color w:val="000000"/>
          <w:sz w:val="28"/>
          <w:szCs w:val="28"/>
        </w:rPr>
        <w:t xml:space="preserve"> </w:t>
      </w:r>
      <w:r w:rsidR="00FC7A89" w:rsidRPr="004C7F56">
        <w:rPr>
          <w:bCs/>
          <w:color w:val="000000"/>
          <w:sz w:val="28"/>
          <w:szCs w:val="28"/>
        </w:rPr>
        <w:t>должна возрасти</w:t>
      </w:r>
      <w:r w:rsidRPr="004C7F56">
        <w:rPr>
          <w:bCs/>
          <w:color w:val="000000"/>
          <w:sz w:val="28"/>
          <w:szCs w:val="28"/>
        </w:rPr>
        <w:t xml:space="preserve"> на 20-30%. Об</w:t>
      </w:r>
      <w:r w:rsidR="00C62B8B" w:rsidRPr="004C7F56">
        <w:rPr>
          <w:bCs/>
          <w:color w:val="000000"/>
          <w:sz w:val="28"/>
          <w:szCs w:val="28"/>
        </w:rPr>
        <w:t xml:space="preserve">ъем перевозок по ним утроится и </w:t>
      </w:r>
      <w:r w:rsidRPr="004C7F56">
        <w:rPr>
          <w:bCs/>
          <w:color w:val="000000"/>
          <w:sz w:val="28"/>
          <w:szCs w:val="28"/>
        </w:rPr>
        <w:t>достигнет 60-70 млн. тонн в год.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Россия будет активно участвовать в формировании общего транспортного пространства стран СНГ и ЕврАзЭС, в создании интегрированной транспортной системы Азиатско-Тихоокеанского региона и Шанхайской организации сотрудничества.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Особое место отводится созданию общеевропейского транспортного пространства, в том числе - совместной работе с Евросоюзом.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Целый ряд проектов, предусмотренных стратегией, непосредственно направлен на решение этой задачи. Должны получить развитие и те результаты, которые были достигнуты при совместном решении вопросов транспортного обеспечения Калининградской области.</w:t>
      </w:r>
    </w:p>
    <w:p w:rsidR="001218BA" w:rsidRPr="004C7F56" w:rsidRDefault="001218BA" w:rsidP="005A505C">
      <w:pPr>
        <w:widowControl w:val="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C7F56">
        <w:rPr>
          <w:bCs/>
          <w:color w:val="000000"/>
          <w:sz w:val="28"/>
          <w:szCs w:val="28"/>
        </w:rPr>
        <w:t>В ближайшие годы на Балтике б</w:t>
      </w:r>
      <w:r w:rsidR="00C62B8B" w:rsidRPr="004C7F56">
        <w:rPr>
          <w:bCs/>
          <w:color w:val="000000"/>
          <w:sz w:val="28"/>
          <w:szCs w:val="28"/>
        </w:rPr>
        <w:t xml:space="preserve">удет открыт ряд паромных линий, </w:t>
      </w:r>
      <w:r w:rsidRPr="004C7F56">
        <w:rPr>
          <w:bCs/>
          <w:color w:val="000000"/>
          <w:sz w:val="28"/>
          <w:szCs w:val="28"/>
        </w:rPr>
        <w:t>соединяющих Санкт-Петербург, порты Ленинградской области, Калининград, порты Германии. На Балтийские паромы предполагается привлечь значительные потоки грузового автотранспорта</w:t>
      </w:r>
      <w:r w:rsidR="00DC3DDA" w:rsidRPr="004C7F56">
        <w:rPr>
          <w:bCs/>
          <w:color w:val="000000"/>
          <w:sz w:val="28"/>
          <w:szCs w:val="28"/>
        </w:rPr>
        <w:t>.</w:t>
      </w:r>
    </w:p>
    <w:p w:rsidR="004C7F56" w:rsidRDefault="004C7F56" w:rsidP="005A505C">
      <w:pPr>
        <w:widowControl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0222" w:rsidRPr="004C7F56" w:rsidRDefault="00DC3DDA" w:rsidP="005A505C">
      <w:pPr>
        <w:widowControl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4C7F56">
        <w:rPr>
          <w:b/>
          <w:sz w:val="28"/>
          <w:szCs w:val="28"/>
        </w:rPr>
        <w:t>Заключение</w:t>
      </w:r>
    </w:p>
    <w:p w:rsidR="004C7F56" w:rsidRPr="005A505C" w:rsidRDefault="004C7F56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57C96" w:rsidRPr="004C7F56" w:rsidRDefault="00757C96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 xml:space="preserve">На протяжении двух последних десятилетий наблюдается тенденция повышения роли услуг в экономике стран мира. </w:t>
      </w:r>
    </w:p>
    <w:p w:rsidR="00757C96" w:rsidRPr="004C7F56" w:rsidRDefault="00757C96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Что же касается России, то ее позиция на мировом рынке услуг в настоящее время не очень устойчива: она входит в тридцатку крупных стран - участниц международной торговли услугами, но продолжает оставаться нетто-импортером услуг. На Россию приходится 1,4% мирового импорта услуг и 1,0% мирового экспорта.</w:t>
      </w:r>
    </w:p>
    <w:p w:rsidR="00757C96" w:rsidRPr="004C7F56" w:rsidRDefault="00757C96" w:rsidP="005A505C">
      <w:pPr>
        <w:widowControl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7F56">
        <w:rPr>
          <w:color w:val="000000"/>
          <w:sz w:val="28"/>
          <w:szCs w:val="28"/>
        </w:rPr>
        <w:t>Улучшение ситуации в сфере услуг сильно зависит от иностранных инвестиций, но в то же время, либерализируя эту сферу, необходимо поддерживать баланс между интересами по защите своего внутреннего рынка и потребностью в инновациях для создания современной инфраструктуры. Без крупномасштабной сферы услуг с развитым транспортом, связью, торговлей, финансово-кредитным и страховым секторами, комплексом деловых услуг, сферами образования и здравоохранения, отвечающим современным требованиям, Россия не сумеет создать эффективное рыночное хозяйство и достойно войти в мировую экономику. Поэтому главной задачей на современном этапе перехода на рыночные основы и интеграции в мировое хозяйство должно стать ускорение развития сферы услуг.</w:t>
      </w:r>
    </w:p>
    <w:p w:rsidR="004C7F56" w:rsidRDefault="004C7F56" w:rsidP="005A505C">
      <w:pPr>
        <w:widowControl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7C5A" w:rsidRPr="004C7F56" w:rsidRDefault="00167C5A" w:rsidP="005A505C">
      <w:pPr>
        <w:widowControl w:val="0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4C7F56">
        <w:rPr>
          <w:b/>
          <w:sz w:val="28"/>
          <w:szCs w:val="28"/>
        </w:rPr>
        <w:t>Список использованной литературы</w:t>
      </w:r>
    </w:p>
    <w:p w:rsidR="00167C5A" w:rsidRPr="004C7F56" w:rsidRDefault="00167C5A" w:rsidP="005A505C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D5FAA" w:rsidRPr="004C7F56" w:rsidRDefault="000D5FAA" w:rsidP="005A505C">
      <w:pPr>
        <w:pStyle w:val="a"/>
        <w:widowControl w:val="0"/>
        <w:jc w:val="left"/>
      </w:pPr>
      <w:r w:rsidRPr="004C7F56">
        <w:t>Боброва В.В., Кальвина Ю.И.  Мировая экономика: Учебное пособие. - Оренбург: ГОУ ОГУ, 2004.</w:t>
      </w:r>
    </w:p>
    <w:p w:rsidR="000D5FAA" w:rsidRPr="004C7F56" w:rsidRDefault="000D5FAA" w:rsidP="005A505C">
      <w:pPr>
        <w:pStyle w:val="a"/>
        <w:widowControl w:val="0"/>
        <w:jc w:val="left"/>
      </w:pPr>
      <w:r w:rsidRPr="004C7F56">
        <w:t>Кудров В.М</w:t>
      </w:r>
      <w:r w:rsidRPr="004C7F56">
        <w:rPr>
          <w:i/>
        </w:rPr>
        <w:t>.</w:t>
      </w:r>
      <w:r w:rsidRPr="004C7F56">
        <w:t xml:space="preserve"> Мировая экономика: Учебник. – М.: Дело, 2004.</w:t>
      </w:r>
    </w:p>
    <w:p w:rsidR="00C62B8B" w:rsidRPr="004C7F56" w:rsidRDefault="00C62B8B" w:rsidP="005A505C">
      <w:pPr>
        <w:pStyle w:val="a"/>
        <w:widowControl w:val="0"/>
        <w:jc w:val="left"/>
      </w:pPr>
      <w:r w:rsidRPr="004C7F56">
        <w:t>Миклашевский Н.А., Холопов А.В. Международная экономика. - М.: МГУ, "Дело и сервис", 2002.</w:t>
      </w:r>
    </w:p>
    <w:p w:rsidR="000D5FAA" w:rsidRPr="004C7F56" w:rsidRDefault="000D5FAA" w:rsidP="005A505C">
      <w:pPr>
        <w:pStyle w:val="a"/>
        <w:widowControl w:val="0"/>
        <w:jc w:val="left"/>
      </w:pPr>
      <w:r w:rsidRPr="004C7F56">
        <w:t>Международные экономические отношения. / Под ред. В.Е. Рыбалкина. - М.: ЮНИТИ, 2005.</w:t>
      </w:r>
    </w:p>
    <w:p w:rsidR="00C62B8B" w:rsidRPr="004C7F56" w:rsidRDefault="00C62B8B" w:rsidP="005A505C">
      <w:pPr>
        <w:pStyle w:val="a"/>
        <w:widowControl w:val="0"/>
        <w:jc w:val="left"/>
      </w:pPr>
      <w:r w:rsidRPr="004C7F56">
        <w:t>Мировая экономика: введение во внешнеэкономическую деятельность: Учебное пособие для вузов/М.В. Елова, Е.К. Муравьева, С.М. Панферова и др.; Под ред. А.К. Шуркалина, Н.С. Цыпиной. -М.: Логос,2000.</w:t>
      </w:r>
    </w:p>
    <w:p w:rsidR="000D5FAA" w:rsidRPr="004C7F56" w:rsidRDefault="000D5FAA" w:rsidP="005A505C">
      <w:pPr>
        <w:pStyle w:val="a"/>
        <w:widowControl w:val="0"/>
        <w:jc w:val="left"/>
      </w:pPr>
      <w:r w:rsidRPr="004C7F56">
        <w:t>Мировая экономика / Под ред. проф. А.С. Булатова. - М., Юристъ, 2002</w:t>
      </w:r>
    </w:p>
    <w:p w:rsidR="000D5FAA" w:rsidRPr="004C7F56" w:rsidRDefault="000D5FAA" w:rsidP="005A505C">
      <w:pPr>
        <w:pStyle w:val="a"/>
        <w:widowControl w:val="0"/>
        <w:jc w:val="left"/>
        <w:rPr>
          <w:rFonts w:eastAsia="TimesNewRoman"/>
        </w:rPr>
      </w:pPr>
      <w:r w:rsidRPr="004C7F56">
        <w:rPr>
          <w:rFonts w:eastAsia="TimesNewRoman"/>
        </w:rPr>
        <w:t xml:space="preserve">Россия в цифрах </w:t>
      </w:r>
      <w:r w:rsidRPr="004C7F56">
        <w:t xml:space="preserve">– </w:t>
      </w:r>
      <w:r w:rsidRPr="004C7F56">
        <w:rPr>
          <w:rFonts w:eastAsia="TimesNewRoman"/>
        </w:rPr>
        <w:t>М.: Федеральная служба государственной статистики.</w:t>
      </w:r>
    </w:p>
    <w:p w:rsidR="00C62B8B" w:rsidRPr="004C7F56" w:rsidRDefault="00C62B8B" w:rsidP="005A505C">
      <w:pPr>
        <w:pStyle w:val="a"/>
        <w:widowControl w:val="0"/>
        <w:jc w:val="left"/>
      </w:pPr>
      <w:r w:rsidRPr="004C7F56">
        <w:t>Современные международные отношения Учебник / под ред. А.В.Торкунова. М.: «Российская политическая энциклопедия (РОССПЭН), 2000.</w:t>
      </w:r>
    </w:p>
    <w:p w:rsidR="000D5FAA" w:rsidRPr="004C7F56" w:rsidRDefault="000D5FAA" w:rsidP="005A505C">
      <w:pPr>
        <w:pStyle w:val="a"/>
        <w:widowControl w:val="0"/>
        <w:jc w:val="left"/>
        <w:rPr>
          <w:lang w:eastAsia="en-US"/>
        </w:rPr>
      </w:pPr>
      <w:r w:rsidRPr="004C7F56">
        <w:rPr>
          <w:lang w:eastAsia="en-US"/>
        </w:rPr>
        <w:t>Харламова В.Н., Филимонова Н.А.  Россия на мировом рынке объектов интеллектуальной собственности.</w:t>
      </w:r>
    </w:p>
    <w:p w:rsidR="00C62B8B" w:rsidRPr="004C7F56" w:rsidRDefault="00ED0222" w:rsidP="005A505C">
      <w:pPr>
        <w:pStyle w:val="a"/>
        <w:widowControl w:val="0"/>
        <w:jc w:val="left"/>
        <w:rPr>
          <w:lang w:eastAsia="en-US"/>
        </w:rPr>
      </w:pPr>
      <w:r w:rsidRPr="004C7F56">
        <w:t>Яремчук Н.В. Экономическое развитие современной России.- М.: Премьера, 2005.</w:t>
      </w:r>
      <w:bookmarkStart w:id="0" w:name="_GoBack"/>
      <w:bookmarkEnd w:id="0"/>
    </w:p>
    <w:sectPr w:rsidR="00C62B8B" w:rsidRPr="004C7F56" w:rsidSect="004C7F56">
      <w:pgSz w:w="11906" w:h="16838" w:code="9"/>
      <w:pgMar w:top="1134" w:right="851" w:bottom="1134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A1" w:rsidRDefault="00E401A1" w:rsidP="003F4271">
      <w:r>
        <w:separator/>
      </w:r>
    </w:p>
  </w:endnote>
  <w:endnote w:type="continuationSeparator" w:id="0">
    <w:p w:rsidR="00E401A1" w:rsidRDefault="00E401A1" w:rsidP="003F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A1" w:rsidRDefault="00E401A1" w:rsidP="003F4271">
      <w:r>
        <w:separator/>
      </w:r>
    </w:p>
  </w:footnote>
  <w:footnote w:type="continuationSeparator" w:id="0">
    <w:p w:rsidR="00E401A1" w:rsidRDefault="00E401A1" w:rsidP="003F4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37F1"/>
    <w:multiLevelType w:val="hybridMultilevel"/>
    <w:tmpl w:val="8EA02C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21FD2D13"/>
    <w:multiLevelType w:val="hybridMultilevel"/>
    <w:tmpl w:val="3EF6E042"/>
    <w:lvl w:ilvl="0" w:tplc="7E60CC4C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388387A"/>
    <w:multiLevelType w:val="hybridMultilevel"/>
    <w:tmpl w:val="6E8C8DBC"/>
    <w:lvl w:ilvl="0" w:tplc="E4F0606C">
      <w:start w:val="1"/>
      <w:numFmt w:val="decimal"/>
      <w:pStyle w:val="a"/>
      <w:suff w:val="nothing"/>
      <w:lvlText w:val="%1."/>
      <w:lvlJc w:val="left"/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176BE3"/>
    <w:multiLevelType w:val="hybridMultilevel"/>
    <w:tmpl w:val="62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AC4480"/>
    <w:multiLevelType w:val="hybridMultilevel"/>
    <w:tmpl w:val="32463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982CA9"/>
    <w:multiLevelType w:val="hybridMultilevel"/>
    <w:tmpl w:val="B8A6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634211"/>
    <w:multiLevelType w:val="hybridMultilevel"/>
    <w:tmpl w:val="594045B2"/>
    <w:lvl w:ilvl="0" w:tplc="52A86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89E"/>
    <w:rsid w:val="0002258A"/>
    <w:rsid w:val="000D5FAA"/>
    <w:rsid w:val="00116F25"/>
    <w:rsid w:val="00117E68"/>
    <w:rsid w:val="001218BA"/>
    <w:rsid w:val="00126611"/>
    <w:rsid w:val="00145DB9"/>
    <w:rsid w:val="00157804"/>
    <w:rsid w:val="00167C5A"/>
    <w:rsid w:val="001C4CB1"/>
    <w:rsid w:val="001E47D7"/>
    <w:rsid w:val="002C47DE"/>
    <w:rsid w:val="0033289E"/>
    <w:rsid w:val="003F1B62"/>
    <w:rsid w:val="003F4271"/>
    <w:rsid w:val="004109A0"/>
    <w:rsid w:val="004467C2"/>
    <w:rsid w:val="00454847"/>
    <w:rsid w:val="004947D6"/>
    <w:rsid w:val="004A7950"/>
    <w:rsid w:val="004C7F56"/>
    <w:rsid w:val="004E0A39"/>
    <w:rsid w:val="00546761"/>
    <w:rsid w:val="00552072"/>
    <w:rsid w:val="0058514D"/>
    <w:rsid w:val="005A505C"/>
    <w:rsid w:val="006123DB"/>
    <w:rsid w:val="00661D6C"/>
    <w:rsid w:val="006F7B8F"/>
    <w:rsid w:val="00757C96"/>
    <w:rsid w:val="0077141E"/>
    <w:rsid w:val="00780A9B"/>
    <w:rsid w:val="007A7C34"/>
    <w:rsid w:val="007C48D2"/>
    <w:rsid w:val="007E7828"/>
    <w:rsid w:val="00863B71"/>
    <w:rsid w:val="0089358B"/>
    <w:rsid w:val="008C7642"/>
    <w:rsid w:val="008D726A"/>
    <w:rsid w:val="008F4B5D"/>
    <w:rsid w:val="00906D3E"/>
    <w:rsid w:val="00952408"/>
    <w:rsid w:val="00963D27"/>
    <w:rsid w:val="009E68B1"/>
    <w:rsid w:val="00A163B2"/>
    <w:rsid w:val="00AB22CD"/>
    <w:rsid w:val="00B54A98"/>
    <w:rsid w:val="00BB7C3B"/>
    <w:rsid w:val="00C62B8B"/>
    <w:rsid w:val="00C75910"/>
    <w:rsid w:val="00D6289E"/>
    <w:rsid w:val="00D84329"/>
    <w:rsid w:val="00DA2821"/>
    <w:rsid w:val="00DC3DDA"/>
    <w:rsid w:val="00DF1581"/>
    <w:rsid w:val="00DF2A18"/>
    <w:rsid w:val="00E401A1"/>
    <w:rsid w:val="00E54813"/>
    <w:rsid w:val="00ED0222"/>
    <w:rsid w:val="00F20C4D"/>
    <w:rsid w:val="00F93A6F"/>
    <w:rsid w:val="00FC7A89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A7BEC6-A7A3-4B15-A874-7C4587B4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289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1E47D7"/>
    <w:pPr>
      <w:ind w:left="960"/>
      <w:outlineLvl w:val="0"/>
    </w:pPr>
    <w:rPr>
      <w:color w:val="000000"/>
      <w:kern w:val="36"/>
      <w:sz w:val="41"/>
      <w:szCs w:val="41"/>
    </w:rPr>
  </w:style>
  <w:style w:type="paragraph" w:styleId="2">
    <w:name w:val="heading 2"/>
    <w:basedOn w:val="a0"/>
    <w:link w:val="20"/>
    <w:uiPriority w:val="9"/>
    <w:qFormat/>
    <w:rsid w:val="001E47D7"/>
    <w:pPr>
      <w:outlineLvl w:val="1"/>
    </w:pPr>
    <w:rPr>
      <w:color w:val="005594"/>
      <w:sz w:val="29"/>
      <w:szCs w:val="29"/>
    </w:rPr>
  </w:style>
  <w:style w:type="paragraph" w:styleId="3">
    <w:name w:val="heading 3"/>
    <w:basedOn w:val="a0"/>
    <w:link w:val="30"/>
    <w:uiPriority w:val="9"/>
    <w:qFormat/>
    <w:rsid w:val="001E47D7"/>
    <w:pPr>
      <w:outlineLvl w:val="2"/>
    </w:pPr>
    <w:rPr>
      <w:b/>
      <w:bCs/>
      <w:color w:val="333333"/>
    </w:rPr>
  </w:style>
  <w:style w:type="paragraph" w:styleId="4">
    <w:name w:val="heading 4"/>
    <w:basedOn w:val="a0"/>
    <w:link w:val="40"/>
    <w:uiPriority w:val="9"/>
    <w:qFormat/>
    <w:rsid w:val="001E47D7"/>
    <w:pPr>
      <w:outlineLvl w:val="3"/>
    </w:pPr>
    <w:rPr>
      <w:b/>
      <w:bCs/>
      <w:color w:val="000000"/>
      <w:sz w:val="19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47D7"/>
    <w:rPr>
      <w:rFonts w:ascii="Times New Roman" w:hAnsi="Times New Roman" w:cs="Times New Roman"/>
      <w:color w:val="000000"/>
      <w:kern w:val="36"/>
      <w:sz w:val="41"/>
      <w:szCs w:val="41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1E47D7"/>
    <w:rPr>
      <w:rFonts w:ascii="Times New Roman" w:hAnsi="Times New Roman" w:cs="Times New Roman"/>
      <w:color w:val="005594"/>
      <w:sz w:val="29"/>
      <w:szCs w:val="29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1E47D7"/>
    <w:rPr>
      <w:rFonts w:ascii="Times New Roman" w:hAnsi="Times New Roman" w:cs="Times New Roman"/>
      <w:b/>
      <w:bCs/>
      <w:color w:val="333333"/>
      <w:sz w:val="24"/>
      <w:szCs w:val="24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1E47D7"/>
    <w:rPr>
      <w:rFonts w:ascii="Times New Roman" w:hAnsi="Times New Roman" w:cs="Times New Roman"/>
      <w:b/>
      <w:bCs/>
      <w:color w:val="000000"/>
      <w:sz w:val="19"/>
      <w:szCs w:val="19"/>
      <w:lang w:val="x-none" w:eastAsia="ru-RU"/>
    </w:rPr>
  </w:style>
  <w:style w:type="paragraph" w:customStyle="1" w:styleId="fatext-n">
    <w:name w:val="fatext-n"/>
    <w:basedOn w:val="a0"/>
    <w:rsid w:val="0033289E"/>
    <w:pPr>
      <w:spacing w:before="100" w:beforeAutospacing="1" w:after="100" w:afterAutospacing="1"/>
      <w:ind w:firstLine="200"/>
      <w:jc w:val="both"/>
    </w:pPr>
    <w:rPr>
      <w:rFonts w:ascii="Verdana" w:hAnsi="Verdana"/>
      <w:sz w:val="16"/>
      <w:szCs w:val="16"/>
    </w:rPr>
  </w:style>
  <w:style w:type="character" w:styleId="a4">
    <w:name w:val="Strong"/>
    <w:uiPriority w:val="22"/>
    <w:qFormat/>
    <w:rsid w:val="0033289E"/>
    <w:rPr>
      <w:rFonts w:cs="Times New Roman"/>
      <w:b/>
      <w:bCs/>
    </w:rPr>
  </w:style>
  <w:style w:type="paragraph" w:styleId="a5">
    <w:name w:val="Normal (Web)"/>
    <w:basedOn w:val="a0"/>
    <w:uiPriority w:val="99"/>
    <w:rsid w:val="0033289E"/>
    <w:pPr>
      <w:spacing w:before="100" w:beforeAutospacing="1" w:after="100" w:afterAutospacing="1"/>
    </w:pPr>
  </w:style>
  <w:style w:type="paragraph" w:styleId="a6">
    <w:name w:val="Body Text Indent"/>
    <w:basedOn w:val="a0"/>
    <w:link w:val="a7"/>
    <w:uiPriority w:val="99"/>
    <w:rsid w:val="0033289E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3289E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3328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3289E"/>
    <w:rPr>
      <w:rFonts w:ascii="Times New Roman" w:hAnsi="Times New Roman" w:cs="Times New Roman"/>
      <w:sz w:val="16"/>
      <w:szCs w:val="16"/>
      <w:lang w:val="x-none" w:eastAsia="ru-RU"/>
    </w:rPr>
  </w:style>
  <w:style w:type="table" w:styleId="a8">
    <w:name w:val="Table Grid"/>
    <w:basedOn w:val="a2"/>
    <w:uiPriority w:val="59"/>
    <w:rsid w:val="00906D3E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9">
    <w:name w:val="ТАБЛИЦА"/>
    <w:next w:val="a0"/>
    <w:autoRedefine/>
    <w:uiPriority w:val="99"/>
    <w:rsid w:val="00906D3E"/>
    <w:pPr>
      <w:spacing w:line="360" w:lineRule="auto"/>
    </w:pPr>
    <w:rPr>
      <w:rFonts w:ascii="Times New Roman" w:hAnsi="Times New Roman" w:cs="Times New Roman"/>
      <w:color w:val="000000"/>
    </w:rPr>
  </w:style>
  <w:style w:type="character" w:styleId="aa">
    <w:name w:val="Hyperlink"/>
    <w:uiPriority w:val="99"/>
    <w:unhideWhenUsed/>
    <w:rsid w:val="00FD027D"/>
    <w:rPr>
      <w:rFonts w:cs="Times New Roman"/>
      <w:color w:val="DDDDDD"/>
      <w:u w:val="single"/>
    </w:rPr>
  </w:style>
  <w:style w:type="character" w:styleId="ab">
    <w:name w:val="footnote reference"/>
    <w:uiPriority w:val="99"/>
    <w:semiHidden/>
    <w:rsid w:val="00B54A98"/>
    <w:rPr>
      <w:rFonts w:cs="Times New Roman"/>
      <w:vertAlign w:val="superscript"/>
    </w:rPr>
  </w:style>
  <w:style w:type="paragraph" w:customStyle="1" w:styleId="Default">
    <w:name w:val="Default"/>
    <w:rsid w:val="004548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c">
    <w:name w:val="TOC Heading"/>
    <w:basedOn w:val="1"/>
    <w:next w:val="a0"/>
    <w:uiPriority w:val="39"/>
    <w:semiHidden/>
    <w:unhideWhenUsed/>
    <w:qFormat/>
    <w:rsid w:val="0058514D"/>
    <w:pPr>
      <w:keepNext/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58514D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58514D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0"/>
    <w:next w:val="a0"/>
    <w:autoRedefine/>
    <w:uiPriority w:val="39"/>
    <w:semiHidden/>
    <w:unhideWhenUsed/>
    <w:qFormat/>
    <w:rsid w:val="0058514D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5851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8514D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лит"/>
    <w:autoRedefine/>
    <w:uiPriority w:val="99"/>
    <w:rsid w:val="004C7F56"/>
    <w:pPr>
      <w:numPr>
        <w:numId w:val="5"/>
      </w:num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">
    <w:name w:val="header"/>
    <w:basedOn w:val="a0"/>
    <w:link w:val="af0"/>
    <w:uiPriority w:val="99"/>
    <w:semiHidden/>
    <w:unhideWhenUsed/>
    <w:rsid w:val="003F42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3F42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footer"/>
    <w:basedOn w:val="a0"/>
    <w:link w:val="af2"/>
    <w:uiPriority w:val="99"/>
    <w:unhideWhenUsed/>
    <w:rsid w:val="003F42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3F42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3">
    <w:name w:val="List Paragraph"/>
    <w:basedOn w:val="a0"/>
    <w:uiPriority w:val="34"/>
    <w:qFormat/>
    <w:rsid w:val="0041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913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24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6921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69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5DBA-1315-4CD6-AA77-F85FD560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5625</Words>
  <Characters>32066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admin</cp:lastModifiedBy>
  <cp:revision>2</cp:revision>
  <dcterms:created xsi:type="dcterms:W3CDTF">2014-02-28T06:15:00Z</dcterms:created>
  <dcterms:modified xsi:type="dcterms:W3CDTF">2014-02-28T06:15:00Z</dcterms:modified>
</cp:coreProperties>
</file>