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FC" w:rsidRPr="00A72B73" w:rsidRDefault="001676FC" w:rsidP="001676FC">
      <w:pPr>
        <w:spacing w:before="120"/>
        <w:jc w:val="center"/>
        <w:rPr>
          <w:b/>
          <w:bCs/>
          <w:sz w:val="32"/>
          <w:szCs w:val="32"/>
        </w:rPr>
      </w:pPr>
      <w:r w:rsidRPr="00A72B73">
        <w:rPr>
          <w:b/>
          <w:bCs/>
          <w:sz w:val="32"/>
          <w:szCs w:val="32"/>
        </w:rPr>
        <w:t>Экобиоцентризм как основание экологической этики</w:t>
      </w:r>
    </w:p>
    <w:p w:rsidR="001676FC" w:rsidRPr="00A72B73" w:rsidRDefault="001676FC" w:rsidP="001676FC">
      <w:pPr>
        <w:spacing w:before="120"/>
        <w:ind w:firstLine="567"/>
        <w:jc w:val="both"/>
        <w:rPr>
          <w:sz w:val="28"/>
          <w:szCs w:val="28"/>
        </w:rPr>
      </w:pPr>
      <w:r w:rsidRPr="00A72B73">
        <w:rPr>
          <w:sz w:val="28"/>
          <w:szCs w:val="28"/>
        </w:rPr>
        <w:t>В.Е. Борейко</w:t>
      </w:r>
      <w:r w:rsidRPr="00A72B73">
        <w:rPr>
          <w:sz w:val="28"/>
          <w:szCs w:val="28"/>
          <w:lang w:val="ru-RU"/>
        </w:rPr>
        <w:t xml:space="preserve">, </w:t>
      </w:r>
      <w:r w:rsidRPr="00A72B73">
        <w:rPr>
          <w:sz w:val="28"/>
          <w:szCs w:val="28"/>
        </w:rPr>
        <w:t>Киевский эколого-культурный центр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Нужно сказать большое спасибо и экоцентризму и биоцентризму за их вклад в развитие экологической этики, за разрушение антропоцентризма. Однако жизнь не стоит на месте, и в настоящее время их уже нельзя назвать современными и универсальными теориями экологической этики.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Биоцентристы в своих взглядах допустили три серьезные ошибки: во-первых, практически не учли данные науки экологии; во-вторых, не распространили моральные отношения на виды живых существ и экосистемы и, в-третьих, ограничились лишь млекопитающими, забыв о низших животных, растениях, бактериях и т. п. Биоцентризм, по сути, является расширением классической человеческой этики на отдельные живые существа, принадлежащие к высшим животным.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Экоцентристы оказались не лучше своих оппонентов, также совершив три ошибки: во-первых, недостаточно учли взгляды классической этики; во-вторых, не распространили моральные отношения на отдельные живые существа и, в-третьих, экоцентризм совершенно не интересуется моральными проблемами домашних, сельскохозяйственных и подопытных животных, наиболее эксплуатируемых человеком. Утки, коровы, подопытные собаки, лягушки и ромашки оказались бесправными. Современный экоцентризм, по сути, является чистой экологией с небольшой приправой из этического лексикона.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Хотя основоположник экоцентризма, американский эколог О. Леопольд, задумывался о необходимости включения в моральное сообщество не только экосистем самих по себе, но и животных и растений: “Этика земли попросту расширяет пределы сообщества, включая в него почвы, воды, растения и животных, которые все вместе и объединяются словом “земля”, – писал он (Леопольд, 1983).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 xml:space="preserve">Конечно, наука экология делает значительный вклад в экологическую этику, так как вообще научное понимание делает вклад в классическую этику. 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Вместе с тем необходимо предостеречь от слишком большой надежды на экологию, как это часто происходит в случае экоцентризма. Мы должны избегать опасности превращения экологии во “всеобщее мировоззрение”. Как наука экология может сделать большой вклад в наше понимание природы. Однако на многие природоохранные вопросы, имеющие социальный характер, экология ответа не дает, ибо не может заменить собою философский этический анализ. Это во-первых. И во-вторых, опора только на экологию приводит к стандартной надежде на быстрое технологическое решение, то есть устранение следствия, а не причины.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Очень недалеким и опасным для общественной морали является мировоззрение некоторых “чистых” экоцентристов, не воспринимающих необоснованные страдания и гибель отдельных живых существ по вине человека. А вместе с тем еще в Талмуде сказано: “Кто сохранит одну жизнь, это все равно, как если бы он спас весь мир, кто уничтожит одну жизнь, – это все равно, как если бы он уничтожил весь мир”.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Живые существа, и в особенности высшие животные, могут страдать, испытывать горе, и поэтому было бы несправедливо и глупо оценивать их как “бездушные винтики” в экологических системах, или считаться с их благом только когда они “объединены” в виды или подвиды.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Лауреат Нобелевской премии К. Лоренц писал о диких гусях: “Гуси обладают поистине человеческой способностью испытывать горе (…). Горюющие люди, а также гуси, легко становятся жертвами несчастных случаев” (Лоренц, 1984).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Каждое живое существо, как справедливо полагает Пол Тейлор, “является особым теологическим центром жизни со своим собственным достоинством” (Борейко, 2004).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Если мы пришли к пониманию, что нужно ограничивать страдания человека, то почему мы не расширим его до ограничения страданий живых существ? Перефразируя известную поговорку: плохо, когда за деревьями не видят леса, но не лучше, когда за лесом не видят дерева.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 xml:space="preserve">Нет смысла искусственно раздувать противоречия между эко- и биоцентризмом. Гораздо целесообразнее говорить о том, что их объединяет, что у них общего, что может послужить основанием для общей платформы экологической этики. 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Это – следующие важные моменты: 1) все, и индивиды, и виды живых существ, и экосистемы обладают собственным благом, правами, своей внутренней ценностью, ибо ценны сами по себе и сами для себя; 2) гибель природы – это гибель как всех живых существ, так и экосистем; 3) и экоцентризм, и биоцентризм считают природу моральным партнером (субъектом морали); 4) обе эти идеологии выступают против антропоцентризма.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Экобиоцентризм сближает оба взгляда, он берет все лучшее, что есть в био- и экоцентризме. Он своего рода двухполюсный подход и золотая середина. Как писал Нильс Бор: “Противоположности не противоречивы, а дополнительны”. Так называемые противоположности эко- и биоцентризма, на самом деле – необходимые качества полноценной экологической этики, взаимодействующие и взаимодополняющие друг друга. Любое искусственное разделение биоцентризма и экоцентризма может привести к необъективному анализу ситуации и выдаче неправильных экоэтических рекомендаций. В принципе, нет ничего плохого в том, что в экологической этике существуют различные направления. Если мы рассмотрим другие этические, философские или политические теории – марксизм, утилитаризм, консерватизм, либерализм – они также состоят из различных взглядов, течений, направлений, порой апеллирующих друг другу. Например, в либерализме спорят два подхода – утилитарный либерализм (ставящий во главу угла добро) и этический либерализм (подчеркивающий главенство права). Однако по существу эти взгляды только дополняют, обогащают друг друга. Но вернемся к экобиоцентризму.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Экобиоцентризм распространяет моральную ответственность человека и на отдельные особи живых существ, и на виды живых существ, и на экосистемы, используя на равных знания экологии и классической этики. Важное преимущество экобиоцентризма, в отличие от био- и экоцентризма, состоит в том, что он мешает принятию чисто технических, упрощенных решений, например, за счет простого уничтожения отдельных живых организмов (как в случае с экоцентризмом), или за счет недооценки блага экосистем (как при биоцентризме), экобиоцентризм заставляет человека думать и принимать решения, которые были бы приемлемы как и для него, и для экосистемы, и для живых существ.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Так, отстрел оленей охотниками, дабы сохранить лесной подрост (что, в принципе, поддерживается голым экоцентризмом), не приветствуется экобиоцентризмом. Экобиоцентризм заставляет человека искать более взвешенные, экологически продуманные и гуманные решения.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 xml:space="preserve"> Следует отметить, что индивидуальные права имеют смысл для тех существ, которые являются индивидами. Но и неживая природа самоценна, и поэтому индивидуальному праву на жизнь волка или орла здесь соответствует коллективное право экосистемы, моря, гор на существование. Поэтому можно признать, что в природе существует два рода прав: права человека как личности вместе с правами животного как личности (обобщенного человека), с одной стороны, и права видов и дикой природы как Совершенно Иного – с другой. Здесь мы видим, как справедливо считает В. Агафонов, ключ к разрешению вопроса о соотношении прав индивидуального волка и экосистемы. Бессмысленно спорить: чьи права важнее – индивида или экосистемы: они качественно различны, так как обладают самостоятельной ценностью. Также бессмысленно спорить, что вкуснее: соль или сахар, так как это вещи из разных вкусовых категорий. Так и моральные права волка и экосистемы относятся к разным этическим категориям.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Если мы рассматриваем благо отдельного волка, встав на его сторону, для него важнее его собственное, волчье право, если мы рассматриваем благо экосистемы – то для экосистемы важнее ее экосистемное право. Встав на сторону кого-то одного, мы одновременно попираем право другого, что является несправедливым.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Постановка вопроса: чьи права важнее – волка или экосистемы, порождена конфликтным мышлением, которое заводит нас в тупик, и от которого нужно избавляться, занимаясь экологической этикой.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Конечно, вклад волка в общие эволюционные и экологические процессы несравним с вкладом экосистемы. Так же как вклад одного человека в развитие человеческой цивилизации несравним с вкладом целой нации. Однако это не означает, что правами и достоинством этого одного человека можно пренебрегать.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Теоретически, договорившись махнуть рукой на одного человека (или на одного волка), мы рискуем тем самым ступить на так называемый “скользкий склон”, когда допустимым будет пренебречь также двумя, тремя, четырьмя людьми (волками) и т. д. Кстати, подобный пример анализируется в Библии. Авраам, узнав, что Бог хочет уничтожить за грехи Содом, спрашивает его: “а как быть с 50 праведниками, которые там могут жить”, Бог отвечает, что если они там есть, то в таком случае он не будет разрушать город. Тогда Авраам спрашивает: “а если праведников будет 45”. Бог отвечает, что в таком случае он также не будет разрушать город. Тогда Авраам снижает количество до 40, 35, 30 и так далее. Дойдя до 10 праведников, Бог заявляет, что также не будет уничтожать город, и не выдержав спора с Авраамом, уходит. Некоторым экологам, которые часто с цинизмом и насмешками относятся к стараниям экоэтиков защищать права отдельных живых существ, не мешало бы знать эту библейскую притчу.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Этически регламентируя свои отношения с природой, мы должны стараться учитывать права и интересы всех и вся, от малого до великого в природе, от особи до вида и экосистемы.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Экобиоцентризм, в отличие от экоцентризма и биоцентризма, стоит более жестко на позиции невмешательства в дела природы, позволяя ей самой разрешать возникающие у нее проблемы.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Примером экобиоцентрического отношения к природе должны стать наши заповедники, а также заповедные зоны национальных парков, где под абсолютной охраной обязаны находиться не только экосистемы или виды живых существ, но и их отдельные представители. Предвестниками экобиоцентризма можно считать племена североамериканских индейцев и некоторых других туземцев. Индейцы называли экосистемы (дикую природу) своей матерью, а живые существа – братьями, имеющими права.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Конечно, экобиоцентризм не исключает возникновение конфликтных ситуаций, когда человеку в своих отношениях с природой, в тех или иных случаях, приходится выбирать, чьи права и блага важнее защитить: лягушки или экосистемы. В одних ситуациях предпочтение может быть отдано отдельным особям, в других – экосистеме. Например, когда стоит вопрос сохранения редкого вида лягушки, насчитывающего всего десятки особей, то ради защиты каждой из них допустимо несколько потеснить и обычные виды, и даже экосистемы. И наоборот, когда уникальная экосистема страдает от расплодившегося обычного вида, например, домашней свиньи, то в этом случае возможны меры по ограничению ее численности.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В любом случае требуются дальнейшие дискуссии по этой теме и разработка специальных экоэтических правил и принципов на случай разрешения конфликтов между правами отдельных живых существ и правами экосистемы, как в человеческом обществе разработаны подобные правила на случай разрешения конфликтов между правами человека и правами государства, организаций и т. п.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Другой пример: соблюдение прав особей домашних, сельскохозяйственных животных, или особей диких, находящихся в неволе. Чистый экоцентризм вообще не рассматривает эти вопросы, поэтому здесь нет никаких противоречий между биоцентрическим и экоцентрическим направлениями.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Теперь давайте рассмотрим педагогические вопросы воспитания чувственного отношения к природе в рамках экобиоцентризма. Известно, что человек начинает знакомство с миром природы с отношений эмоционально-чувственных к малому и только затем поднимается на уровень рассудочных и понятийных форм. Трудно представить, чтобы ребенок научился уважать сразу в целом вид животного или экосистему, испытывать к ним эмоциональные чувства. Скорее всего он научится сопереживать отдельному животному или растению (в рамках биоцентризма), а затем, постепенно, станет расширять свои моральные представления, включая в него представителей других, менее известных животных, растений, виды и наконец, экосистемы. Такой постепенный подход возможен только в рамках экобиоцентризма, сочетающего биоцентрическое и экоцентрическое направления.</w:t>
      </w:r>
    </w:p>
    <w:p w:rsidR="001676FC" w:rsidRDefault="001676FC" w:rsidP="001676FC">
      <w:pPr>
        <w:spacing w:before="120"/>
        <w:ind w:firstLine="567"/>
        <w:jc w:val="both"/>
      </w:pPr>
      <w:r w:rsidRPr="00A72B73">
        <w:t>Откровенно говоря, я не верю тем природоохранникам, которые прикрываясь заботой об экосистемах, не обращают внимания на гибель или страдания отдельных животных или растений. Без заботы о малом не может быть быть заботы о большом.</w:t>
      </w:r>
    </w:p>
    <w:p w:rsidR="001676FC" w:rsidRPr="00A72B73" w:rsidRDefault="001676FC" w:rsidP="001676FC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A72B73">
        <w:rPr>
          <w:b/>
          <w:bCs/>
          <w:sz w:val="28"/>
          <w:szCs w:val="28"/>
          <w:lang w:val="ru-RU"/>
        </w:rPr>
        <w:t>Список литературы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Борейко В.Е. (2004): Философы дикой природы и природоохраны. 2-е изд. К.: КЭКЦ. 1-160.</w:t>
      </w:r>
    </w:p>
    <w:p w:rsidR="001676FC" w:rsidRPr="00A72B73" w:rsidRDefault="001676FC" w:rsidP="001676FC">
      <w:pPr>
        <w:spacing w:before="120"/>
        <w:ind w:firstLine="567"/>
        <w:jc w:val="both"/>
      </w:pPr>
      <w:r w:rsidRPr="00A72B73">
        <w:t>Леопольд О. (1983): Календарь песчаного графства. М.: Мир. 1-248.</w:t>
      </w:r>
    </w:p>
    <w:p w:rsidR="001676FC" w:rsidRDefault="001676FC" w:rsidP="001676FC">
      <w:pPr>
        <w:spacing w:before="120"/>
        <w:ind w:firstLine="567"/>
        <w:jc w:val="both"/>
      </w:pPr>
      <w:r w:rsidRPr="00A72B73">
        <w:t>Лоренц К. (1984): Год серого гуся. М.: Мир. 1-191.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6FC"/>
    <w:rsid w:val="001676FC"/>
    <w:rsid w:val="005300C7"/>
    <w:rsid w:val="00616072"/>
    <w:rsid w:val="008B35EE"/>
    <w:rsid w:val="00A72B73"/>
    <w:rsid w:val="00B42C45"/>
    <w:rsid w:val="00B47B6A"/>
    <w:rsid w:val="00D5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A4DCEC-82FC-45DF-A9C9-3C5F3E4A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F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7988</Words>
  <Characters>4554</Characters>
  <Application>Microsoft Office Word</Application>
  <DocSecurity>0</DocSecurity>
  <Lines>37</Lines>
  <Paragraphs>25</Paragraphs>
  <ScaleCrop>false</ScaleCrop>
  <Company>Home</Company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Экобиоцентризм как основание экологической этики</dc:title>
  <dc:subject/>
  <dc:creator>User</dc:creator>
  <cp:keywords/>
  <dc:description/>
  <cp:lastModifiedBy>admin</cp:lastModifiedBy>
  <cp:revision>2</cp:revision>
  <dcterms:created xsi:type="dcterms:W3CDTF">2014-01-25T10:00:00Z</dcterms:created>
  <dcterms:modified xsi:type="dcterms:W3CDTF">2014-01-25T10:00:00Z</dcterms:modified>
</cp:coreProperties>
</file>