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00" w:rsidRPr="00872439" w:rsidRDefault="00872439" w:rsidP="00872439">
      <w:pPr>
        <w:spacing w:before="120"/>
        <w:jc w:val="center"/>
        <w:rPr>
          <w:b/>
          <w:bCs/>
          <w:sz w:val="32"/>
          <w:szCs w:val="32"/>
        </w:rPr>
      </w:pPr>
      <w:r w:rsidRPr="00872439">
        <w:rPr>
          <w:b/>
          <w:bCs/>
          <w:sz w:val="32"/>
          <w:szCs w:val="32"/>
        </w:rPr>
        <w:t>Экологическая безопасность использования компьютеров на уроках математики</w:t>
      </w:r>
    </w:p>
    <w:p w:rsidR="00E02F60" w:rsidRPr="00872439" w:rsidRDefault="00B82300" w:rsidP="00872439">
      <w:pPr>
        <w:spacing w:before="120"/>
        <w:jc w:val="center"/>
        <w:rPr>
          <w:sz w:val="28"/>
          <w:szCs w:val="28"/>
        </w:rPr>
      </w:pPr>
      <w:r w:rsidRPr="00872439">
        <w:rPr>
          <w:sz w:val="28"/>
          <w:szCs w:val="28"/>
        </w:rPr>
        <w:t>Калашникова Л.</w:t>
      </w:r>
      <w:r w:rsidR="00E02F60" w:rsidRPr="00872439">
        <w:rPr>
          <w:sz w:val="28"/>
          <w:szCs w:val="28"/>
        </w:rPr>
        <w:t xml:space="preserve"> </w:t>
      </w:r>
      <w:r w:rsidRPr="00872439">
        <w:rPr>
          <w:sz w:val="28"/>
          <w:szCs w:val="28"/>
        </w:rPr>
        <w:t>В.</w:t>
      </w:r>
      <w:r w:rsidR="00872439" w:rsidRPr="00872439">
        <w:rPr>
          <w:sz w:val="28"/>
          <w:szCs w:val="28"/>
        </w:rPr>
        <w:t xml:space="preserve">, </w:t>
      </w:r>
      <w:r w:rsidRPr="00872439">
        <w:rPr>
          <w:sz w:val="28"/>
          <w:szCs w:val="28"/>
        </w:rPr>
        <w:t>Невинномысск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Процесс обучения и подготовки квалифицированных специалистов очень длителен и сложен. Он занимает почти треть продолжительности жизни человека. Поэтому важной задачей является повышение интенсивности и качества обучения. Это достигается с помощью использования вычислительной техники в процессе преподавания, которая обеспечивает не только обучение конкретным знаниям, но и проверку ответов учащихся, возможность подсказки, занимательность изучаемого материала и многое другое. Регулярная работа за компьютером не всегда безвредна для здоровья человека. В последние годы появились подходы, уменьшающие или сводящие на нет такие вредные явления.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В процессе преподавания математики, используя персональный компьютер, мы преследуем следующие цели: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закрепление навыков работы на компьютере и, в группах "Программное обеспечение вычислительной техники и автоматизированных систем", составление программ для практических занятий;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наглядно и доступно осваивать плохо воспринимаемый материал учащимися в процессе преподавания традиционными методами;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поручив компьютеру, выполнение рутинных вычислений, сосредоточиться на анализе содержательной части задач.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Образовывается двойная связь: математика помогает наглядно и доступно осваивать основы информатики и ЭВМ интенсивно способствует освоению математики.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Государственные стандарты России выделяют несколько опасных и вредных факторов для пользователей вычислительной техники: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повышенный уровень шума на рабочем месте,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повышенная или пониженная ионизация воздуха,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повышенный уровень электромагнитных излучений и напряжённости электрического и магнитных полей,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повышенный уровень ультрафиолетовой и инфрокрассной радиации,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повышенная пульсация светового потока.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 xml:space="preserve">Самый шумный элемент настольного компьютера - вентилятор охлаждения системного блока. Исправный вентилятор не создаёт опасных шумов. Остальные опасные факторы на 99% создаются дисплеем. Как минимум дисплей должен удовлетворять российскому стандарту. Часть вредных факторов, создаваемых дисплеем, может быть нейтрализована применением защитного экрана.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Перед работой в компьютерном классе следует заранее проверить его экологическую безопасность и уменьшить или, в лучшем случае, ликвидировать все недостатки.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Учеба в колледже непосредственно связана с компьютерами, а соответственно с дополнительными вредными воздействиями целой группы факторов, что существенно снижает работоспособность.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Свести к минимальной вероятность поражения или заболевания работающего за компьютером с одновременным обеспечением комфорта при максимальной производительности труда - наша задача.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Выделяются семь условий для того, что бы деятельность за монитором осуществлялась без жалоб и усталости.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Правильная установка рабочего стола.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Правильная установка рабочего стула.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Правильная установка приборов.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Правильное выполнение работ.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Правильное освещение.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Правильное применение вспомогательных средств.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Правильный метод работы.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Проектирование рабочих мест относятся к числу важнейших проблем эргономического проектирования в области вычислительной техники. Эргономическими аспектами проектирования рабочих мест, в частности, являются: высота рабочей поверхности, размеры пространства для ног, требования к расположению документов на рабочем месте, характеристики рабочего кресла, требования к поверхности рабочего стола, регулируемость рабочего места и его элементов.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Причина неправильной позы пользователей обусловлена следующими факторами: нет хорошей подставки для документа, клавиатура находится слишком высоко, а документы слишком низко, некуда положить руки и кисти, недостаточно пространства для ног. В целях преодоления указанных недостатков даются общие рекомендации: лучше передвижная клавиатура, чем встроенная; должны быть предусмотрены специальные приспособления для регулирования высоты стола, клавиатуры, документов и экрана, так же подставка для рук.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Утомляемость студентов, работающих за компьютером, представляет собой серьёзную проблему. Оценка информационной нагрузки заключается в проверке и предотвращении условий, вызывающих информационную перегрузку.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 xml:space="preserve">Студенты на уроках математики и информатики составляя программы работают по следующим алгоритмам: 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Постановка задачи.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Изучение материала.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Определение метода решения задач.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Составление алгоритма решения задач.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Программирование.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Подготовка к отладке.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Отладка.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Данный алгоритм отражает общие действия программиста при решении поставленной задачи независимо от ее сложности.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Рассчитаем информационную нагрузку студента на одном уроке (120мин).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Все операции можно разбить на три группы: афферентные (операции без воздействия), эфферентные (операции по управлению) и логические условия (информационная единица образа, понятия, суждения).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Подсчитаем количество алгоритма и их частоту (вероятность)</w:t>
      </w:r>
      <w:r w:rsidR="00E02F60" w:rsidRPr="00872439">
        <w:t xml:space="preserve"> </w:t>
      </w:r>
      <w:r w:rsidRPr="00872439">
        <w:t>относительно общего числа, принятого за единицу.</w:t>
      </w:r>
      <w:r w:rsidR="00E02F60" w:rsidRPr="00872439">
        <w:t xml:space="preserve"> 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Вероятность повторения i-той ситуации определяется по формуле:</w:t>
      </w:r>
      <w:r w:rsidR="00E02F60" w:rsidRPr="00872439">
        <w:t xml:space="preserve"> </w:t>
      </w:r>
      <w:r w:rsidRPr="00872439">
        <w:t>Pi=</w:t>
      </w:r>
      <w:r w:rsidR="00C534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fillcolor="window">
            <v:imagedata r:id="rId7" o:title=""/>
          </v:shape>
        </w:pict>
      </w:r>
      <w:r w:rsidRPr="00872439">
        <w:t>,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где k-количество повторений каждого элемента одного типа;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n-суммарное количество повторений от источника информации одного типа .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Результаты расчета для алгоритма сведены в таблицу.</w:t>
      </w:r>
      <w:r w:rsidR="00E02F60" w:rsidRPr="00872439">
        <w:t xml:space="preserve"> </w:t>
      </w:r>
    </w:p>
    <w:p w:rsidR="00B82300" w:rsidRPr="00872439" w:rsidRDefault="00B82300" w:rsidP="00872439">
      <w:pPr>
        <w:spacing w:before="120"/>
        <w:ind w:firstLine="567"/>
        <w:jc w:val="both"/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3613"/>
        <w:gridCol w:w="1263"/>
        <w:gridCol w:w="1589"/>
        <w:gridCol w:w="2082"/>
      </w:tblGrid>
      <w:tr w:rsidR="00B82300" w:rsidRPr="00872439" w:rsidTr="00872439">
        <w:tc>
          <w:tcPr>
            <w:tcW w:w="805" w:type="pct"/>
          </w:tcPr>
          <w:p w:rsidR="00B82300" w:rsidRPr="00872439" w:rsidRDefault="00B82300" w:rsidP="00872439">
            <w:r w:rsidRPr="00872439">
              <w:t>Ист.инф</w:t>
            </w:r>
          </w:p>
        </w:tc>
        <w:tc>
          <w:tcPr>
            <w:tcW w:w="1773" w:type="pct"/>
          </w:tcPr>
          <w:p w:rsidR="00B82300" w:rsidRPr="00872439" w:rsidRDefault="00B82300" w:rsidP="00872439">
            <w:r w:rsidRPr="00872439">
              <w:t xml:space="preserve">Член алгоритма 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Кол-во членов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Частота Pi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ЭнтропияHj, б/сиг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>
            <w:r w:rsidRPr="00872439">
              <w:t>1</w:t>
            </w:r>
          </w:p>
        </w:tc>
        <w:tc>
          <w:tcPr>
            <w:tcW w:w="1773" w:type="pct"/>
          </w:tcPr>
          <w:p w:rsidR="00B82300" w:rsidRPr="00872439" w:rsidRDefault="00B82300" w:rsidP="00872439">
            <w:r w:rsidRPr="00872439">
              <w:t>Афферентные – всего(n),</w:t>
            </w:r>
          </w:p>
          <w:p w:rsidR="00B82300" w:rsidRPr="00872439" w:rsidRDefault="00B82300" w:rsidP="00872439">
            <w:r w:rsidRPr="00872439">
              <w:t>в том числе(k):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9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1.00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0.92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изучение технической документации и литературы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3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0.33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0.53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наблюдение полученных результатов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6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0.67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0.39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>
            <w:r w:rsidRPr="00872439">
              <w:t>2</w:t>
            </w:r>
          </w:p>
        </w:tc>
        <w:tc>
          <w:tcPr>
            <w:tcW w:w="1773" w:type="pct"/>
          </w:tcPr>
          <w:p w:rsidR="00B82300" w:rsidRPr="00872439" w:rsidRDefault="00B82300" w:rsidP="00872439">
            <w:r w:rsidRPr="00872439">
              <w:t>Эфферентные – всего, в том числе: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30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1.00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2.01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уточнение и согласование полученных материалов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5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0.17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0.44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 xml:space="preserve">выбор наилучшего варианта 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9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0.30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0.30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исправление ошибок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4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0.13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0.38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анализ полученных результатов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8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0.27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0.51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выполнение механических действий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4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0.13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0.38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>
            <w:r w:rsidRPr="00872439">
              <w:t>3</w:t>
            </w:r>
          </w:p>
        </w:tc>
        <w:tc>
          <w:tcPr>
            <w:tcW w:w="1773" w:type="pct"/>
          </w:tcPr>
          <w:p w:rsidR="00B82300" w:rsidRPr="00872439" w:rsidRDefault="00B82300" w:rsidP="00872439">
            <w:r w:rsidRPr="00872439">
              <w:t>Логические условия – всего, в том числе: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18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1.00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1.53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принятие решения на основе изученной литературы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6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0.33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0.53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 xml:space="preserve">графического материала 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4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0.22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0.48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>полученного текста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8</w:t>
            </w:r>
          </w:p>
        </w:tc>
        <w:tc>
          <w:tcPr>
            <w:tcW w:w="780" w:type="pct"/>
          </w:tcPr>
          <w:p w:rsidR="00B82300" w:rsidRPr="00872439" w:rsidRDefault="00B82300" w:rsidP="00872439">
            <w:r w:rsidRPr="00872439">
              <w:t>0.45</w:t>
            </w:r>
          </w:p>
        </w:tc>
        <w:tc>
          <w:tcPr>
            <w:tcW w:w="1022" w:type="pct"/>
          </w:tcPr>
          <w:p w:rsidR="00B82300" w:rsidRPr="00872439" w:rsidRDefault="00B82300" w:rsidP="00872439">
            <w:r w:rsidRPr="00872439">
              <w:t>0.52</w:t>
            </w:r>
          </w:p>
        </w:tc>
      </w:tr>
      <w:tr w:rsidR="00B82300" w:rsidRPr="00872439" w:rsidTr="00872439">
        <w:tc>
          <w:tcPr>
            <w:tcW w:w="805" w:type="pct"/>
          </w:tcPr>
          <w:p w:rsidR="00B82300" w:rsidRPr="00872439" w:rsidRDefault="00B82300" w:rsidP="00872439"/>
        </w:tc>
        <w:tc>
          <w:tcPr>
            <w:tcW w:w="1773" w:type="pct"/>
          </w:tcPr>
          <w:p w:rsidR="00B82300" w:rsidRPr="00872439" w:rsidRDefault="00B82300" w:rsidP="00872439">
            <w:r w:rsidRPr="00872439">
              <w:t xml:space="preserve">Всего: </w:t>
            </w:r>
          </w:p>
        </w:tc>
        <w:tc>
          <w:tcPr>
            <w:tcW w:w="620" w:type="pct"/>
          </w:tcPr>
          <w:p w:rsidR="00B82300" w:rsidRPr="00872439" w:rsidRDefault="00B82300" w:rsidP="00872439">
            <w:r w:rsidRPr="00872439">
              <w:t>57</w:t>
            </w:r>
          </w:p>
        </w:tc>
        <w:tc>
          <w:tcPr>
            <w:tcW w:w="780" w:type="pct"/>
          </w:tcPr>
          <w:p w:rsidR="00B82300" w:rsidRPr="00872439" w:rsidRDefault="00B82300" w:rsidP="00872439"/>
        </w:tc>
        <w:tc>
          <w:tcPr>
            <w:tcW w:w="1022" w:type="pct"/>
          </w:tcPr>
          <w:p w:rsidR="00B82300" w:rsidRPr="00872439" w:rsidRDefault="00B82300" w:rsidP="00872439">
            <w:r w:rsidRPr="00872439">
              <w:t>4.46</w:t>
            </w:r>
          </w:p>
        </w:tc>
      </w:tr>
    </w:tbl>
    <w:p w:rsidR="00B82300" w:rsidRPr="00872439" w:rsidRDefault="00B82300" w:rsidP="00872439">
      <w:pPr>
        <w:spacing w:before="120"/>
        <w:ind w:firstLine="567"/>
        <w:jc w:val="both"/>
      </w:pPr>
      <w:r w:rsidRPr="00872439">
        <w:t>Количественные характеристики алгоритма позволяют рассчитать информационную нагрузку. Энтропия информации элементов каждого источника информации рассчитывается по формуле:</w:t>
      </w:r>
      <w:r w:rsidR="00E02F60" w:rsidRPr="00872439">
        <w:t xml:space="preserve"> 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Hj = -</w:t>
      </w:r>
      <w:r w:rsidR="00C534D5">
        <w:pict>
          <v:shape id="_x0000_i1026" type="#_x0000_t75" style="width:69pt;height:33.75pt" fillcolor="window">
            <v:imagedata r:id="rId8" o:title=""/>
          </v:shape>
        </w:pict>
      </w:r>
      <w:r w:rsidRPr="00872439">
        <w:t xml:space="preserve">, при условии </w:t>
      </w:r>
      <w:r w:rsidR="00C534D5">
        <w:pict>
          <v:shape id="_x0000_i1027" type="#_x0000_t75" style="width:45.75pt;height:33.75pt" fillcolor="window">
            <v:imagedata r:id="rId9" o:title=""/>
          </v:shape>
        </w:pic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где m-число однотипных членов алгоритма рассматриваемого источника информации.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Затем определяется общая энтропия информации, бит /мин: 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H=H1+H2+H3=4,46,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где Hi-энтропия информации афферентных, эфферентных элементов и логических условий соответственно.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Определяем поток информационной нагрузки, бит/мин, 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 xml:space="preserve">Ф = </w:t>
      </w:r>
      <w:r w:rsidR="00C534D5">
        <w:pict>
          <v:shape id="_x0000_i1028" type="#_x0000_t75" style="width:131.25pt;height:30.75pt" fillcolor="window">
            <v:imagedata r:id="rId10" o:title=""/>
          </v:shape>
        </w:pic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где N-суммарное число всех членов алгоритма;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t-длительность выполнения всей работы (t=120 мин).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Рассчитанная информационная нагрузка удовлетворяет условиям нормальной работы: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>0,8 &lt; Фрасч &lt; 3,2, бит /мин.</w:t>
      </w:r>
      <w:r w:rsidR="00E02F60" w:rsidRPr="00872439">
        <w:t xml:space="preserve"> </w:t>
      </w:r>
    </w:p>
    <w:p w:rsidR="00E02F60" w:rsidRPr="00872439" w:rsidRDefault="00B82300" w:rsidP="00872439">
      <w:pPr>
        <w:spacing w:before="120"/>
        <w:ind w:firstLine="567"/>
        <w:jc w:val="both"/>
      </w:pPr>
      <w:r w:rsidRPr="00872439">
        <w:t xml:space="preserve">Применение компьютеров на уроках математики делают их насыщеннее, интереснее, разнообразнее. Студенты лучше усваивают программный материал, учатся логически мыслить, составлять и редактировать небольшие программы, свободно владеют клавиатурой. Не оказывается ни одного человека, который не мог бы овладеть основными приемами работы. У большинства студентов работа с компьютером вызывает повышенный интерес. Мы знаем, что куда бы ни пошли работать наши выпускники, где бы они ни встретились с ЭВМ, они будут свободно и хорошо работать за компьютером или широко использовать его в своей деятельности. </w:t>
      </w:r>
    </w:p>
    <w:p w:rsidR="00872439" w:rsidRPr="00872439" w:rsidRDefault="00872439" w:rsidP="00872439">
      <w:pPr>
        <w:spacing w:before="120"/>
        <w:jc w:val="center"/>
        <w:rPr>
          <w:b/>
          <w:bCs/>
          <w:sz w:val="28"/>
          <w:szCs w:val="28"/>
        </w:rPr>
      </w:pPr>
      <w:r w:rsidRPr="00872439">
        <w:rPr>
          <w:b/>
          <w:bCs/>
          <w:sz w:val="28"/>
          <w:szCs w:val="28"/>
        </w:rPr>
        <w:t>Список литературы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Подборка журналов "МИР ПК": №10-1996г.; №4-1997г.; №7-1997г.; №6-2001г.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СанПиН 2.2.2.542-96/Госкомсанэпиднадзор России МОСКВА 1996.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Советский энциклопедический словарь.</w:t>
      </w:r>
    </w:p>
    <w:p w:rsidR="00B82300" w:rsidRPr="00872439" w:rsidRDefault="00B82300" w:rsidP="00872439">
      <w:pPr>
        <w:spacing w:before="120"/>
        <w:ind w:firstLine="567"/>
        <w:jc w:val="both"/>
      </w:pPr>
      <w:r w:rsidRPr="00872439">
        <w:t>Справочник по математике для научных работников и инженеров. Корн Г., Корн Т.-М.: Наука. Главная редакция физико-математической литературы, 1984.</w:t>
      </w:r>
    </w:p>
    <w:p w:rsidR="00E02F60" w:rsidRDefault="00E02F60" w:rsidP="00872439">
      <w:pPr>
        <w:spacing w:before="120"/>
        <w:ind w:firstLine="567"/>
        <w:jc w:val="both"/>
      </w:pPr>
      <w:bookmarkStart w:id="0" w:name="_GoBack"/>
      <w:bookmarkEnd w:id="0"/>
    </w:p>
    <w:sectPr w:rsidR="00E02F60" w:rsidSect="00872439">
      <w:pgSz w:w="12240" w:h="15840"/>
      <w:pgMar w:top="1134" w:right="1134" w:bottom="1134" w:left="113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B7" w:rsidRDefault="000164B7">
      <w:r>
        <w:separator/>
      </w:r>
    </w:p>
  </w:endnote>
  <w:endnote w:type="continuationSeparator" w:id="0">
    <w:p w:rsidR="000164B7" w:rsidRDefault="0001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B7" w:rsidRDefault="000164B7">
      <w:r>
        <w:separator/>
      </w:r>
    </w:p>
  </w:footnote>
  <w:footnote w:type="continuationSeparator" w:id="0">
    <w:p w:rsidR="000164B7" w:rsidRDefault="0001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53EC"/>
    <w:multiLevelType w:val="multilevel"/>
    <w:tmpl w:val="8D1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10D7F65"/>
    <w:multiLevelType w:val="multilevel"/>
    <w:tmpl w:val="3BE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A43E8A"/>
    <w:multiLevelType w:val="multilevel"/>
    <w:tmpl w:val="CAEE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BEC0CA5"/>
    <w:multiLevelType w:val="multilevel"/>
    <w:tmpl w:val="8FE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5F1E7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6BB2D67"/>
    <w:multiLevelType w:val="multilevel"/>
    <w:tmpl w:val="177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A483C"/>
    <w:multiLevelType w:val="multilevel"/>
    <w:tmpl w:val="B27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E960A94"/>
    <w:multiLevelType w:val="multilevel"/>
    <w:tmpl w:val="08E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0D13928"/>
    <w:multiLevelType w:val="multilevel"/>
    <w:tmpl w:val="FC7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13D62AC"/>
    <w:multiLevelType w:val="multilevel"/>
    <w:tmpl w:val="78B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3FA5867"/>
    <w:multiLevelType w:val="multilevel"/>
    <w:tmpl w:val="3F5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F28F5"/>
    <w:multiLevelType w:val="multilevel"/>
    <w:tmpl w:val="F0E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9C10039"/>
    <w:multiLevelType w:val="multilevel"/>
    <w:tmpl w:val="792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BFC2A69"/>
    <w:multiLevelType w:val="multilevel"/>
    <w:tmpl w:val="59E6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49D37BB"/>
    <w:multiLevelType w:val="multilevel"/>
    <w:tmpl w:val="71A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71A2834"/>
    <w:multiLevelType w:val="singleLevel"/>
    <w:tmpl w:val="2F2AC23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90362D7"/>
    <w:multiLevelType w:val="multilevel"/>
    <w:tmpl w:val="55C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CE84A87"/>
    <w:multiLevelType w:val="multilevel"/>
    <w:tmpl w:val="A92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3C40317"/>
    <w:multiLevelType w:val="multilevel"/>
    <w:tmpl w:val="557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4912E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59C36F6"/>
    <w:multiLevelType w:val="multilevel"/>
    <w:tmpl w:val="971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8BF79C8"/>
    <w:multiLevelType w:val="multilevel"/>
    <w:tmpl w:val="6C1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AF31ACD"/>
    <w:multiLevelType w:val="multilevel"/>
    <w:tmpl w:val="9D1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DAA2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DCC5AE8"/>
    <w:multiLevelType w:val="multilevel"/>
    <w:tmpl w:val="86C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E030E10"/>
    <w:multiLevelType w:val="multilevel"/>
    <w:tmpl w:val="578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29B4661"/>
    <w:multiLevelType w:val="multilevel"/>
    <w:tmpl w:val="8EA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5241F48"/>
    <w:multiLevelType w:val="multilevel"/>
    <w:tmpl w:val="7CD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8480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C0E573D"/>
    <w:multiLevelType w:val="multilevel"/>
    <w:tmpl w:val="F40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1A5D1D"/>
    <w:multiLevelType w:val="multilevel"/>
    <w:tmpl w:val="C33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8BE05EB"/>
    <w:multiLevelType w:val="multilevel"/>
    <w:tmpl w:val="686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8F54D22"/>
    <w:multiLevelType w:val="multilevel"/>
    <w:tmpl w:val="987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EE051DC"/>
    <w:multiLevelType w:val="multilevel"/>
    <w:tmpl w:val="6930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EFB5EEE"/>
    <w:multiLevelType w:val="multilevel"/>
    <w:tmpl w:val="388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8966924"/>
    <w:multiLevelType w:val="multilevel"/>
    <w:tmpl w:val="A4F4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A7F36D5"/>
    <w:multiLevelType w:val="multilevel"/>
    <w:tmpl w:val="87E8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A80628C"/>
    <w:multiLevelType w:val="multilevel"/>
    <w:tmpl w:val="C4EC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DB521E"/>
    <w:multiLevelType w:val="multilevel"/>
    <w:tmpl w:val="303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E525CC8"/>
    <w:multiLevelType w:val="multilevel"/>
    <w:tmpl w:val="505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5"/>
  </w:num>
  <w:num w:numId="3">
    <w:abstractNumId w:val="28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3"/>
  </w:num>
  <w:num w:numId="7">
    <w:abstractNumId w:val="6"/>
  </w:num>
  <w:num w:numId="8">
    <w:abstractNumId w:val="14"/>
  </w:num>
  <w:num w:numId="9">
    <w:abstractNumId w:val="21"/>
  </w:num>
  <w:num w:numId="10">
    <w:abstractNumId w:val="30"/>
  </w:num>
  <w:num w:numId="11">
    <w:abstractNumId w:val="25"/>
  </w:num>
  <w:num w:numId="12">
    <w:abstractNumId w:val="9"/>
  </w:num>
  <w:num w:numId="13">
    <w:abstractNumId w:val="36"/>
  </w:num>
  <w:num w:numId="14">
    <w:abstractNumId w:val="34"/>
  </w:num>
  <w:num w:numId="15">
    <w:abstractNumId w:val="16"/>
  </w:num>
  <w:num w:numId="16">
    <w:abstractNumId w:val="2"/>
  </w:num>
  <w:num w:numId="17">
    <w:abstractNumId w:val="17"/>
  </w:num>
  <w:num w:numId="18">
    <w:abstractNumId w:val="33"/>
  </w:num>
  <w:num w:numId="19">
    <w:abstractNumId w:val="26"/>
  </w:num>
  <w:num w:numId="20">
    <w:abstractNumId w:val="38"/>
  </w:num>
  <w:num w:numId="21">
    <w:abstractNumId w:val="3"/>
  </w:num>
  <w:num w:numId="22">
    <w:abstractNumId w:val="0"/>
  </w:num>
  <w:num w:numId="23">
    <w:abstractNumId w:val="10"/>
  </w:num>
  <w:num w:numId="24">
    <w:abstractNumId w:val="31"/>
  </w:num>
  <w:num w:numId="25">
    <w:abstractNumId w:val="8"/>
  </w:num>
  <w:num w:numId="26">
    <w:abstractNumId w:val="37"/>
  </w:num>
  <w:num w:numId="27">
    <w:abstractNumId w:val="32"/>
  </w:num>
  <w:num w:numId="28">
    <w:abstractNumId w:val="22"/>
  </w:num>
  <w:num w:numId="29">
    <w:abstractNumId w:val="39"/>
  </w:num>
  <w:num w:numId="30">
    <w:abstractNumId w:val="5"/>
  </w:num>
  <w:num w:numId="31">
    <w:abstractNumId w:val="29"/>
  </w:num>
  <w:num w:numId="32">
    <w:abstractNumId w:val="1"/>
  </w:num>
  <w:num w:numId="33">
    <w:abstractNumId w:val="24"/>
  </w:num>
  <w:num w:numId="34">
    <w:abstractNumId w:val="12"/>
  </w:num>
  <w:num w:numId="35">
    <w:abstractNumId w:val="35"/>
  </w:num>
  <w:num w:numId="36">
    <w:abstractNumId w:val="18"/>
  </w:num>
  <w:num w:numId="37">
    <w:abstractNumId w:val="7"/>
  </w:num>
  <w:num w:numId="38">
    <w:abstractNumId w:val="20"/>
  </w:num>
  <w:num w:numId="39">
    <w:abstractNumId w:val="1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300"/>
    <w:rsid w:val="000164B7"/>
    <w:rsid w:val="00051FB8"/>
    <w:rsid w:val="00095BA6"/>
    <w:rsid w:val="00210DB3"/>
    <w:rsid w:val="0031418A"/>
    <w:rsid w:val="00350B15"/>
    <w:rsid w:val="00377A3D"/>
    <w:rsid w:val="0052086C"/>
    <w:rsid w:val="005249BC"/>
    <w:rsid w:val="00542898"/>
    <w:rsid w:val="005A2562"/>
    <w:rsid w:val="00755964"/>
    <w:rsid w:val="00872439"/>
    <w:rsid w:val="008C19D7"/>
    <w:rsid w:val="00A44D32"/>
    <w:rsid w:val="00B82300"/>
    <w:rsid w:val="00BA3C3B"/>
    <w:rsid w:val="00C534D5"/>
    <w:rsid w:val="00DE597A"/>
    <w:rsid w:val="00E02F60"/>
    <w:rsid w:val="00E12572"/>
    <w:rsid w:val="00E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B640EE-5101-4F7C-8B26-6581793A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82300"/>
    <w:pPr>
      <w:spacing w:before="100" w:beforeAutospacing="1" w:after="100" w:afterAutospacing="1"/>
      <w:outlineLvl w:val="1"/>
    </w:pPr>
    <w:rPr>
      <w:rFonts w:ascii="Verdana" w:hAnsi="Verdana" w:cs="Verdana"/>
      <w:b/>
      <w:bCs/>
      <w:color w:val="40406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B8230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B82300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B82300"/>
    <w:rPr>
      <w:b/>
      <w:bCs/>
    </w:rPr>
  </w:style>
  <w:style w:type="character" w:styleId="a7">
    <w:name w:val="Hyperlink"/>
    <w:basedOn w:val="a0"/>
    <w:uiPriority w:val="99"/>
    <w:rsid w:val="00B82300"/>
    <w:rPr>
      <w:color w:val="0000FF"/>
      <w:u w:val="single"/>
    </w:rPr>
  </w:style>
  <w:style w:type="character" w:styleId="a8">
    <w:name w:val="Emphasis"/>
    <w:basedOn w:val="a0"/>
    <w:uiPriority w:val="99"/>
    <w:qFormat/>
    <w:rsid w:val="00B82300"/>
    <w:rPr>
      <w:i/>
      <w:iCs/>
      <w:color w:val="008000"/>
    </w:rPr>
  </w:style>
  <w:style w:type="paragraph" w:styleId="a9">
    <w:name w:val="Body Text"/>
    <w:basedOn w:val="a"/>
    <w:link w:val="aa"/>
    <w:uiPriority w:val="99"/>
    <w:rsid w:val="00B82300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B8230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rsid w:val="00E02F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paragraph" w:styleId="ad">
    <w:name w:val="footer"/>
    <w:basedOn w:val="a"/>
    <w:link w:val="ae"/>
    <w:uiPriority w:val="99"/>
    <w:rsid w:val="00E02F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E02F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Pr>
      <w:rFonts w:ascii="Segoe UI" w:hAnsi="Segoe UI" w:cs="Segoe UI"/>
      <w:sz w:val="16"/>
      <w:szCs w:val="16"/>
    </w:rPr>
  </w:style>
  <w:style w:type="character" w:styleId="af1">
    <w:name w:val="FollowedHyperlink"/>
    <w:basedOn w:val="a0"/>
    <w:uiPriority w:val="99"/>
    <w:rsid w:val="00542898"/>
    <w:rPr>
      <w:color w:val="800080"/>
      <w:u w:val="single"/>
    </w:rPr>
  </w:style>
  <w:style w:type="character" w:styleId="af2">
    <w:name w:val="annotation reference"/>
    <w:basedOn w:val="a0"/>
    <w:uiPriority w:val="99"/>
    <w:semiHidden/>
    <w:rsid w:val="0087243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87243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8724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rsid w:val="0087243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8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6407</Characters>
  <Application>Microsoft Office Word</Application>
  <DocSecurity>0</DocSecurity>
  <Lines>53</Lines>
  <Paragraphs>15</Paragraphs>
  <ScaleCrop>false</ScaleCrop>
  <Company>Home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информационной системы интеллектуального здания на примере музея-усадьбы Н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