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0E" w:rsidRPr="00B8030E" w:rsidRDefault="00B8030E" w:rsidP="00B8030E">
      <w:pPr>
        <w:spacing w:before="120"/>
        <w:jc w:val="center"/>
        <w:rPr>
          <w:b/>
          <w:bCs/>
          <w:sz w:val="32"/>
          <w:szCs w:val="32"/>
        </w:rPr>
      </w:pPr>
      <w:r w:rsidRPr="00B8030E">
        <w:rPr>
          <w:b/>
          <w:bCs/>
          <w:sz w:val="32"/>
          <w:szCs w:val="32"/>
        </w:rPr>
        <w:t xml:space="preserve">Формирование денежно-кредитной системы ЕС и перспективы развития интеграционных связей с Россией </w:t>
      </w:r>
    </w:p>
    <w:p w:rsidR="00B8030E" w:rsidRPr="00B8030E" w:rsidRDefault="00B8030E" w:rsidP="00B8030E">
      <w:pPr>
        <w:spacing w:before="120"/>
        <w:ind w:firstLine="567"/>
        <w:jc w:val="both"/>
        <w:rPr>
          <w:sz w:val="28"/>
          <w:szCs w:val="28"/>
        </w:rPr>
      </w:pPr>
      <w:r w:rsidRPr="00B8030E">
        <w:rPr>
          <w:sz w:val="28"/>
          <w:szCs w:val="28"/>
        </w:rPr>
        <w:t xml:space="preserve">М.А. Давтян, заведующий кафедрой финансов и кредита Академии труда и социальных отношений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Опыт развития европейской цивилизации, к которой бесспорно принадлежит и Россия, убедительно показал, что динамичное развитие общества главным образом зависит от системы ценностей, лежащих в основе деятельности государства, экономических субъектов, общественных организаций, повседневной жизнедеятельности каждого гражданина и его готовности воспринимать перемены. Почти полувековая история формирования и становления Европейского Союза (ЕС) также очевидно доказывает, что практически все страны ЕС независимо от уровня экономического развития в той или иной степени столкнулись с проблемами модернизации и развития национальных экономик, но во многом благодаря общим и согласованным усилиям, эффекту интеграции решали и решают эти проблемы с минимальными социальными и экономическими издержками. Именно этим объясняются интеграционные достижения ЕС и стремление других восточноевропейских стран, в т.ч. и бывших республик СССР, войти в состав Европейского экономического и валютного союза (ЭВС).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Наряду с качественным повышением уровня жизни своих граждан, что уже само по себе является достижением интеграции, ЕС достаточно успешно и последовательно решает и другие финансовые, экономические и социальные задачи. В 1999 г. был создан Европейский Центральный Банк (ЕЦБ) с исключительно важными функциями для всего сообщества, а с 1 января 2002 г. 12 членов ЕС ввели в обращение единую (single) наличную (а еще раньше и безналичную) валюту евро взамен своим национальным денежным единицам, которые в течение столетий в разных формах были не только главным экономическим инструментом и богатством, но и не менее важным атрибутом государственного суверенитета, таким как герб, флаг или гимн. Наличные деньги всегда были визитной карточкой страны. Теперь у 12 европейских государств, которые образовали зону евро, имеется единая визитная карточка.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Для развития и модернизации российской экономики, обоснования ее интеграционной стратегии изучение опыта и особенностей формирования Европейского экономического и валютного союза, а также денежно-кредитной политики его главного денежного центра, которым стал ЕЦБ, имеет не только теоретическое, но и чрезвычайно важное экономическое значение. Главной движущей силой появления евро как единой в рамках ЕС транснациональной валюты, как, впрочем, и других важнейших качественных изменений ЕС, является необходимость своевременно адаптироваться к вызовам динамично изменяющегося мира в условиях глобализации.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Поэтому от успешности усилий официальных властей ЕС по обеспечению устойчивости курса евро зависят возможности его использования в России в качестве равнозначного к доллару США международного резервного актива, в том числе и в целях дальнейшей диверсификации официальных валютных резервов, средств международных расчетов, платежей и валюты контрактов, а также инструмента заимствования на международных финансовых рынках.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Это тем более актуально, поскольку Европейский Союз планирует к середине 2004 г. принять в свои ряды десять стран (Чехия, Эстония, Кипр, Латвия, Литва, Венгрия, Мальта, Польша, Словения, Словакия). Еще две страны - Болгария и Румыния получили приглашение присоединиться к ЕС в начале 2007 г. Кстати, у многих приглашенных стран Восточной Европы ключевые параметры (население, объем ВВП, ВВП на душу населения, доля промышленности, сельского хозяйства и услуг в ВВП, уровень безработицы, доля экспорта в ЕС из общего экспорта), да и некоторые критерии присоединения к ЭВС (соотношение государственного долга и ВВП, уровень инфляции, бюджетный дефицит) значительно уступают аналогичным показателям России. Предстоящее вступление в Европейский Союз указанных 12 стран увеличит долю России во внешней торговле с ЕС с нынешних 40% до более чем 60%.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Внимательное изучение опыта создания ЭВС и анализ единой независимой денежно-кредитной политики (ДКП) Европейского Центрального Банка важны также с точки зрения практической реализации подписанных в свое время соглашений и договоров в рамках СНГ, предполагавших поэтапное формирование единого Таможенного союза, зоны свободной торговли, общего рынка товаров, капиталов, рабочей силы, платежного и даже валютного союза. Но при этом за более чем десять лет не реализовано ни одного значимого соглашения.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Для лучшего понимания оптимальных условий, необходимых для реализации интеграционных проектов в рамках СНГ, требуется объективный анализ богатейшего опыта европейской интеграции. Особенно это касается ключевой составляющей, коей, по нашему мнению, является единая и независимая денежно-кредитная политика ЕЦБ на далеко неоднородном финансово-экономическом пространстве Европейского Союза, направленная на такие макроэкономические ориентиры, как стабильность цен (сдерживание инфляции), поддержание покупательной способности евро, обеспечение экономического роста и занятости.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В последнее время обозначился взаимный интерес между Евросоюзом и Россией. Возможен ли сценарий их стратегического сотрудничества в какой-либо форме в долгосрочной перспективе? В ближайшие 5-7 лет вхождение России в ЕС маловероятно или почти исключено. Однако через 10-15 лет вполне допустимо членство в ЭВС в той или иной форме.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В качестве аргументов в пользу такого сценария можно привести следующее.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ЕС заинтересован в стабильной и процветающей России как будущего огромного рынка, обширной ресурсной базы и инвестиционных вложений.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ЕС находится в энергетической зависимости от России, и в ближайшие 20-25 лет других альтернатив российским поставкам не предвидится. Именно цены на российские энергоносители остаются по объективным рыночным причинам неуправляемым фактором при поддержании ценовой стабильности в зоне евро.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На долю ЕС сегодня приходится более 40% экспорта России, более 25% иностранных инвестиций в нашу страну и почти 70% ее внешнего долга.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Есть аргументы за интеграцию России и Евросоюза, о чем говорилось выше. Однако можно перечислить и столько же аргументов против подобной интеграции. Причем ее противников достаточно не только в ЕС, но и в самой России. Многие считают (их большинство), что Россия ни географически, ни политически, ни экономически не "поместится" в ЕС. </w:t>
      </w:r>
    </w:p>
    <w:p w:rsidR="00B8030E" w:rsidRPr="00B8030E" w:rsidRDefault="00B8030E" w:rsidP="00B8030E">
      <w:pPr>
        <w:spacing w:before="120"/>
        <w:jc w:val="center"/>
        <w:rPr>
          <w:b/>
          <w:bCs/>
          <w:sz w:val="28"/>
          <w:szCs w:val="28"/>
        </w:rPr>
      </w:pPr>
      <w:r w:rsidRPr="00B8030E">
        <w:rPr>
          <w:b/>
          <w:bCs/>
          <w:sz w:val="28"/>
          <w:szCs w:val="28"/>
        </w:rPr>
        <w:t xml:space="preserve">Европейский Центральный Банк и Евросистема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Двенадцать национальных центральных банков, в том числе Банк Франции, Банк Италии, Банк Испании, Нидерландский банк, Национальный банк Бельгии, Австрийский национальный банк, Банк Греции, Банк Португалии, Банк Финляндии, Центральный банк Ирландии, Центральный банк Люксембурга, Бундесбанк Германии, а также Европейский Центральный Банк (ЕЦБ), расположенный во Франкфурте-на-Майне, вместе образуют Евросистему. Структура европейской системы центральных банков представлена на приводимой ниже схеме.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fldChar w:fldCharType="begin"/>
      </w:r>
      <w:r w:rsidRPr="00B8030E">
        <w:instrText xml:space="preserve"> INCLUDEPICTURE "http://www.vestnik.fa.ru/2(30)2004/img/8-1.gif" \* MERGEFORMATINET </w:instrText>
      </w:r>
      <w:r w:rsidRPr="00B8030E">
        <w:fldChar w:fldCharType="separate"/>
      </w:r>
      <w:r w:rsidR="009D07C2">
        <w:fldChar w:fldCharType="begin"/>
      </w:r>
      <w:r w:rsidR="009D07C2">
        <w:instrText xml:space="preserve"> </w:instrText>
      </w:r>
      <w:r w:rsidR="009D07C2">
        <w:instrText>INCLUDEPICTURE  "http://www.vestnik.fa.ru/2(30)2004/img/8-1.gif" \* MERGEFORMATINET</w:instrText>
      </w:r>
      <w:r w:rsidR="009D07C2">
        <w:instrText xml:space="preserve"> </w:instrText>
      </w:r>
      <w:r w:rsidR="009D07C2">
        <w:fldChar w:fldCharType="separate"/>
      </w:r>
      <w:r w:rsidR="009D07C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8.5pt;height:231.75pt">
            <v:imagedata r:id="rId7" r:href="rId8"/>
          </v:shape>
        </w:pict>
      </w:r>
      <w:r w:rsidR="009D07C2">
        <w:fldChar w:fldCharType="end"/>
      </w:r>
      <w:r w:rsidRPr="00B8030E">
        <w:fldChar w:fldCharType="end"/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Термин "Евросистема" выбран Советом управляющих ЕЦБ, чтобы объяснить устройство (соглашение), с помощью которого Европейская система центральных банков (ЕСЦБ) выполняет свои задачи в зоне евро. До тех пор, пока некоторые члены ЕС не ввели у себя в обращение единую валюту евро, отличие между Евросистемой и ЕСЦБ сохранится.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Помимо внесенного капитала 12 НЦБ ЕВС перевели на счета ЕЦБ валютные резервы на сумму 40 млрд. евро. Передача валютных резервов также проведена пропорционально доле каждой страны в капитале ЕЦБ. Взамен каждый национальный центральный банк был кредитован ЕЦБ денежными требованиями в евро-эквиваленте за их дополнительный валютный вклад. Причем 15% этих вкладов были внесены монетарным золотом, а оставшиеся 85% в долларах США и японских йенах. Любая другая страна ЕС, пожелавшая присоединиться к евро, должна прежде всего отвечать критериям присоединения (конвергенции). При этом ЕЦБ обязан дать свое заключение о степени соответствия данной страны критериям присоединения.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fldChar w:fldCharType="begin"/>
      </w:r>
      <w:r w:rsidRPr="00B8030E">
        <w:instrText xml:space="preserve"> INCLUDEPICTURE "http://www.vestnik.fa.ru/2(30)2004/img/8-2.gif" \* MERGEFORMATINET </w:instrText>
      </w:r>
      <w:r w:rsidRPr="00B8030E">
        <w:fldChar w:fldCharType="separate"/>
      </w:r>
      <w:r w:rsidR="009D07C2">
        <w:fldChar w:fldCharType="begin"/>
      </w:r>
      <w:r w:rsidR="009D07C2">
        <w:instrText xml:space="preserve"> </w:instrText>
      </w:r>
      <w:r w:rsidR="009D07C2">
        <w:instrText>INCLUDEPICTURE  "http://www.v</w:instrText>
      </w:r>
      <w:r w:rsidR="009D07C2">
        <w:instrText>estnik.fa.ru/2(30)2004/img/8-2.gif" \* MERGEFORMATINET</w:instrText>
      </w:r>
      <w:r w:rsidR="009D07C2">
        <w:instrText xml:space="preserve"> </w:instrText>
      </w:r>
      <w:r w:rsidR="009D07C2">
        <w:fldChar w:fldCharType="separate"/>
      </w:r>
      <w:r w:rsidR="009D07C2">
        <w:pict>
          <v:shape id="_x0000_i1026" type="#_x0000_t75" alt="" style="width:425.25pt;height:247.5pt">
            <v:imagedata r:id="rId9" r:href="rId10"/>
          </v:shape>
        </w:pict>
      </w:r>
      <w:r w:rsidR="009D07C2">
        <w:fldChar w:fldCharType="end"/>
      </w:r>
      <w:r w:rsidRPr="00B8030E">
        <w:fldChar w:fldCharType="end"/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ЕЦБ представляет уникальную организационную структуру, не имеющую аналога в мировой практике. Уникальность заключается в том, что в одной системе сочетаются качественно разные структуры: централизованные и децентрализованные.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Евросистемой и ЕСЦБ управляют те органы Европейского Центрального Банка, которые наделены правом принятия решения. Таковыми органами являются: Совет управляющих и Исполнительный комитет.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Высшим звеном ЕЦБ является Совет управляющих, в который в количестве 18 человек входят все члены Исполнительного комитета (6 человек) и управляющие всех 12 НЦБ Евросистемы.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На Совет управляющих возлагаются следующие функции: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разрабатывать важнейшие направления деятельности и принимать необходимые решения, обеспечивающие выполнение задач, возложенных на Евросистему;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определять денежно-кредитную политику для зоны евро, включая ассигнования, решения, касающиеся промежуточных денежно-кредитных ориентиров (целей), основных процентных ставок и резервов в Евросистеме, и устанавливать необходимые ориентиры для их реализации;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рассматривать и утверждать годовой отчет ЕЦБ.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Совет управляющих заседает в городе Франкфурте-на-Майне, как правило, два раза в месяц; допускаются также заседания Совета управляющих в НЦБ ЕС.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При принятии решений по важнейшим вопросам денежно-кредитной политики или других задач Евросистемы члены Совета действуют не как представители национальных банков, а как независимые профессионалы по принципу "один член, один голос". Решение считается принятым, если за него проголосуют не менее 2/3 членов Совета.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Максимальное количество служащих на 2003 г. в ЕЦБ по запланированному бюджету по зарплате 1263 человека; реальное количество служащих составило 1172. Среднемесячная зарплата служащих превышает 8000 евро (для сравнения - средняя зарплата служащих ЦБ РФ составляет 12 тыс. руб., или около 350 евро. </w:t>
      </w:r>
    </w:p>
    <w:p w:rsidR="00B8030E" w:rsidRPr="00B8030E" w:rsidRDefault="00B8030E" w:rsidP="00B8030E">
      <w:pPr>
        <w:spacing w:before="120"/>
        <w:jc w:val="center"/>
        <w:rPr>
          <w:b/>
          <w:bCs/>
          <w:sz w:val="28"/>
          <w:szCs w:val="28"/>
        </w:rPr>
      </w:pPr>
      <w:r w:rsidRPr="00B8030E">
        <w:rPr>
          <w:b/>
          <w:bCs/>
          <w:sz w:val="28"/>
          <w:szCs w:val="28"/>
        </w:rPr>
        <w:t xml:space="preserve">Цели и функции ЕЦБ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Главной целью деятельности Европейского Центрального Банка является поддержание ценовой стабильности в зоне евро. Другие цели и функции ЕЦБ: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поддержание совместно с национальными центральными банками ЕС стабильного функционирования платежной системы Еврозоны;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защита и обеспечение покупательной способности евро;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поддержание макроэкономической сбалансированности в Евросоюзе;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содействие бесперебойному функционированию и развитию банковской системы ЕС.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Важнейшей функцией ЕЦБ является разработка и реализация единой и независимой денежно-кредитной политики для стран Еврозоны.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По мнению экспертов, посредством стабильных цен ЕЦБ создает общую благоприятную экономическую среду и высокий уровень занятости. Как инфляция, так и дефляция оборачиваются высокими издержками для общества как в экономическом, так и в социальном плане.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Применительно к Евросоюзу денежно-кредитная политика осуществляется на двух уровнях: первый уровень - это, безусловно, единая независимая ДКП, которая разрабатывается и реализуется ЕЦБ; второй уровень - это уровень национальных государств, членов Евросоюза, на котором их же национальные центральные банки совместно со своими правительствами проводят ДКП в жизнь. Между двумя уровнями существует тесная координация и согласованность, главными ориентирами при этом являются критерии соответствия той или иной страны валютному союзу. Согласование проводится на уровне Совета управляющих и Генерального совета ЕСЦБ.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Стратегия денежно-кредитной политики ЕЦБ зиждится на двух столпах, по существу на двух подходах (two-pillar approach).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Первый подход - исходить из ведущей роли денег в виде всей денежной массы, которая определяется агрегатом М3. С 1999 г. годовой прирост М3 Советом управляющих ЕЦБ устанавливается на уровне 4,5% в годовом исчислении. При таком подходе инфляция рассматривается как неизбежный результат нарушения закона денежного обращения, когда предложение денег в широком смысле (М3) заметно превосходит ограниченные предложения товаров и услуг. Второй подход основан на широкой оценке перспектив изменения ценовой динамики и рисков ценовой стабильности в Еврозоне.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В целом комбинация двух подходов денежно-кредитной политики ЕЦБ доказывает, что денежные, финансовые и экономические процессы находятся под постоянным контролем и регулярно анализируются. Подобный подход позволяет ЕЦБ устанавливать свои процентные ставки на таком уровне, который наилучшим образом обеспечивает ценовую стабильность. Защищая, таким образом, покупательную способность евро, ЕЦБ в то же время поддерживает курс евро по отношению к другим мировым валютам (хотя сам по себе курс евро не является главным ориентиром).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Денежно-кредитная политика в ЕС разрабатывается и реализуется также на двух уровнях. Все решения, касающиеся проведения независимой единой политики по части целевых ориентиров, принимаются ЕЦБ и реализуются централизованно по всей Еврозоне, а инструменты ДКП практически используются национальными центральными банками ЕС децентрализованно. НЦБ имеют право обсуждать и вырабатывать рекомендации по проблемам и перспективам ДКП. При этом в каждой стране ЕС национальные центральные банки имеют специфические исторические и правовые особенности, которые неизбежно отражаются на принятых ими решениях и нередко расходятся со стратегией ЕЦБ. Последнему приходится терпеливо и последовательно прилагать усилия, чтобы содействовать адекватному пониманию Евросоюзом и отдельными его странами целей и задач денежно-кредитной политики и возлагаемых на нее ожиданий. Все это повышает доверие к деятельности Европейского Центрального Банка.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Гармонизированный индекс потребительских цен (ГИПЦ) является концептуально новым агрегированным индексом цен и никогда раньше на практике национальных и региональных экономик не применялся. Особенность концепции ГИПЦ определяется не столько его низким количественным измерением (хотя это тоже важно), сколько тем, что с его помощью можно выравнивать, гармонизировать национальные индексы потребительских цен по всем странам Еврозоны с максимальным охватом потребительских расходов, для того чтобы оценить, насколько в Еврозоне достигнута стабильность цен. В нашем национальном определении индекс потребительских цен (ИПЦ) рассчитывается как соотношение суммы стоимости фиксированного набора товаров и услуг в текущем периоде и суммы стоимости этого же набора в предыдущем (базисном) периоде.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Главная идея ГИПЦ заключается в том, чтобы выделить и дифференцировать воздействие на него наиболее существенных факторов. Эксперты Евростата считают, что, например, выделение энергетического компонента ГИПЦ связано с большим влиянием на него цен на нефть; разделение продовольственных товаров на продукты питания и сырье обусловлено тем, что сезонные колебания и погодные условия влияют на этот компонент (как это было в 2002 г.) в большей степени, чем на готовые продукты питания. Несмотря на то что ГИПЦ в отношении информации и ценовой стабильности отводится ведущая роль, тем не менее в данной концепции заложены некие противоречия и недостатки, которые мешают объективно определить реальный уровень цен в Еврозоне.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Основные операции по рефинансированию кредитных организаций главным образом направлены на обеспечение банковской системы ЕС достаточной ликвидностью. В этих целях используются следующие инструменты: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основные операции по рефинансированию (MROs - main refinancing operations) сроком до 14 дней;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долгосрочные рефинансирования (LTROs - longer-term refinancing operations) от одного до трех месяцев;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залоговые кредиты (операции класса РЕПО);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кредиты "овернайт" (однодневные кредиты) и др.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Управление ликвидностью играет важную роль в реализации единой денежно-кредитной политики ЕЦБ. Оно зависит от оценки потребностей банковской системы в ликвидных средствах, которые возникают из резервных требований, избыточных резервов и других автономных факторов. Последние относятся к некоторым статьям баланса центрального банка, как, например, наличные деньги (банкноты) в обращении, средства правительства и чистые иностранные активы.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Одновременно для регулирования ликвидности в банковской системе ЕЦБ и национальные центральные банки привлекают денежные средства кредитных организаций на свои депозитные счета в том случае если эти средства являются избыточными, а кредитные организации в свою очередь привлекают временно свободные денежные средства фирм и домашних хозяйств в депозиты.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fldChar w:fldCharType="begin"/>
      </w:r>
      <w:r w:rsidRPr="00B8030E">
        <w:instrText xml:space="preserve"> INCLUDEPICTURE "http://www.vestnik.fa.ru/2(30)2004/img/8-3.gif" \* MERGEFORMATINET </w:instrText>
      </w:r>
      <w:r w:rsidRPr="00B8030E">
        <w:fldChar w:fldCharType="separate"/>
      </w:r>
      <w:r w:rsidR="009D07C2">
        <w:fldChar w:fldCharType="begin"/>
      </w:r>
      <w:r w:rsidR="009D07C2">
        <w:instrText xml:space="preserve"> </w:instrText>
      </w:r>
      <w:r w:rsidR="009D07C2">
        <w:instrText>INCLUDEPICTURE  "http://www.vestnik.fa.ru/2(30)2004/img/8-3.gif" \* MERG</w:instrText>
      </w:r>
      <w:r w:rsidR="009D07C2">
        <w:instrText>EFORMATINET</w:instrText>
      </w:r>
      <w:r w:rsidR="009D07C2">
        <w:instrText xml:space="preserve"> </w:instrText>
      </w:r>
      <w:r w:rsidR="009D07C2">
        <w:fldChar w:fldCharType="separate"/>
      </w:r>
      <w:r w:rsidR="009D07C2">
        <w:pict>
          <v:shape id="_x0000_i1027" type="#_x0000_t75" alt="" style="width:358.5pt;height:208.5pt">
            <v:imagedata r:id="rId11" r:href="rId12"/>
          </v:shape>
        </w:pict>
      </w:r>
      <w:r w:rsidR="009D07C2">
        <w:fldChar w:fldCharType="end"/>
      </w:r>
      <w:r w:rsidRPr="00B8030E">
        <w:fldChar w:fldCharType="end"/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Операции на открытом рынке (в понимании и практике ЕЦБ) - это операции, совершаемые по инициативе центрального банка на финансовых рынках.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Согласно такому аукциону предложения выше предельных ставок (ставки усечения, которые устанавливает Совет управляющих) удовлетворяются полностью и в первую очередь по предложенным ставкам покупателей, тогда как предложения по предельным ставкам удовлетворяются в последнюю очередь и пропорционально.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Тенденции таковы, что среднее количество участников торгов краткосрочного рефинансирования (MROs) сокращается. Только за 2002 г. количество контрагентов уменьшилось на 25%. Хотя в то же время общая сумма торгов (покупка краткосрочных кредитов со стороны коммерческих банков и других кредитных институтов) удвоилась.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Дело не в том, что все меньше банков нуждается в рефинансировании непосредственно из Евросистемы для поддержания своей ликвидности. На самом деле, конкуренция за получение краткосрочных кредитов (MROs), а также на рынке "овернайт" (однодневных кредитов) сохраняется на высоком уровне. В таком случае, сокращение числа участников в краткосрочном рефинансировании (MROs) объясняется продолжающейся консолидацией банковской индустрии в Еврозоне, ростом концентрации активности по управлению портфелями казначейскими и другими ценными бумагами внутри банковских групп и, наконец, возросшей эффективностью денежного рынка, что отсекло часть контрагентов, желающих заимствовать ликвидность непосредственно из Евросистемы. Следует также заметить, что ставки Евросистемы и денежного рынка почти идентичны, что свидетельствует о высоком уровне конкуренции финансовых рынков ЕС.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Практика по долгосрочному рефинансированию показывает, что среднегодовое количество банков, участвующих в этих аукционах, также сокращается, в основном по тем же причинам, что и количество участников в краткосрочном рефинансировании (MROs). </w:t>
      </w:r>
    </w:p>
    <w:p w:rsidR="00B8030E" w:rsidRPr="00B8030E" w:rsidRDefault="00B8030E" w:rsidP="00B8030E">
      <w:pPr>
        <w:spacing w:before="120"/>
        <w:ind w:firstLine="567"/>
        <w:jc w:val="both"/>
      </w:pPr>
      <w:r w:rsidRPr="00B8030E">
        <w:t xml:space="preserve">Операции класса "овернайт" ЕЦБ провел дважды и на большие суммы, для того чтобы обеспечить банковскую систему Еврозоны дополнительным объемом ликвидности. Данные операции были проведены в начале 2002 г. сразу после введения наличного евро из-за того, что спрос на наличные евро оказался намного выше прогнозного значения. Ставки по овернайту составили 3,25%. В этих двух операциях участвовало более 120 коммерческих банков Еврозоны, и общий объем "овернайта" составил внушительную сумму - более 65 млрд. евро. Что касается операций класса РЕПО с использованием сделок с правом обратного выкупа, то за все время существования Европейского Центрального Банка они были проведены один раз - в конце 2002 г. сроком на шесть дней по минимальной ставке 2,75%. В этой операции (fine-tuning operation), целью которой опять же было обеспечение банковской системы ликвидностью, участвовало 50 коммерческих банков; сумма сделок составила 10 млрд. евро по предельной ставке 2,80%, а средневзвешенная ставка составила 2,82%. Окончание статьи см. в следующем номере "Вестника Финансовой академии" </w:t>
      </w:r>
    </w:p>
    <w:p w:rsidR="00B42C45" w:rsidRPr="00B8030E" w:rsidRDefault="00B42C45" w:rsidP="00B8030E">
      <w:pPr>
        <w:spacing w:before="120"/>
        <w:ind w:firstLine="567"/>
        <w:jc w:val="both"/>
      </w:pPr>
      <w:bookmarkStart w:id="0" w:name="_GoBack"/>
      <w:bookmarkEnd w:id="0"/>
    </w:p>
    <w:sectPr w:rsidR="00B42C45" w:rsidRPr="00B8030E" w:rsidSect="00B8030E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30E" w:rsidRDefault="00B8030E">
      <w:r>
        <w:separator/>
      </w:r>
    </w:p>
  </w:endnote>
  <w:endnote w:type="continuationSeparator" w:id="0">
    <w:p w:rsidR="00B8030E" w:rsidRDefault="00B8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30E" w:rsidRDefault="00B8030E">
      <w:r>
        <w:separator/>
      </w:r>
    </w:p>
  </w:footnote>
  <w:footnote w:type="continuationSeparator" w:id="0">
    <w:p w:rsidR="00B8030E" w:rsidRDefault="00B8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6586"/>
    <w:multiLevelType w:val="multilevel"/>
    <w:tmpl w:val="3D2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A7108AD"/>
    <w:multiLevelType w:val="multilevel"/>
    <w:tmpl w:val="0ED2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FB43F18"/>
    <w:multiLevelType w:val="multilevel"/>
    <w:tmpl w:val="7506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72B3C65"/>
    <w:multiLevelType w:val="multilevel"/>
    <w:tmpl w:val="481C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E585BD7"/>
    <w:multiLevelType w:val="multilevel"/>
    <w:tmpl w:val="2630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C7B60"/>
    <w:multiLevelType w:val="multilevel"/>
    <w:tmpl w:val="CA06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B3C4555"/>
    <w:multiLevelType w:val="multilevel"/>
    <w:tmpl w:val="26B42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672050"/>
    <w:multiLevelType w:val="multilevel"/>
    <w:tmpl w:val="C07E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16232C2"/>
    <w:multiLevelType w:val="multilevel"/>
    <w:tmpl w:val="1146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96342AB"/>
    <w:multiLevelType w:val="multilevel"/>
    <w:tmpl w:val="9F9A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72AF753D"/>
    <w:multiLevelType w:val="multilevel"/>
    <w:tmpl w:val="DB86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3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30E"/>
    <w:rsid w:val="0041761F"/>
    <w:rsid w:val="00616072"/>
    <w:rsid w:val="008B35EE"/>
    <w:rsid w:val="009D07C2"/>
    <w:rsid w:val="00B42C45"/>
    <w:rsid w:val="00B47B6A"/>
    <w:rsid w:val="00B8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7F8D1848-80DA-4C0C-A169-F1AEF6B4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30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Strong"/>
    <w:basedOn w:val="a0"/>
    <w:uiPriority w:val="99"/>
    <w:qFormat/>
    <w:rsid w:val="00B8030E"/>
    <w:rPr>
      <w:b/>
      <w:bCs/>
    </w:rPr>
  </w:style>
  <w:style w:type="character" w:styleId="a4">
    <w:name w:val="Hyperlink"/>
    <w:basedOn w:val="a0"/>
    <w:uiPriority w:val="99"/>
    <w:rsid w:val="00B8030E"/>
    <w:rPr>
      <w:color w:val="0000FF"/>
      <w:u w:val="single"/>
    </w:rPr>
  </w:style>
  <w:style w:type="paragraph" w:customStyle="1" w:styleId="par">
    <w:name w:val="par"/>
    <w:basedOn w:val="a"/>
    <w:uiPriority w:val="99"/>
    <w:rsid w:val="00B8030E"/>
    <w:pPr>
      <w:spacing w:before="100" w:beforeAutospacing="1" w:after="100" w:afterAutospacing="1"/>
    </w:pPr>
  </w:style>
  <w:style w:type="character" w:customStyle="1" w:styleId="arch1">
    <w:name w:val="arch1"/>
    <w:basedOn w:val="a0"/>
    <w:uiPriority w:val="99"/>
    <w:rsid w:val="00B8030E"/>
    <w:rPr>
      <w:color w:val="auto"/>
      <w:u w:val="none"/>
      <w:effect w:val="none"/>
    </w:rPr>
  </w:style>
  <w:style w:type="paragraph" w:styleId="a5">
    <w:name w:val="header"/>
    <w:basedOn w:val="a"/>
    <w:link w:val="a6"/>
    <w:uiPriority w:val="99"/>
    <w:rsid w:val="00B803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B803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vestnik.fa.ru/2(30)2004/img/8-1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://www.vestnik.fa.ru/2(30)2004/img/8-3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http://www.vestnik.fa.ru/2(30)2004/img/8-2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12465</Words>
  <Characters>7106</Characters>
  <Application>Microsoft Office Word</Application>
  <DocSecurity>0</DocSecurity>
  <Lines>59</Lines>
  <Paragraphs>39</Paragraphs>
  <ScaleCrop>false</ScaleCrop>
  <Company>Home</Company>
  <LinksUpToDate>false</LinksUpToDate>
  <CharactersWithSpaces>19532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денежно-кредитной системы ЕС и перспективы развития интеграционных связей с Россией </dc:title>
  <dc:subject/>
  <dc:creator>User</dc:creator>
  <cp:keywords/>
  <dc:description/>
  <cp:lastModifiedBy>admin</cp:lastModifiedBy>
  <cp:revision>2</cp:revision>
  <dcterms:created xsi:type="dcterms:W3CDTF">2014-01-24T17:11:00Z</dcterms:created>
  <dcterms:modified xsi:type="dcterms:W3CDTF">2014-01-24T17:11:00Z</dcterms:modified>
</cp:coreProperties>
</file>