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283" w:rsidRDefault="005D7F96">
      <w:pPr>
        <w:pStyle w:val="1"/>
        <w:jc w:val="center"/>
      </w:pPr>
      <w:r>
        <w:t>Эпизоотологические аспекты инфекционных болезней на трансграничной территории России (Бурятии) и Монголии</w:t>
      </w:r>
    </w:p>
    <w:p w:rsidR="00E00283" w:rsidRPr="005D7F96" w:rsidRDefault="005D7F96">
      <w:pPr>
        <w:pStyle w:val="a3"/>
      </w:pPr>
      <w:r>
        <w:t> </w:t>
      </w:r>
    </w:p>
    <w:p w:rsidR="00E00283" w:rsidRDefault="005D7F96">
      <w:pPr>
        <w:pStyle w:val="a3"/>
      </w:pPr>
      <w:r>
        <w:t>Баянжаргал Б., Бадмаева О.Б, Ринчинова О.Н, Цыдыпов В.Ц.</w:t>
      </w:r>
    </w:p>
    <w:p w:rsidR="00E00283" w:rsidRDefault="005D7F96">
      <w:pPr>
        <w:pStyle w:val="a3"/>
      </w:pPr>
      <w:r>
        <w:t>ФГБОУ ВПО "Бурятская государственная сельскохозяйственная  академия им В.Р. Филиппова", Улан-Удэ</w:t>
      </w:r>
    </w:p>
    <w:p w:rsidR="00E00283" w:rsidRDefault="005D7F96">
      <w:pPr>
        <w:pStyle w:val="a3"/>
      </w:pPr>
      <w:r>
        <w:t>Резюме. Статья посвящена эпизоотологическим аспектам доминирующих инфекционных болезней за 2003-2012 годы на трансграничной территории Бурятии и Монголии, которые связаны едиными природно-климатическими и экологическими условиями возможного возникновения и распространения инфекционной патологии сельскохозяйственных животных. Прямое влияние на интенсивность и динамику проявления инфекций оказывают различия в плотности содержания, уровня охвата животных профилактической иммунизацией, различия в хозяйственных приоритетах и формах ведения хозяйства. За последние 10 лет в Монголии сохранялась напряженная эпизоотическая обстановка и регистрировалось от 13 до 23 нозологических форм инфекционной патологии животных. Среди сельскохозяйственных животных ежегодно регистрируются сибирская язва, листериоз, пастереллез, бешенство, мыт лошадей, сальмонеллез, колибактериоз, контагиозная эктима и инфекционная агалактия овец и коз. Наибольший удельный вес в структуре инфекционной патологии занимают контагиозная эктима — 39,49±7,588%, инфекционная агалактия овец и коз — 11,69±3,628%, пастереллез — 7,98±1,0%, мыт — 5,25±1,21%, бешенство — 5,04±1,9%. Заболеваемость при мыте лошадей, контагиозной эктиме и инфекционной агалактии овец и коз на 10000 поголовья составила 9,55±1,688; 4,65±0,67; 1,6±0,348 соответственно. В настоящее время в Бурятии сохраняется относительное благополучие, которое может быть нарушено при малейшем снижении мер профилактики и уровня охвата животных профилактической иммунизацией.</w:t>
      </w:r>
    </w:p>
    <w:p w:rsidR="00E00283" w:rsidRDefault="005D7F96">
      <w:pPr>
        <w:pStyle w:val="a3"/>
      </w:pPr>
      <w:r>
        <w:t>Трансграничные территории Российской Федерации и Монголии, включающие пограничные территории Забайкальского края, Республики Тыва, Республики Бурятия [1], образуют единую эколого-географическую зону возникновения болезней сельскохозяйственных животных [2]. Возникновению и расширению ареалов распространения болезней способствуют не только интенсивная миграция населения и транзит грузопотока, но и факторы окружающей среды региона, благоприятные для резервации возбудителей в межэпизоотические периоды их существования. Животноводство, являясь основным направлением сельского хозяйства Монголии, занимает 82,5% в структуре ВВП, производимой сельским хозяйством страны [4]. Животноводство занимает важное положение в структуре сельского хозяйства Бурятии. Успешное развитие животноводства на трансграничной территории зависит от эпизоотологического благополучия каждой из сопредельных территорий, поскольку принадлежность приграничных территорий к одной природной системе обуславливает формирование сходных паразитарных систем.</w:t>
      </w:r>
    </w:p>
    <w:p w:rsidR="00E00283" w:rsidRDefault="005D7F96">
      <w:pPr>
        <w:pStyle w:val="a3"/>
      </w:pPr>
      <w:r>
        <w:t>В целях оценки эпизоотической ситуации на трансграничной территории Бурятии и Монголии, возникла необходимость определения особенностей эпизоотологии инфекционных болезней, определить интенсивность их проявления на каждой из сопредельных территорий в сравнительном аспекте.</w:t>
      </w:r>
    </w:p>
    <w:p w:rsidR="00E00283" w:rsidRDefault="005D7F96">
      <w:pPr>
        <w:pStyle w:val="a3"/>
      </w:pPr>
      <w:r>
        <w:t>Материалы и методы. Работа выполнялась в Центральной ветеринарной лаборатории г. Улан-Батор (Монголия), на кафедре микробиологии, вирусологии и ветсанэкспертизы ФГБОУ ВПО "Бурятская ГСХА им.В.Р.Филиппова". Были проанализированы и подвергнуты статистическим и линейно-графическим исследованиям данные, полученные в результате эпизоотологического мониторинга за течением эпизоотического процесса доминирующих инфекционных болезней сельскохозяйственных животных на изучаемой территории, данные отчетности Ветеринарного Управления Монголии. Индекс заболеваемости исчисляли на 10000 среднегодового поголовья. Летальность, удельный вес болезни в общей заболеваемости животных определяли по общепринятым методикам [3].</w:t>
      </w:r>
    </w:p>
    <w:p w:rsidR="00E00283" w:rsidRDefault="005D7F96">
      <w:pPr>
        <w:pStyle w:val="a3"/>
      </w:pPr>
      <w:r>
        <w:t>Результаты исследований. Из субъектов Российской Федерации пограничные территории с Монголией образуют Республика Бурятия, Забайкальский край, Республика Тыва. Кяхтинский, Джидин-ский, Тункинский, Закаменский районы Бурятии, Сэлэнгэ, Булган, Хуб-сугул, Дархан, Сухбаатар, Орхон, Хэнтий аймаки Монголии образуют трансграничную территорию Бурятии и Монголии с высокими показателями миграции населения, перемещения грузов и повышенного риска для возникновения и распространения инфекций.</w:t>
      </w:r>
    </w:p>
    <w:p w:rsidR="00E00283" w:rsidRDefault="005D7F96">
      <w:pPr>
        <w:pStyle w:val="a3"/>
      </w:pPr>
      <w:r>
        <w:t>Данные районы характеризуются относительно высоким уровнем сельскохозяйственного производства, в том числе с традиционной технологией животноводства в условиях лесостепных, степных и сухостепных зон и речных долин. Природно-хозяйственные факторы трансграничных территорий, климатические и географические особенности способствуют возникновению, распространению различных инфекционных болезней животных.</w:t>
      </w:r>
    </w:p>
    <w:p w:rsidR="00E00283" w:rsidRDefault="005D7F96">
      <w:pPr>
        <w:pStyle w:val="a3"/>
      </w:pPr>
      <w:r>
        <w:t>Единые закономерности организации и функционирования паразитарных систем обуславливают существование возбудителей некоторых инфекций в природной среде вне зависимости от государственных границ, поскольку возбудитель обладает гетерогенностью и множественностью факторов передачи в окружающей среде. Условия природной среды являются главным фактором сохранения паразитарных систем, что создает единую зону распространения инфекционных болезней на сопредельных территориях трансграничья. В то же время каждой из сопредельных территорий свойственны свои, природно-ресурсные, социально-экономические характеристики, сформировавшиеся под влиянием структур и типов ведения хозяйств, воздействия на природную среду антропогенных факторов, экологических норм и ограничений.</w:t>
      </w:r>
    </w:p>
    <w:p w:rsidR="00E00283" w:rsidRDefault="005D7F96">
      <w:pPr>
        <w:pStyle w:val="a3"/>
      </w:pPr>
      <w:r>
        <w:t>В Бурятии в 2010 году было зарегистрировано пять пунктов бруцеллеза и восемь пунктов лейкоза крупного рогатого скота, четыре пункта инфекционной анемии лошадей. В 2009-2010 гг. в Джидинс-ком районе приграничья было выявлено 144 головы крупного рогатого скота, положительно реагирующего на бруцеллез.</w:t>
      </w:r>
    </w:p>
    <w:p w:rsidR="00E00283" w:rsidRDefault="005D7F96">
      <w:pPr>
        <w:pStyle w:val="a3"/>
      </w:pPr>
      <w:r>
        <w:t>В Кяхтинском приграничном районе бруцеллез крупного рогатого скота проявлялся в течение 2005-2010 гг. в виде положительных реакций при серологических исследованиях в РСК, РА. При этом было выявлено в 2005 году 42 гол, в 2006 году - 42, в 2007 году - 32 гол, в 2008 году - 48, в 2009 году - 118 гол, в 2010 году - 10 животных с положительной реакцией на бруцеллез. В 1 случае от абортированного плода в с. Холой была выделена культура B. abortus.</w:t>
      </w:r>
    </w:p>
    <w:p w:rsidR="00E00283" w:rsidRDefault="005D7F96">
      <w:pPr>
        <w:pStyle w:val="a3"/>
      </w:pPr>
      <w:r>
        <w:t>В 2011 году были выявлены два очага заболевания бешенством диких и домашних плотоядных и сельскохозяйственных животных в долине реки Джиды, в приграничном с Монголией За-каменском районе Бурятии, в 25 км севернее границы. Диагноз на бешенство был подтвержден при исследовании в республиканской научно-производственной ветеринарной лаборатории патматериала от одной лисицы и двух коров. Положительные результаты были получены при параллельном исследовании в Иркутском научно-исследовательском противочумном институте Сибири и Дальнего Востока, в Байкальской региональной ветеринарной лаборатории (г. Иркутск), в Федеральном Центре охраны здоровья животных в г. Владимир. В республиканской ветеринарной лаборатории на бешенство всего было исследовано 32 пробы, в 15 случаях (46,9%) были получены положительные результаты. Возбудитель был обнаружен у семи лисиц, одного барсука, одного волка, что составило 60,0% от всех положительных результатов. Также положительные результаты были получены в 6 из 16 проб от домашних животных, в том числе от двух собак. Основная роль в распространении инфекции принадлежала лисице. Передаче возбудителя и распространению инфекции среди домашних животных послужила собака. В 2012 году отмечалось распространение инфекции с аналогичными признаками течения эпизоотического процесса на территории приграничного Джидинского района. Участие разных видов диких плотоядных (лисица, волк, барсук), превалирующий их удельный вес в развитии эпизоотического процесса, первичное обнаружение возбудителя в патматериале от лисицы, свидетельствуют о формировании природного очага инфекции. В настоящее время сохраняется опасность расширения очага и роста напряженности эпизоотической ситуации по бешенству.</w:t>
      </w:r>
    </w:p>
    <w:p w:rsidR="00E00283" w:rsidRDefault="005D7F96">
      <w:pPr>
        <w:pStyle w:val="a3"/>
      </w:pPr>
      <w:r>
        <w:t>Не исключается угроза возникновения на территории республики сибирской язвы, лептоспироза, листериоза, ящура, туберкулеза, мыта лошадей.</w:t>
      </w:r>
    </w:p>
    <w:p w:rsidR="00E00283" w:rsidRDefault="005D7F96">
      <w:pPr>
        <w:pStyle w:val="a3"/>
      </w:pPr>
      <w:r>
        <w:t>Животноводство в Монголии является основной отраслью сельскохозяйственного производства, развитие его во многом зависит от возникновения и проявления инфекционных болезней среди животных. За последние 10 лет в Монголии сохранялась напряженная эпизоотическая обстановка и регистрировалось от 13 до 23 нозологических форм инфекционной патологии животных (таблица 1).</w:t>
      </w:r>
    </w:p>
    <w:p w:rsidR="00E00283" w:rsidRDefault="005D7F96">
      <w:pPr>
        <w:pStyle w:val="a3"/>
      </w:pPr>
      <w:r>
        <w:t>Таблица 1. Эпизоотологические показатели инфекционных болезней в Монголии</w:t>
      </w:r>
    </w:p>
    <w:p w:rsidR="00E00283" w:rsidRDefault="005D7F96">
      <w:pPr>
        <w:pStyle w:val="a3"/>
      </w:pPr>
      <w: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
        <w:gridCol w:w="48"/>
        <w:gridCol w:w="48"/>
        <w:gridCol w:w="48"/>
        <w:gridCol w:w="48"/>
        <w:gridCol w:w="48"/>
        <w:gridCol w:w="48"/>
        <w:gridCol w:w="48"/>
        <w:gridCol w:w="48"/>
        <w:gridCol w:w="48"/>
        <w:gridCol w:w="480"/>
      </w:tblGrid>
      <w:tr w:rsidR="00E0028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00283" w:rsidRDefault="005D7F96">
            <w:r>
              <w:t>Показатель</w:t>
            </w:r>
          </w:p>
        </w:tc>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E00283" w:rsidRDefault="005D7F96">
            <w:r>
              <w:t>Год</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00283" w:rsidRDefault="005D7F96">
            <w:r>
              <w:t>Всего за 10 лет</w:t>
            </w:r>
          </w:p>
        </w:tc>
      </w:tr>
      <w:tr w:rsidR="00E0028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00283" w:rsidRDefault="00E00283"/>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2003</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2004</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2005</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2006</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2007</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2008</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2009</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2010</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2011</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2012</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0283" w:rsidRDefault="00E00283"/>
        </w:tc>
      </w:tr>
      <w:tr w:rsidR="00E0028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Количество нозологических форм</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 </w:t>
            </w:r>
          </w:p>
        </w:tc>
      </w:tr>
      <w:tr w:rsidR="00E0028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Количество неблагополучных пунктов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2142</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2652</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2527</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1678</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2209</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10950</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2065</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1459</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2269</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1213</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29164</w:t>
            </w:r>
          </w:p>
        </w:tc>
      </w:tr>
      <w:tr w:rsidR="00E0028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Заболело животных, гол</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22089</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27205</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23941</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34444</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50078</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374152</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42367</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22445</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86263</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11158</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94142</w:t>
            </w:r>
          </w:p>
        </w:tc>
      </w:tr>
      <w:tr w:rsidR="00E0028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Коэффициент очаговости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10,31</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10,26</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9,47</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20,53</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22,67</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34,17</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20,52</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15,38</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38,02</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9,2</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 </w:t>
            </w:r>
          </w:p>
        </w:tc>
      </w:tr>
    </w:tbl>
    <w:p w:rsidR="00E00283" w:rsidRDefault="005D7F96">
      <w:r>
        <w:t xml:space="preserve">  </w:t>
      </w:r>
    </w:p>
    <w:p w:rsidR="00E00283" w:rsidRPr="005D7F96" w:rsidRDefault="005D7F96">
      <w:pPr>
        <w:pStyle w:val="a3"/>
      </w:pPr>
      <w:r>
        <w:t>Наибольшее количество неблагополучных пунктов было выявлено в 2008 году: в 10950 пунктах заболело 374152 животных, коэффициент очаговости составил 34,17. Всего за десять лет инфекционная патология отмечалсь у 694142 животных в 29164 пунктах. Широкий спектр (20 нозоформ) инфекций зарегистрирован в 2012 году, при этом, отмечались наименьшие показатели числа неблагополучных пунктов и количества заболевших животных.</w:t>
      </w:r>
    </w:p>
    <w:p w:rsidR="00E00283" w:rsidRDefault="005D7F96">
      <w:pPr>
        <w:pStyle w:val="a3"/>
      </w:pPr>
      <w:r>
        <w:t>Проведенный нами эпизоотологический мониторинг показал, что в Монголии инфекционные заболевания регистрируются в виде спорадических вспышек, иногда в виде эпизоотий проявляются сибирская язва, листериоз, сальмонеллёз, колибактериоз, бешенство, пастереллез, мыт лошадей, контагиозная эктима овец и коз (таблица 2).</w:t>
      </w:r>
    </w:p>
    <w:p w:rsidR="00E00283" w:rsidRDefault="005D7F96">
      <w:pPr>
        <w:pStyle w:val="a3"/>
      </w:pPr>
      <w:r>
        <w:t>Таблица 2. Нозологический профиль инфекционных болезней животных за 2003-2012 годы</w:t>
      </w:r>
    </w:p>
    <w:p w:rsidR="00E00283" w:rsidRDefault="005D7F96">
      <w:pPr>
        <w:pStyle w:val="a3"/>
      </w:pPr>
      <w:r>
        <w:t>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240"/>
        <w:gridCol w:w="240"/>
        <w:gridCol w:w="160"/>
        <w:gridCol w:w="480"/>
        <w:gridCol w:w="480"/>
        <w:gridCol w:w="480"/>
        <w:gridCol w:w="480"/>
      </w:tblGrid>
      <w:tr w:rsidR="00E0028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00283" w:rsidRDefault="005D7F96">
            <w:r>
              <w:t>Показатель</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E00283" w:rsidRDefault="005D7F96">
            <w:r>
              <w:t>Всего, за 10 лет</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E00283" w:rsidRDefault="005D7F96">
            <w:r>
              <w:t>Средние показатели за 10 лет, M±m</w:t>
            </w:r>
          </w:p>
        </w:tc>
      </w:tr>
      <w:tr w:rsidR="00E0028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00283" w:rsidRDefault="00E00283"/>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00283" w:rsidRDefault="005D7F96">
            <w:r>
              <w:t>Количество животных, всего, гол</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00283" w:rsidRDefault="005D7F96">
            <w:r>
              <w:t>Количество неблагополучных пунктов, всего</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00283" w:rsidRDefault="005D7F96">
            <w:r>
              <w:t>Заболеваемость на 10 000 поголовья животных,</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E00283" w:rsidRDefault="005D7F96">
            <w:r>
              <w:t>Летальность,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00283" w:rsidRDefault="005D7F96">
            <w:r>
              <w:t>Удельный вес (в %) в инфекционной патологии по количеству</w:t>
            </w:r>
          </w:p>
        </w:tc>
      </w:tr>
      <w:tr w:rsidR="00E0028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00283" w:rsidRDefault="00E00283"/>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Заболело</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Пало</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E00283" w:rsidRDefault="00E00283"/>
        </w:tc>
        <w:tc>
          <w:tcPr>
            <w:tcW w:w="0" w:type="auto"/>
            <w:vMerge/>
            <w:tcBorders>
              <w:top w:val="outset" w:sz="6" w:space="0" w:color="auto"/>
              <w:left w:val="outset" w:sz="6" w:space="0" w:color="auto"/>
              <w:bottom w:val="outset" w:sz="6" w:space="0" w:color="auto"/>
              <w:right w:val="outset" w:sz="6" w:space="0" w:color="auto"/>
            </w:tcBorders>
            <w:vAlign w:val="center"/>
            <w:hideMark/>
          </w:tcPr>
          <w:p w:rsidR="00E00283" w:rsidRDefault="00E00283"/>
        </w:tc>
        <w:tc>
          <w:tcPr>
            <w:tcW w:w="0" w:type="auto"/>
            <w:vMerge/>
            <w:tcBorders>
              <w:top w:val="outset" w:sz="6" w:space="0" w:color="auto"/>
              <w:left w:val="outset" w:sz="6" w:space="0" w:color="auto"/>
              <w:bottom w:val="outset" w:sz="6" w:space="0" w:color="auto"/>
              <w:right w:val="outset" w:sz="6" w:space="0" w:color="auto"/>
            </w:tcBorders>
            <w:vAlign w:val="center"/>
            <w:hideMark/>
          </w:tcPr>
          <w:p w:rsidR="00E00283" w:rsidRDefault="00E00283"/>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неблагополучных пунктов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заболевших животных</w:t>
            </w:r>
          </w:p>
        </w:tc>
      </w:tr>
      <w:tr w:rsidR="00E0028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Сибирская язва</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955</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766</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337</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0,027±0,007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19,51±4,26</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1,5±0,27</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0,32±014</w:t>
            </w:r>
          </w:p>
        </w:tc>
      </w:tr>
      <w:tr w:rsidR="00E0028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Бешенство</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1209</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707</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0,04±0,02</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4,04±1,51</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5,04±1,9</w:t>
            </w:r>
          </w:p>
        </w:tc>
      </w:tr>
      <w:tr w:rsidR="00E0028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Листериоз</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2709</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1134</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583</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0,09±0,03</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43,06±6,8</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2,73±0,88</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1,01±0,35</w:t>
            </w:r>
          </w:p>
        </w:tc>
      </w:tr>
      <w:tr w:rsidR="00E0028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Пастереллез</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15869</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5235</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1774</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0,57±0,12</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35,8±2,77</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7,98±1,0</w:t>
            </w:r>
          </w:p>
        </w:tc>
      </w:tr>
      <w:tr w:rsidR="00E0028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Сальмонеллез</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7073</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1573</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387</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0,22±0,07</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30,99±5,69</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1,77±0,42</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1,82±0,57</w:t>
            </w:r>
          </w:p>
        </w:tc>
      </w:tr>
      <w:tr w:rsidR="00E0028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Энтеробактериоз</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1286</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865</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128</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0,04±0,02</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52,22±10,4</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20,41±7,92</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0,63±0,22</w:t>
            </w:r>
          </w:p>
        </w:tc>
      </w:tr>
      <w:tr w:rsidR="00E0028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Колибактериоз</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4464</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767</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222</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0,22±0,05</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23,6±6,42</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0,94±0,21</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1,28±0,41</w:t>
            </w:r>
          </w:p>
        </w:tc>
      </w:tr>
      <w:tr w:rsidR="00E0028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Контагиозная эктима овец и коз</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146573</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4174</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6929</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4,65±0,67</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3,08±0,45</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28,88±3,41</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39,49±7,588</w:t>
            </w:r>
          </w:p>
        </w:tc>
      </w:tr>
      <w:tr w:rsidR="00E0028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Инфекционная агалактия овец и коз</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46241</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2504</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1876</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1,6±0,348</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3,79±1,264</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8,59±1,347</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11,69±3,628</w:t>
            </w:r>
          </w:p>
        </w:tc>
      </w:tr>
      <w:tr w:rsidR="00E00283">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Мыт лошадей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20254</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513</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3075</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9,55±1,688</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2,73±0,32</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13,67±1,785</w:t>
            </w:r>
          </w:p>
        </w:tc>
        <w:tc>
          <w:tcPr>
            <w:tcW w:w="0" w:type="auto"/>
            <w:tcBorders>
              <w:top w:val="outset" w:sz="6" w:space="0" w:color="auto"/>
              <w:left w:val="outset" w:sz="6" w:space="0" w:color="auto"/>
              <w:bottom w:val="outset" w:sz="6" w:space="0" w:color="auto"/>
              <w:right w:val="outset" w:sz="6" w:space="0" w:color="auto"/>
            </w:tcBorders>
            <w:vAlign w:val="center"/>
            <w:hideMark/>
          </w:tcPr>
          <w:p w:rsidR="00E00283" w:rsidRDefault="005D7F96">
            <w:r>
              <w:t>5,25±1,21</w:t>
            </w:r>
          </w:p>
        </w:tc>
      </w:tr>
    </w:tbl>
    <w:p w:rsidR="00E00283" w:rsidRDefault="005D7F96">
      <w:r>
        <w:t xml:space="preserve">  </w:t>
      </w:r>
    </w:p>
    <w:p w:rsidR="00E00283" w:rsidRPr="005D7F96" w:rsidRDefault="005D7F96">
      <w:pPr>
        <w:pStyle w:val="a3"/>
      </w:pPr>
      <w:r>
        <w:t>В таблице приведены показатели проявления инфекционных болезней, регистрирующихся ежегодно в течение последних 10 лет на территории Монголии. Весомое значение в структуре заболеваний и нозологическом профиле имеют: мыт лошадей, контагиозная эктима и инфекционная агалактия овец и коз, которые характеризуются широким распространением, высоким уровнем заболеваемости. Заболеваемость при данных инфекциях на 10000 поголовья составила 9,55±1,688; 4,65±0,67; 1,6±0,348 соответственно. За данный период контагиозная эктима овец и коз зарегистрирована в 6929 пунктах, мыт лошадей - в 3075 пунктах, что составило 28,88±3,41 и 13,67±1,785% от общего количества неблагополучных пунктов по инфекционным болезням животных, соответственно. Наиболее высокий удельный вес в структуре заболевания животных занимают контагиозная эктима — 39,49±7,588%, агалактия — 11,69±3,628%, пастереллез — 7,98±1,0%, мыт — 5,25±1,21%, бешенство — 5,04±1,9%. Бешенство в стране регистрируется ежегодно, за данный период в 707 (4,04±1,51% от общего количества) пунктах заболело 1209, заболеваемость составила 0,04±0,02.</w:t>
      </w:r>
    </w:p>
    <w:p w:rsidR="00E00283" w:rsidRDefault="005D7F96">
      <w:pPr>
        <w:pStyle w:val="a3"/>
      </w:pPr>
      <w:r>
        <w:t>Выводы. Идентичные природно-климатические условия, содержание одинаковых видов сельскохозяйственных животных на трансграничных территориях, возможность трансграничного переноса возбудителей способствуют сохранению аналогичного нозоареала на сопредельных территориях Монголии и Бурятии.</w:t>
      </w:r>
    </w:p>
    <w:p w:rsidR="00E00283" w:rsidRDefault="005D7F96">
      <w:pPr>
        <w:pStyle w:val="a3"/>
      </w:pPr>
      <w:r>
        <w:t>За последние 10 лет в Монголии сохранялась напряженная эпизоотическая обстановка и регистрировалось от 13 до 23 нозологических форм инфекционной патологии животных. Среди сельскохозяйственных животных ежегодно регистрируются: сибирская язва, листериоз, пастереллез, бешенство, мыт лошадей, сальмонеллез, ко-либактериоз, контагиозная эктима и инфекционная агалактия овец и коз.</w:t>
      </w:r>
    </w:p>
    <w:p w:rsidR="00E00283" w:rsidRDefault="005D7F96">
      <w:pPr>
        <w:pStyle w:val="a3"/>
      </w:pPr>
      <w:r>
        <w:t>Наибольший удельный вес в структуре инфекционной патологии контагиозная эктима — 39,49±7,588%, инфекционная ага-лактия овец и коз — 11,69±3,628%, пастереллез — 7,98±1,0%, мыт - 5,25±1,21%, бешенство — 5,04±1,9%. Заболеваемость при мыте лошадей, контагиозной эктиме и инфекционной агалактии овец и коз на 10000 поголовья составила 9,55±1,688; 4,65±0,67; 1,6±0,348 соответственно.</w:t>
      </w:r>
    </w:p>
    <w:p w:rsidR="00E00283" w:rsidRDefault="005D7F96">
      <w:pPr>
        <w:pStyle w:val="a3"/>
      </w:pPr>
      <w:r>
        <w:t>Список литературы</w:t>
      </w:r>
    </w:p>
    <w:p w:rsidR="00E00283" w:rsidRDefault="005D7F96">
      <w:pPr>
        <w:pStyle w:val="a3"/>
      </w:pPr>
      <w:r>
        <w:t>Приграничные и трансграничные территории Азиатской России и сопредельных стран: Проблемы и предпосылки устойчивого развития / Отв. ред. П.Я.Бакланов, А.К.Тулохонов. РАН, Сиб. отд., Байкальский институт природопользования [и др.]. - Новосибирск: Изд-во СО РАН, 2010. - 610 с.</w:t>
      </w:r>
    </w:p>
    <w:p w:rsidR="00E00283" w:rsidRDefault="005D7F96">
      <w:pPr>
        <w:pStyle w:val="a3"/>
      </w:pPr>
      <w:r>
        <w:t>Бадмаева О.Б., Цыдыпов В.Ц. Эколого-географические аспекты эпизоотологии и микробиологии инфекционных болезней на трансграничной территории Российской Федерации и Монголии. - Улан-Удэ, 2012. - 256 с.</w:t>
      </w:r>
    </w:p>
    <w:p w:rsidR="00E00283" w:rsidRDefault="005D7F96">
      <w:pPr>
        <w:pStyle w:val="a3"/>
      </w:pPr>
      <w:r>
        <w:t>Эпизоотология и инфекционные болезни / Под ред. А.А.Конопаткина. - М.: Колос, 1993. - С. 76-82.</w:t>
      </w:r>
    </w:p>
    <w:p w:rsidR="00E00283" w:rsidRDefault="005D7F96">
      <w:pPr>
        <w:pStyle w:val="a3"/>
      </w:pPr>
      <w:r>
        <w:t>Mongolian statistical yearbook, 2008. - Ulaanbaatar: National Statistical Office of Mongolia, 2009.</w:t>
      </w:r>
      <w:bookmarkStart w:id="0" w:name="_GoBack"/>
      <w:bookmarkEnd w:id="0"/>
    </w:p>
    <w:sectPr w:rsidR="00E0028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7F96"/>
    <w:rsid w:val="005D7F96"/>
    <w:rsid w:val="009C73BE"/>
    <w:rsid w:val="00E00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0AEB97-F814-4320-B0EC-4475C6E4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2025</Words>
  <Characters>11547</Characters>
  <Application>Microsoft Office Word</Application>
  <DocSecurity>0</DocSecurity>
  <Lines>96</Lines>
  <Paragraphs>27</Paragraphs>
  <ScaleCrop>false</ScaleCrop>
  <Company>diakov.net</Company>
  <LinksUpToDate>false</LinksUpToDate>
  <CharactersWithSpaces>13545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Эпизоотологические аспекты инфекционных болезней на трансграничной территории России (Бурятии) и Монголии</dc:title>
  <dc:subject/>
  <dc:creator>Irina</dc:creator>
  <cp:keywords/>
  <dc:description/>
  <cp:lastModifiedBy>Irina</cp:lastModifiedBy>
  <cp:revision>2</cp:revision>
  <dcterms:created xsi:type="dcterms:W3CDTF">2014-08-02T20:23:00Z</dcterms:created>
  <dcterms:modified xsi:type="dcterms:W3CDTF">2014-08-02T20:23:00Z</dcterms:modified>
</cp:coreProperties>
</file>