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565" w:rsidRDefault="001474D4">
      <w:pPr>
        <w:pStyle w:val="1"/>
        <w:jc w:val="center"/>
      </w:pPr>
      <w:r>
        <w:t>Царствование Императора Николая II в цифрах и фактах</w:t>
      </w:r>
    </w:p>
    <w:p w:rsidR="00975565" w:rsidRPr="001474D4" w:rsidRDefault="001474D4">
      <w:pPr>
        <w:pStyle w:val="a3"/>
      </w:pPr>
      <w:r>
        <w:t>Б. Л. Бразоль</w:t>
      </w:r>
    </w:p>
    <w:p w:rsidR="00975565" w:rsidRDefault="001474D4">
      <w:pPr>
        <w:pStyle w:val="a3"/>
      </w:pPr>
      <w:r>
        <w:t>Эта статья была написана к 40-летию трагической гибели Царской Семьи и впервые издана в 1958 г. отдельной брошюрой Исполнительным Бюро Общероссийского Монархического Фронта, в количестве 5.000 экземпляров по-русски и 3.000 по-английски.</w:t>
      </w:r>
    </w:p>
    <w:p w:rsidR="00975565" w:rsidRDefault="001474D4">
      <w:pPr>
        <w:pStyle w:val="a3"/>
      </w:pPr>
      <w:r>
        <w:t>Прошло более сорока лет со времени февральской революции 1917 года и гибели Императорской России, упорно, десятилетиями, подготовлявшейся её врагами, внутренними и внешними. Не было той лжи, не было той клеветы, не было того пасквиля, которыми бы ни обливали Царское правительство, а за одно с ним и русский народ. Миллионы долларов, фунтов стерлингов, германских марок, французских франков, да и русских рублей, было брошено иностранными банкирами, политическими проходимцами, революционными дельцами и бездельниками, всех толков и направленной на бешенную антирусскую пропаганду, на свержение русской Монархии и разорение русской государственности. (См. хвастливые заявления по этому поводу раввина Стефена Вайз и Георгия Кеннан, прославлявших банкира Якова Шифа за его финансирование революционной пропаганды среди русских военнопленных в Японии, в 1904-6 гг., The New York Times, 24 марта 1917 г. Смотри также всеподданнейший отчёт бывшего Министра Иностр. Дел. Гр. Ламсдорфа Государю Николаю II от 1906 г. по вопросу о роли Ротшильдов и вообще еврейства в финансировании революционной раскачки 1905 г. Boris Brasol, The World at the Cross-Roads, Small, Maynard &amp; Co. Boston, 1921.)</w:t>
      </w:r>
    </w:p>
    <w:p w:rsidR="00975565" w:rsidRDefault="001474D4">
      <w:pPr>
        <w:pStyle w:val="a3"/>
      </w:pPr>
      <w:r>
        <w:t>Особенно же усилилась травля России в царствование Государя-Мученика, гуманнейшего Николая II, которого в западно-европейской и американской печати не стыдились называть "кровавым" и "тираном". Русское правительство обвинялось в бездарности и обскурантизме, в умышленном поощрении безграмотности, в желании держать народ в нищете и невежестве.</w:t>
      </w:r>
    </w:p>
    <w:p w:rsidR="00975565" w:rsidRDefault="001474D4">
      <w:pPr>
        <w:pStyle w:val="a3"/>
      </w:pPr>
      <w:r>
        <w:t>Так называемое "общественное мнение" в странах демократического Запада искусственно возбуждалось продажными газетными борзописцами против Имперской идеи, так полно и разумно воплотившейся именно в России.</w:t>
      </w:r>
    </w:p>
    <w:p w:rsidR="00975565" w:rsidRDefault="001474D4">
      <w:pPr>
        <w:pStyle w:val="a3"/>
      </w:pPr>
      <w:r>
        <w:t>Этой систематической и зловредной пропагандой и объясняется тот факт, что, когда обескровленная мировой войной, преданная изменниками-генералами и "союзной" Англией, рухнула Императорская Россия, близорукие западные политиканы, во главе с Вильсоном и Ллойд Джоржем, встретили это трагическое событие с нескрываемым восторгом. Они, конечно, не в силах были уразуметь, что крушение исторической России неизбежно приведёт к нарушению всемирного равновесия, к торжеству красного Интернационала и к разложению их собственных демократических "империй".</w:t>
      </w:r>
    </w:p>
    <w:p w:rsidR="00975565" w:rsidRDefault="001474D4">
      <w:pPr>
        <w:pStyle w:val="a3"/>
      </w:pPr>
      <w:r>
        <w:t>Им, этим трубадурам беспозвоночной идеологии, было невдомёк, что они, подобно подмастерью Гётевского колдуна, разнуздывают такие разрушительные стихии, под напором которых они сами должны будут захлебнуться и бесславно погибнуть.</w:t>
      </w:r>
    </w:p>
    <w:p w:rsidR="00975565" w:rsidRDefault="001474D4">
      <w:pPr>
        <w:pStyle w:val="a3"/>
      </w:pPr>
      <w:r>
        <w:t>И ныне, когда всё человечество корчится в судорогах безвыходного кризиса, когда банкротство политической доктрины Вильсона "обеспечение миру торжества демократий" стало до ужаса очевидным, лидеры обезумевшего Запада продолжают лягать демократическим копытом затравленного их же усилиями геральдического льва -- некогда великую, державно-мудрую Царскую Россию.</w:t>
      </w:r>
    </w:p>
    <w:p w:rsidR="00975565" w:rsidRDefault="001474D4">
      <w:pPr>
        <w:pStyle w:val="a3"/>
      </w:pPr>
      <w:r>
        <w:t>Несмотря на мерзость Екатеринбургского злодеяния, западная пресса продолжает обливать грязью светлый лик замученного Государя Николая II и всё связанное с его славным царствованием. Едва ли нужно упоминать, что подобного рода клеветническая кампания входит в расчёт кремлёвских палачей и в значительной мере ими же субсидируется.</w:t>
      </w:r>
    </w:p>
    <w:p w:rsidR="00975565" w:rsidRDefault="001474D4">
      <w:pPr>
        <w:pStyle w:val="a3"/>
      </w:pPr>
      <w:r>
        <w:t>1. Демография и финансы.</w:t>
      </w:r>
    </w:p>
    <w:p w:rsidR="00975565" w:rsidRDefault="001474D4">
      <w:pPr>
        <w:pStyle w:val="a3"/>
      </w:pPr>
      <w:r>
        <w:t>Известный экономист Edmond Trey справедливо утверждал: "Если у больших европейских наций события между 1912 и 1950 годами будут протекать так же, как они развивались между 1900 и 1912 годами, то к середине настоящего века Россия станет выше всех в Европе, как в отношении политическом, так и в области финансово-экономической .</w:t>
      </w:r>
    </w:p>
    <w:p w:rsidR="00975565" w:rsidRDefault="001474D4">
      <w:pPr>
        <w:pStyle w:val="a3"/>
      </w:pPr>
      <w:r>
        <w:t>Вот несколько цифровых данных.</w:t>
      </w:r>
    </w:p>
    <w:p w:rsidR="00975565" w:rsidRDefault="001474D4">
      <w:pPr>
        <w:pStyle w:val="a3"/>
      </w:pPr>
      <w:r>
        <w:t>В 1894 году, в начале царствования Императора Николая II, в России насчитывалось 122 миллиона жителей. 20 лет спустя, накануне 1-ой Мировой войны, народонаселение её увеличилось на 60 миллионов; таким образом в Царской России народонаселение возрастало на 2.400.000 в год. Если бы не случилось революции в 1917 г., к 1959 году её население должно было бы достигнуть 275.000.000. Между тем, теперешнее население Советского Союза едва превышает 215.000.000, так что кровавый советский опыт обошёлся России не менее, чем в 60.000.000 человеческих жизней.</w:t>
      </w:r>
    </w:p>
    <w:p w:rsidR="00975565" w:rsidRDefault="001474D4">
      <w:pPr>
        <w:pStyle w:val="a3"/>
      </w:pPr>
      <w:r>
        <w:t>В отличие от современных демократий, Императорская Россия строила свою политику не только на бездефицитных бюджетах, но и на принципе значительного накопления золотого запаса. Несмотря на это, государственные доходы с 1.410.000.000 рублей в 1897 году, без малейшего увеличения налогового бремени неуклонно росли, тогда как расходы государства оставались более или менее на одном и том же уровне, что и видно из нижеприведенной таблицы (в миллионах золотых рублей):</w:t>
      </w:r>
    </w:p>
    <w:tbl>
      <w:tblPr>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gridCol w:w="480"/>
      </w:tblGrid>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1908</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1909</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1911</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1912</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Обыкновенные доходы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2.418</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2.526</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2.781</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2.952</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3.104</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Расходы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2.388</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2.451</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2.473</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2.536</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2.669</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Превышение доходов над расх.</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308</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416</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335</w:t>
            </w:r>
          </w:p>
        </w:tc>
      </w:tr>
    </w:tbl>
    <w:p w:rsidR="00975565" w:rsidRPr="001474D4" w:rsidRDefault="001474D4">
      <w:pPr>
        <w:pStyle w:val="a3"/>
      </w:pPr>
      <w:r>
        <w:t>За последние 10 лет до Первой Мировой войны превышение государственных доходов над расходами выразилось в сумме 2.400.000.000 рублей. Эта цифра представляется тем более внушительной, что в царствование Императора Николая II были понижены железнодорожные тарифы иотменены выкупные платежи за земли, отошедшие в 1861 году к крестьянам от их бывших помещиков, а в 1914 году, с началом войны, и все виды питейных налогов.</w:t>
      </w:r>
    </w:p>
    <w:p w:rsidR="00975565" w:rsidRDefault="001474D4">
      <w:pPr>
        <w:pStyle w:val="a3"/>
      </w:pPr>
      <w:r>
        <w:t>В царствование Императора Николая II, законом 1896 года, в России была введена золотая валюта, причём Государственному Банку было предоставлено выпускать 300.000.000 рублей кредитными билетами не обеспеченными золотым запасам. Но правительство не только никогда не воспользовалось этим правом, но, наоборот, обеспечило бумажное обращение, золотой наличностью более, чем на 100%, а именно: к концу июля 1914 года кредитных билетов было в обращении на сумму 1.633.000.000 рублей, тогда как золотой запас в России равнялся 1.604.000.000 рублей, а в заграничных банках 141.000.000 р.</w:t>
      </w:r>
    </w:p>
    <w:p w:rsidR="00975565" w:rsidRDefault="001474D4">
      <w:pPr>
        <w:pStyle w:val="a3"/>
      </w:pPr>
      <w:r>
        <w:t>Устойчивость денежного обращения была такова, что даже во время русско-японской войны, сопровождавшейся повсеместными революционными беспорядками внутри страны, размен кредитных билетов на золото не был приостановлен.</w:t>
      </w:r>
    </w:p>
    <w:p w:rsidR="00975565" w:rsidRDefault="001474D4">
      <w:pPr>
        <w:pStyle w:val="a3"/>
      </w:pPr>
      <w:r>
        <w:t>В России налоги, до первой мировой войны, были самыми низкими во всём свете:</w:t>
      </w:r>
    </w:p>
    <w:tbl>
      <w:tblPr>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tblGrid>
      <w:tr w:rsidR="00975565">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75565" w:rsidRDefault="001474D4">
            <w:r>
              <w:t>Налоги прямые (на 1 жителя) в рублях</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75565" w:rsidRDefault="001474D4">
            <w:r>
              <w:t>Налоги косвенные (на 1 жителя) в рублях</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Россия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3.11</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Россия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5.98</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Австрия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10.19</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Австрия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11.28</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Франция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12.25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Франция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10.00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Германия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12.97</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Германия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9.64</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Англия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26.75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Англия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15.86</w:t>
            </w:r>
          </w:p>
        </w:tc>
      </w:tr>
    </w:tbl>
    <w:p w:rsidR="00975565" w:rsidRPr="001474D4" w:rsidRDefault="001474D4">
      <w:pPr>
        <w:pStyle w:val="a3"/>
      </w:pPr>
      <w:r>
        <w:t>Иначе говоря, бремя прямых налогов в России было почти в четыре раза меньше, чем во Франции, более чем в 4 раза меньше, чем в Германии и в 8,5 раз меньше, чем в Англии. Бремя же косвенных налогов в России было в среднем вдвое меньше, чем в Австрии, Франции, Германии и Англии.</w:t>
      </w:r>
    </w:p>
    <w:p w:rsidR="00975565" w:rsidRDefault="001474D4">
      <w:pPr>
        <w:pStyle w:val="a3"/>
      </w:pPr>
      <w:r>
        <w:t>Из таблицы, приведенной ниже, явствует, что общая сумма налогов на одного жителя в России была более, чем вдвое меньше, нежели в Австрии, Франции и Германии и более, чем в четыре раза меньше, чем в Англии.</w:t>
      </w:r>
    </w:p>
    <w:p w:rsidR="00975565" w:rsidRDefault="001474D4">
      <w:pPr>
        <w:pStyle w:val="a3"/>
      </w:pPr>
      <w:r>
        <w:t>Общая сумма налогов (на одного жителя в рублях; 1 золотой рубль равен 2,67 зол. франкам или 51 американскому зол. центу):</w:t>
      </w:r>
    </w:p>
    <w:p w:rsidR="00975565" w:rsidRDefault="001474D4">
      <w:pPr>
        <w:pStyle w:val="a3"/>
      </w:pPr>
      <w:r>
        <w:t>Россия -- 9,09</w:t>
      </w:r>
    </w:p>
    <w:p w:rsidR="00975565" w:rsidRDefault="001474D4">
      <w:pPr>
        <w:pStyle w:val="a3"/>
      </w:pPr>
      <w:r>
        <w:t>Австрия -- 21,47</w:t>
      </w:r>
    </w:p>
    <w:p w:rsidR="00975565" w:rsidRDefault="001474D4">
      <w:pPr>
        <w:pStyle w:val="a3"/>
      </w:pPr>
      <w:r>
        <w:t>Франция -- 22,25</w:t>
      </w:r>
    </w:p>
    <w:p w:rsidR="00975565" w:rsidRDefault="001474D4">
      <w:pPr>
        <w:pStyle w:val="a3"/>
      </w:pPr>
      <w:r>
        <w:t>Германия -- 22,26</w:t>
      </w:r>
    </w:p>
    <w:p w:rsidR="00975565" w:rsidRDefault="001474D4">
      <w:pPr>
        <w:pStyle w:val="a3"/>
      </w:pPr>
      <w:r>
        <w:t>Англия -- 42,61</w:t>
      </w:r>
    </w:p>
    <w:p w:rsidR="00975565" w:rsidRDefault="001474D4">
      <w:pPr>
        <w:pStyle w:val="a3"/>
      </w:pPr>
      <w:r>
        <w:t>2. Промышленность и экономика.</w:t>
      </w:r>
    </w:p>
    <w:p w:rsidR="00975565" w:rsidRDefault="001474D4">
      <w:pPr>
        <w:pStyle w:val="a3"/>
      </w:pPr>
      <w:r>
        <w:t>В период между 1890 и 1913 гг. русская промышленность учетверила свою производительность. Её доход не только почти сравнялся с поступлениями, получавшимися от земледелия, но товары покрывали почти 4/5 внутреннего спроса на мануфактурные изделия.</w:t>
      </w:r>
    </w:p>
    <w:p w:rsidR="00975565" w:rsidRDefault="001474D4">
      <w:pPr>
        <w:pStyle w:val="a3"/>
      </w:pPr>
      <w:r>
        <w:t>За последнее четырёхлетие до 1-ой Мировой войны количество вновь учреждавшихся акционерных обществ возросло на 132%, а вложенный в них капитал почти учетверился. Это видно из следующей таблицы.</w:t>
      </w:r>
    </w:p>
    <w:tbl>
      <w:tblPr>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tblGrid>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Число нов. акц. общ.</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Капитал в мил. руб.</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119,3</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1911</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166</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185,3</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1912</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202</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233,5</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240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403,1</w:t>
            </w:r>
          </w:p>
        </w:tc>
      </w:tr>
    </w:tbl>
    <w:p w:rsidR="00975565" w:rsidRPr="001474D4" w:rsidRDefault="001474D4">
      <w:pPr>
        <w:pStyle w:val="a3"/>
      </w:pPr>
      <w:r>
        <w:t>Прогрессивный рост благосостояния населения наглядно доказывается следующей таблицей вкладов в государственные сберегательные кассы:</w:t>
      </w:r>
    </w:p>
    <w:tbl>
      <w:tblPr>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tblGrid>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Количество открытых счетов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Вклады в рублях</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1.664.000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330.300.000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1.907.000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367.900.000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1896</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2.190.000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409.400.000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1897</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2.448.000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465.700.000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1898</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2.792.000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537.300.000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1899</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3.145.000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608.300.000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3.551.000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661.900.000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1901</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3.949.000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723.300.000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1902</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4.369.000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784.000.000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1903</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4.854.000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860.000.000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1904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5.127.000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910.600.000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1905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4.988.000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831.200.000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1906</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5.665.000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1.035.000.000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1907</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6.210.000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1.149.000.000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1908</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6.210.000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1.207.000.000</w:t>
            </w:r>
          </w:p>
        </w:tc>
      </w:tr>
    </w:tbl>
    <w:p w:rsidR="00975565" w:rsidRPr="001474D4" w:rsidRDefault="001474D4">
      <w:pPr>
        <w:pStyle w:val="a3"/>
      </w:pPr>
      <w:r>
        <w:t>Примечания:</w:t>
      </w:r>
    </w:p>
    <w:p w:rsidR="00975565" w:rsidRDefault="001474D4">
      <w:pPr>
        <w:pStyle w:val="a3"/>
      </w:pPr>
      <w:r>
        <w:t>Спад в 1905 г. – результат русско-японской войны и бунта.</w:t>
      </w:r>
    </w:p>
    <w:p w:rsidR="00975565" w:rsidRDefault="001474D4">
      <w:pPr>
        <w:pStyle w:val="a3"/>
      </w:pPr>
      <w:r>
        <w:t>Данные таблицы из"The Russia Year Book," 1911. Compiled and edited by Howard P. Kennard, Eyre and Spottiswood Ltd, London, 1912.</w:t>
      </w:r>
    </w:p>
    <w:p w:rsidR="00975565" w:rsidRDefault="001474D4">
      <w:pPr>
        <w:pStyle w:val="a3"/>
      </w:pPr>
      <w:r>
        <w:t>В 1914 году в Государственной Сберегательной Кассе было вкладов на 2.236.000.000 рублей.</w:t>
      </w:r>
    </w:p>
    <w:p w:rsidR="00975565" w:rsidRDefault="001474D4">
      <w:pPr>
        <w:pStyle w:val="a3"/>
      </w:pPr>
      <w:r>
        <w:t>Сумма вкладов и собственных капиталов в мелких кредитных учреждениях (на кооперативных началах) составляла в 1894 году около 70.000.000 рублей; в 1913 году -- около 620.000.000 рублей (увеличение на 800%), а к 1 января 1917 года -- 1.200.000.000 руб.</w:t>
      </w:r>
    </w:p>
    <w:p w:rsidR="00975565" w:rsidRDefault="001474D4">
      <w:pPr>
        <w:pStyle w:val="a3"/>
      </w:pPr>
      <w:r>
        <w:t>Очень показательной является и следующая таблица, указывающая на развитие экономической мощи России в царствование Государя Императора Николая II.</w:t>
      </w:r>
    </w:p>
    <w:tbl>
      <w:tblPr>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
        <w:gridCol w:w="160"/>
        <w:gridCol w:w="160"/>
        <w:gridCol w:w="160"/>
        <w:gridCol w:w="160"/>
        <w:gridCol w:w="160"/>
      </w:tblGrid>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Годы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Колич.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Годы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Колич.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 +</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Вклады в Акц. Комм. Банки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350 м.р.</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4300 м.р.</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1280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Выпуск русск. машин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1500 м.р.</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1916</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6500 м.р.</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410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Стр. сельскохозяйств. машин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1897</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9 м.р.</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67 м.р.</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659</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Средняя урож. с десятины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1901</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33 пуда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58 пудов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80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Средняя урож. хлебов:</w:t>
            </w:r>
          </w:p>
          <w:p w:rsidR="00975565" w:rsidRPr="001474D4" w:rsidRDefault="001474D4">
            <w:pPr>
              <w:pStyle w:val="a3"/>
            </w:pPr>
            <w:r w:rsidRPr="001474D4">
              <w:t>а. Европ. Россия</w:t>
            </w:r>
          </w:p>
          <w:p w:rsidR="00975565" w:rsidRPr="001474D4" w:rsidRDefault="001474D4">
            <w:pPr>
              <w:pStyle w:val="a3"/>
            </w:pPr>
            <w:r w:rsidRPr="001474D4">
              <w:t>б. всей России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1892</w:t>
            </w:r>
          </w:p>
          <w:p w:rsidR="00975565" w:rsidRPr="001474D4" w:rsidRDefault="001474D4">
            <w:pPr>
              <w:pStyle w:val="a3"/>
            </w:pPr>
            <w:r w:rsidRPr="001474D4">
              <w:t>1893</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2050 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1911</w:t>
            </w:r>
          </w:p>
          <w:p w:rsidR="00975565" w:rsidRPr="001474D4" w:rsidRDefault="001474D4">
            <w:pPr>
              <w:pStyle w:val="a3"/>
            </w:pPr>
            <w:r w:rsidRPr="001474D4">
              <w:t>1913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3657 м.п.</w:t>
            </w:r>
          </w:p>
          <w:p w:rsidR="00975565" w:rsidRPr="001474D4" w:rsidRDefault="001474D4">
            <w:pPr>
              <w:pStyle w:val="a3"/>
            </w:pPr>
            <w:r w:rsidRPr="001474D4">
              <w:t>4761 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78</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Скот, в милл. голов:</w:t>
            </w:r>
          </w:p>
          <w:p w:rsidR="00975565" w:rsidRPr="001474D4" w:rsidRDefault="001474D4">
            <w:pPr>
              <w:pStyle w:val="a3"/>
            </w:pPr>
            <w:r w:rsidRPr="001474D4">
              <w:t>а. Лошадей</w:t>
            </w:r>
          </w:p>
          <w:p w:rsidR="00975565" w:rsidRPr="001474D4" w:rsidRDefault="001474D4">
            <w:pPr>
              <w:pStyle w:val="a3"/>
            </w:pPr>
            <w:r w:rsidRPr="001474D4">
              <w:t>б. Рогатого скота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1895</w:t>
            </w:r>
          </w:p>
          <w:p w:rsidR="00975565" w:rsidRPr="001474D4" w:rsidRDefault="001474D4">
            <w:pPr>
              <w:pStyle w:val="a3"/>
            </w:pPr>
            <w:r w:rsidRPr="001474D4">
              <w:t>1895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26,6</w:t>
            </w:r>
          </w:p>
          <w:p w:rsidR="00975565" w:rsidRPr="001474D4" w:rsidRDefault="001474D4">
            <w:pPr>
              <w:pStyle w:val="a3"/>
            </w:pPr>
            <w:r w:rsidRPr="001474D4">
              <w:t>31,6</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1914</w:t>
            </w:r>
          </w:p>
          <w:p w:rsidR="00975565" w:rsidRPr="001474D4" w:rsidRDefault="001474D4">
            <w:pPr>
              <w:pStyle w:val="a3"/>
            </w:pPr>
            <w:r w:rsidRPr="001474D4">
              <w:t>1914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37,5</w:t>
            </w:r>
          </w:p>
          <w:p w:rsidR="00975565" w:rsidRPr="001474D4" w:rsidRDefault="001474D4">
            <w:pPr>
              <w:pStyle w:val="a3"/>
            </w:pPr>
            <w:r w:rsidRPr="001474D4">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37</w:t>
            </w:r>
          </w:p>
          <w:p w:rsidR="00975565" w:rsidRPr="001474D4" w:rsidRDefault="001474D4">
            <w:pPr>
              <w:pStyle w:val="a3"/>
            </w:pPr>
            <w:r w:rsidRPr="001474D4">
              <w:t>63</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Уголь – мил.пудов.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466</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1983</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300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Нефть – добыча, 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338</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560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65</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Соль – добыча, 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121</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42</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Сахар:</w:t>
            </w:r>
          </w:p>
          <w:p w:rsidR="00975565" w:rsidRPr="001474D4" w:rsidRDefault="001474D4">
            <w:pPr>
              <w:pStyle w:val="a3"/>
            </w:pPr>
            <w:r w:rsidRPr="001474D4">
              <w:t>Посев свеклы, тыс. десятин</w:t>
            </w:r>
          </w:p>
          <w:p w:rsidR="00975565" w:rsidRPr="001474D4" w:rsidRDefault="001474D4">
            <w:pPr>
              <w:pStyle w:val="a3"/>
            </w:pPr>
            <w:r w:rsidRPr="001474D4">
              <w:t>Выработка сахара, 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1894</w:t>
            </w:r>
          </w:p>
          <w:p w:rsidR="00975565" w:rsidRPr="001474D4" w:rsidRDefault="001474D4">
            <w:pPr>
              <w:pStyle w:val="a3"/>
            </w:pPr>
            <w:r w:rsidRPr="001474D4">
              <w:t>1894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289</w:t>
            </w:r>
          </w:p>
          <w:p w:rsidR="00975565" w:rsidRPr="001474D4" w:rsidRDefault="001474D4">
            <w:pPr>
              <w:pStyle w:val="a3"/>
            </w:pPr>
            <w:r w:rsidRPr="001474D4">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1914</w:t>
            </w:r>
          </w:p>
          <w:p w:rsidR="00975565" w:rsidRPr="001474D4" w:rsidRDefault="001474D4">
            <w:pPr>
              <w:pStyle w:val="a3"/>
            </w:pPr>
            <w:r w:rsidRPr="001474D4">
              <w:t>1914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729 т.д.</w:t>
            </w:r>
          </w:p>
          <w:p w:rsidR="00975565" w:rsidRPr="001474D4" w:rsidRDefault="001474D4">
            <w:pPr>
              <w:pStyle w:val="a3"/>
            </w:pPr>
            <w:r w:rsidRPr="001474D4">
              <w:t>104,5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150</w:t>
            </w:r>
          </w:p>
          <w:p w:rsidR="00975565" w:rsidRPr="001474D4" w:rsidRDefault="001474D4">
            <w:pPr>
              <w:pStyle w:val="a3"/>
            </w:pPr>
            <w:r w:rsidRPr="001474D4">
              <w:t>245</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Хлопок:</w:t>
            </w:r>
          </w:p>
          <w:p w:rsidR="00975565" w:rsidRPr="001474D4" w:rsidRDefault="001474D4">
            <w:pPr>
              <w:pStyle w:val="a3"/>
            </w:pPr>
            <w:r w:rsidRPr="001474D4">
              <w:t>площадь посева, т.д.</w:t>
            </w:r>
          </w:p>
          <w:p w:rsidR="00975565" w:rsidRPr="001474D4" w:rsidRDefault="001474D4">
            <w:pPr>
              <w:pStyle w:val="a3"/>
            </w:pPr>
            <w:r w:rsidRPr="001474D4">
              <w:t>сбор, 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1894</w:t>
            </w:r>
          </w:p>
          <w:p w:rsidR="00975565" w:rsidRPr="001474D4" w:rsidRDefault="001474D4">
            <w:pPr>
              <w:pStyle w:val="a3"/>
            </w:pPr>
            <w:r w:rsidRPr="001474D4">
              <w:t>1894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150</w:t>
            </w:r>
          </w:p>
          <w:p w:rsidR="00975565" w:rsidRPr="001474D4" w:rsidRDefault="001474D4">
            <w:pPr>
              <w:pStyle w:val="a3"/>
            </w:pPr>
            <w:r w:rsidRPr="001474D4">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1914</w:t>
            </w:r>
          </w:p>
          <w:p w:rsidR="00975565" w:rsidRPr="001474D4" w:rsidRDefault="001474D4">
            <w:pPr>
              <w:pStyle w:val="a3"/>
            </w:pPr>
            <w:r w:rsidRPr="001474D4">
              <w:t>1914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675</w:t>
            </w:r>
          </w:p>
          <w:p w:rsidR="00975565" w:rsidRPr="001474D4" w:rsidRDefault="001474D4">
            <w:pPr>
              <w:pStyle w:val="a3"/>
            </w:pPr>
            <w:r w:rsidRPr="001474D4">
              <w:t>15,6</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 </w:t>
            </w:r>
          </w:p>
          <w:p w:rsidR="00975565" w:rsidRPr="001474D4" w:rsidRDefault="001474D4">
            <w:pPr>
              <w:pStyle w:val="a3"/>
            </w:pPr>
            <w:r w:rsidRPr="001474D4">
              <w:t>350</w:t>
            </w:r>
          </w:p>
          <w:p w:rsidR="00975565" w:rsidRPr="001474D4" w:rsidRDefault="001474D4">
            <w:pPr>
              <w:pStyle w:val="a3"/>
            </w:pPr>
            <w:r w:rsidRPr="001474D4">
              <w:t>388</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Добыча золота, в пудах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2576</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3701</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43</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Добыча меди, т.п.</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395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1878</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375</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Добыча чугуна, 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73</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254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250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Выплавка железа, стали, 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229</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224</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Марганец, 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364</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Золотой фонд, 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648</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1604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146</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Торговый флот, тыс. тонн</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492</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778</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59</w:t>
            </w:r>
          </w:p>
        </w:tc>
      </w:tr>
      <w:tr w:rsidR="00975565">
        <w:trPr>
          <w:tblCellSpacing w:w="7"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975565" w:rsidRDefault="001474D4">
            <w:r>
              <w:t>Примечание: 1 пуд = 16 кг.</w:t>
            </w:r>
          </w:p>
        </w:tc>
      </w:tr>
    </w:tbl>
    <w:p w:rsidR="00975565" w:rsidRPr="001474D4" w:rsidRDefault="001474D4">
      <w:pPr>
        <w:pStyle w:val="a3"/>
      </w:pPr>
      <w:r>
        <w:t>3. Земледелие.</w:t>
      </w:r>
    </w:p>
    <w:p w:rsidR="00975565" w:rsidRDefault="001474D4">
      <w:pPr>
        <w:pStyle w:val="a3"/>
      </w:pPr>
      <w:r>
        <w:t>Накануне революции русское земледелие было в полном расцвете. В течение двух десятилетий, предшествовавших войне 1914-18 гг., сбор урожая хлебов удвоился. В 1913 г. в России урожай главных злаков был на 1/3 выше такового же Аргентины, Канады и Соед. Штатов вместе взятых. В частности, сбор ржи в 1894 году дал 2 миллиарда пудов, а в 1913 -- 4 миллиарда пудов.</w:t>
      </w:r>
    </w:p>
    <w:p w:rsidR="00975565" w:rsidRDefault="001474D4">
      <w:pPr>
        <w:pStyle w:val="a3"/>
      </w:pPr>
      <w:r>
        <w:t>В царствование Императора Николая II Россия была главной кормилицей Западной Европы. При этом обращает на себя особое внимание феноменальный рост вывоза земледельческих продуктов из России в Англию (зерна и муки, в миллионах фунтов; русский фунт -- 0,4 кг):</w:t>
      </w:r>
    </w:p>
    <w:p w:rsidR="00975565" w:rsidRDefault="001474D4">
      <w:pPr>
        <w:pStyle w:val="a3"/>
      </w:pPr>
      <w:r>
        <w:t>1908 г. -- 858.279.000</w:t>
      </w:r>
    </w:p>
    <w:p w:rsidR="00975565" w:rsidRDefault="001474D4">
      <w:pPr>
        <w:pStyle w:val="a3"/>
      </w:pPr>
      <w:r>
        <w:t>1909 г. -- 1.784.288.000</w:t>
      </w:r>
    </w:p>
    <w:p w:rsidR="00975565" w:rsidRDefault="001474D4">
      <w:pPr>
        <w:pStyle w:val="a3"/>
      </w:pPr>
      <w:r>
        <w:t>1910 г. -- 2.820.049.000</w:t>
      </w:r>
    </w:p>
    <w:p w:rsidR="00975565" w:rsidRDefault="001474D4">
      <w:pPr>
        <w:pStyle w:val="a3"/>
      </w:pPr>
      <w:r>
        <w:t>Россия поставляла 50% мирового ввоза яиц. В 1908 году из России их было вывезено 2.589.000.000 штук стоимостью в 54.850.000 р., а в 1909 г. -- 2.845.000.000 стоимостью в 62.212.000 р.</w:t>
      </w:r>
    </w:p>
    <w:p w:rsidR="00975565" w:rsidRDefault="001474D4">
      <w:pPr>
        <w:pStyle w:val="a3"/>
      </w:pPr>
      <w:r>
        <w:t>Рожь:</w:t>
      </w:r>
    </w:p>
    <w:p w:rsidR="00975565" w:rsidRDefault="001474D4">
      <w:pPr>
        <w:pStyle w:val="a3"/>
      </w:pPr>
      <w:r>
        <w:t>в 1894 г.: -- 2 миллиарда пудов,</w:t>
      </w:r>
    </w:p>
    <w:p w:rsidR="00975565" w:rsidRDefault="001474D4">
      <w:pPr>
        <w:pStyle w:val="a3"/>
      </w:pPr>
      <w:r>
        <w:t>в 1913 г.: -- 4 миллиарда пудов</w:t>
      </w:r>
    </w:p>
    <w:p w:rsidR="00975565" w:rsidRDefault="001474D4">
      <w:pPr>
        <w:pStyle w:val="a3"/>
      </w:pPr>
      <w:r>
        <w:t>Сахар -- в этот же период времени потребление сахара на каждого жителя повысилось с 4 до 9 кг. в год.</w:t>
      </w:r>
    </w:p>
    <w:p w:rsidR="00975565" w:rsidRDefault="001474D4">
      <w:pPr>
        <w:pStyle w:val="a3"/>
      </w:pPr>
      <w:r>
        <w:t>Чай -- потребление в 1890 г. -- 40 миллионов кг; в 1913 г. -- 75 миллионов кг.</w:t>
      </w:r>
    </w:p>
    <w:p w:rsidR="00975565" w:rsidRDefault="001474D4">
      <w:pPr>
        <w:pStyle w:val="a3"/>
      </w:pPr>
      <w:r>
        <w:t>Лён -- накануне 1-й Мировой войны Россия производила 80% мировой добычи льна.</w:t>
      </w:r>
    </w:p>
    <w:p w:rsidR="00975565" w:rsidRDefault="001474D4">
      <w:pPr>
        <w:pStyle w:val="a3"/>
      </w:pPr>
      <w:r>
        <w:t>Хлопок -- повышение на 388%. Благодаря большим работам по орошению в Туркестане, предпринятым ещё в царствование Императора Александра III, урожай хлопка в 1913 г. покрывал все годичные потребности русской текстильной промышленности. Последняя удвоила своё производство между 1894 и 1911 гг.</w:t>
      </w:r>
    </w:p>
    <w:p w:rsidR="00975565" w:rsidRDefault="001474D4">
      <w:pPr>
        <w:pStyle w:val="a3"/>
      </w:pPr>
      <w:r>
        <w:t>4. Железные дороги.</w:t>
      </w:r>
    </w:p>
    <w:p w:rsidR="00975565" w:rsidRDefault="001474D4">
      <w:pPr>
        <w:pStyle w:val="a3"/>
      </w:pPr>
      <w:r>
        <w:t>Сеть железных дорог в России покрывала 74.000 вёрст (одна верста равняется 1,067 км), из которых Великий Сибирский Путь (8.000 вёрст) был самым длинным в мире.</w:t>
      </w:r>
    </w:p>
    <w:p w:rsidR="00975565" w:rsidRDefault="001474D4">
      <w:pPr>
        <w:pStyle w:val="a3"/>
      </w:pPr>
      <w:r>
        <w:t>В 1916 г., т.е. в самый разгар войны, было построено более 2.000 вёрст железных дорог, которые соединили Северный Ледовитый Океан (порт Романовск) с центром России.</w:t>
      </w:r>
    </w:p>
    <w:p w:rsidR="00975565" w:rsidRDefault="001474D4">
      <w:pPr>
        <w:pStyle w:val="a3"/>
      </w:pPr>
      <w:r>
        <w:t>К 1917 г. в России находилось в эксплоатации 81.116 км. железной дороги и 15.000 км было в постройке. В Царской России в период с 1880 по 1917 гг., т.е. за 37 лет, было построено 58.251 км., что даёт средний годовой прирост в 1.575 км. За 38 лет советской власти, т.е. к концу 1956 г., было построено всего лишь 36.250 км., что даёт годовой прирост лишь в 955 км.</w:t>
      </w:r>
    </w:p>
    <w:p w:rsidR="00975565" w:rsidRDefault="001474D4">
      <w:pPr>
        <w:pStyle w:val="a3"/>
      </w:pPr>
      <w:r>
        <w:t>Постройка одного километра железной дороги в Царской России обходилась в 74.000 р., а при советской власти в 790.000 р., исходя из расчёта одинаковой покупной способности рубля.</w:t>
      </w:r>
    </w:p>
    <w:p w:rsidR="00975565" w:rsidRDefault="001474D4">
      <w:pPr>
        <w:pStyle w:val="a3"/>
      </w:pPr>
      <w:r>
        <w:t>Накануне войны 1914-18 гг. чистый доход государственных железных дорог покрывал 83% годичных процентов и амортизации государственного долга. Иными словами, выплачивание долгов, как внутренних, так и внешних, было обеспечено в пропорции более чем на 4/5 одними доходами, которые получало русское государство от эксплоатации своих железных дорог.</w:t>
      </w:r>
    </w:p>
    <w:p w:rsidR="00975565" w:rsidRDefault="001474D4">
      <w:pPr>
        <w:pStyle w:val="a3"/>
      </w:pPr>
      <w:r>
        <w:t>Надо добавить, что русские железные дороги, по сравнению с другими, для пассажиров были самыми дешёвыми и самыми комфортабельными в мире.</w:t>
      </w:r>
    </w:p>
    <w:p w:rsidR="00975565" w:rsidRDefault="001474D4">
      <w:pPr>
        <w:pStyle w:val="a3"/>
      </w:pPr>
      <w:r>
        <w:t>5. Рабочее законодательство.</w:t>
      </w:r>
    </w:p>
    <w:p w:rsidR="00975565" w:rsidRDefault="001474D4">
      <w:pPr>
        <w:pStyle w:val="a3"/>
      </w:pPr>
      <w:r>
        <w:t>Промышленное развитие в Российской Империи естественно сопровождалось значительным увеличением количества фабрично-заводских рабочих, экономическое благосостояние которых, равно как и охрана их жизни и здоровья, составляли предмет особых забот Императорского правительства.</w:t>
      </w:r>
    </w:p>
    <w:p w:rsidR="00975565" w:rsidRDefault="001474D4">
      <w:pPr>
        <w:pStyle w:val="a3"/>
      </w:pPr>
      <w:r>
        <w:t>Необходимо отметить, что именно в Императорской России, и при том в XVIII веке, в царствование Императрицы Екатерины II (1762-1796), в первый раз во всём мире, были изданы законы касательно условий труда: был запрещён труд женщин и детей, на заводах был установлен 10-часовой рабочий день и т.д.</w:t>
      </w:r>
    </w:p>
    <w:p w:rsidR="00975565" w:rsidRDefault="001474D4">
      <w:pPr>
        <w:pStyle w:val="a3"/>
      </w:pPr>
      <w:r>
        <w:t>Характерно, что кодекс Императрицы Екатерины, регулировавший детский и женский труд, отпечатанный на французском и латинском языках, был запрещён для обнародования во Франции и Англии, как "крамольный”.</w:t>
      </w:r>
    </w:p>
    <w:p w:rsidR="00975565" w:rsidRDefault="001474D4">
      <w:pPr>
        <w:pStyle w:val="a3"/>
      </w:pPr>
      <w:r>
        <w:t>В царствование Императора Николая II, до созыва 1-ой Государственной Думы, были изданы специальные законы для обеспечения безопасности рабочих в горно-заводской промышленности, на железных дорогах и в предприятиях, особо опасных для жизни и здоровья рабочих, как-то: на пороховых заводах, в Экспедиции по заготовлению государственных бумаг и т.п.</w:t>
      </w:r>
    </w:p>
    <w:p w:rsidR="00975565" w:rsidRDefault="001474D4">
      <w:pPr>
        <w:pStyle w:val="a3"/>
      </w:pPr>
      <w:r>
        <w:t>Детский труд до 12-летнего возраста был запрещён, а несовершеннолетние и лица женского пола не могли быть нанимаемы на фабричную работу между 9-ю часами вечера и 5-ю часами утра.</w:t>
      </w:r>
    </w:p>
    <w:p w:rsidR="00975565" w:rsidRDefault="001474D4">
      <w:pPr>
        <w:pStyle w:val="a3"/>
      </w:pPr>
      <w:r>
        <w:t>Размер штрафных вычетов не мог превышать одной трети заработной платы, причём каждый штраф должен был быть утверждаем фабричным инспектором. Штрафные деньги поступали в особый фонд, предназначенный для удовлетворения нужд самих рабочих.</w:t>
      </w:r>
    </w:p>
    <w:p w:rsidR="00975565" w:rsidRDefault="001474D4">
      <w:pPr>
        <w:pStyle w:val="a3"/>
      </w:pPr>
      <w:r>
        <w:t>В 1882 году специальный закон урегулировал работу детей от 12 до 15 лет. В 1903 году были введены рабочие старосты, избиравшиеся фабрично-заводскими рабочими соответствующих цехов. Существование рабочих союзов было признано законом в 1906 году. Но превосходство над теперешней марксистской системой заключалось, главным образом, в возможности рабочим защищать свои права оружием, называемым "классическим оружием рабочего класса”: в Царской России -- можно было прибегать к забастовкам, тогда как в Хрущёвской России забастовки невозможны, так же, как они были невозможны при Сталине и при Ленине.</w:t>
      </w:r>
    </w:p>
    <w:p w:rsidR="00975565" w:rsidRDefault="001474D4">
      <w:pPr>
        <w:pStyle w:val="a3"/>
      </w:pPr>
      <w:r>
        <w:t>На заводах, контролируемых Инспекцией Труда -- таковая существовала,-- было 68 забастовок в 1893 г., 118 -- в 1896 г., 145 -- в 1897 г., 189 -- 1899 г. и 125 -- в 1900 г. Что же касается социального страхования, таковое было установлено уже в 1912 г.</w:t>
      </w:r>
    </w:p>
    <w:p w:rsidR="00975565" w:rsidRDefault="001474D4">
      <w:pPr>
        <w:pStyle w:val="a3"/>
      </w:pPr>
      <w:r>
        <w:t>По тому времени Императорское социальное законодательство было несомненно самым прогрессивным в мире. Это заставило Тафта, тогдашнего Президента Соед. Штатов, за два года до 1-ой Мировой войны публично заявить, в присутствии нескольких русских высокопоставленных лиц: "Ваш Император создал такое совершенное рабочее законодательство, каким ни одно демократическое государство похвастаться не может".</w:t>
      </w:r>
    </w:p>
    <w:p w:rsidR="00975565" w:rsidRDefault="001474D4">
      <w:pPr>
        <w:pStyle w:val="a3"/>
      </w:pPr>
      <w:r>
        <w:t>6. Народное образование.</w:t>
      </w:r>
    </w:p>
    <w:p w:rsidR="00975565" w:rsidRDefault="001474D4">
      <w:pPr>
        <w:pStyle w:val="a3"/>
      </w:pPr>
      <w:r>
        <w:t>Одним из трафаретных клеветнических выпадов против правительства Императора Николая II, особенно в американской печати, является утверждение, что оно не только не заботилось о народном образовании, но сознательно поощряло безграмотность широких слоёв населения.</w:t>
      </w:r>
    </w:p>
    <w:p w:rsidR="00975565" w:rsidRDefault="001474D4">
      <w:pPr>
        <w:pStyle w:val="a3"/>
      </w:pPr>
      <w:r>
        <w:t>В действительности же, в царствование Императора Николая II народное образование достигло необыкновенного развития. Менее чем в 20 лет кредиты, ассигнованные Министерству Народного Просвещения, с 25,2 мил. рублей возрасли до 161,2 мил. Сюда не входили бюджеты школ, черпавших свои кредиты из других источников (школы военные, технические), или содержавшиеся местными органами самоуправления (земствами, городами), кредиты которых на народное образование возрасли с 70.000.000 р. в 1894 г. до 300.000.000 р. в 1913 г.</w:t>
      </w:r>
    </w:p>
    <w:p w:rsidR="00975565" w:rsidRDefault="001474D4">
      <w:pPr>
        <w:pStyle w:val="a3"/>
      </w:pPr>
      <w:r>
        <w:t>В начале 1913 г. общий бюджет народного просвещенияв России достиг по тому времени колоссальной цифры, а именно 1/2 миллиарда рублей золотом. Приводим цифры:</w:t>
      </w:r>
    </w:p>
    <w:tbl>
      <w:tblPr>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tblGrid>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 роста</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Бюджет Мин. Нар. Просв., м. р.</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25,2</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161,2</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628</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Pr="001474D4" w:rsidRDefault="001474D4">
            <w:pPr>
              <w:pStyle w:val="a3"/>
            </w:pPr>
            <w:r w:rsidRPr="001474D4">
              <w:t>Число учащихся в средних уч. завед., исключая</w:t>
            </w:r>
          </w:p>
          <w:p w:rsidR="00975565" w:rsidRPr="001474D4" w:rsidRDefault="001474D4">
            <w:pPr>
              <w:pStyle w:val="a3"/>
            </w:pPr>
            <w:r w:rsidRPr="001474D4">
              <w:t>частные и иноверческие (около1 милл.)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224.179</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733.367</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227</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В высших учебных заведениях</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13.944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39.027</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В низших учебных заведениях (кроме Ср. Азии)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3.275.362</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6.416.247</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96</w:t>
            </w:r>
          </w:p>
        </w:tc>
      </w:tr>
    </w:tbl>
    <w:p w:rsidR="00975565" w:rsidRPr="001474D4" w:rsidRDefault="001474D4">
      <w:pPr>
        <w:pStyle w:val="a3"/>
      </w:pPr>
      <w:r>
        <w:t>Первоначальное обучение было бесплатное по закону, а с 1908 г. оно сделалось обязательным. С этого года ежегодно открывалось около 10.000 школ. В 1913 г. число их превысило 130.000. Если бы не вспыхнула революция, то обязательное первоначальное обучение было бы уже давно совершившимся фактом на всей территории Царской России. Впрочем, Россия и так почти достигла этого результата. Анкета, произведенная советами в 1920 г. установила, что 86% молодёжи от 12 до 16 лет умели писать и читать. Несомненно, что они обучались грамоте при дореволюционном режиме.</w:t>
      </w:r>
    </w:p>
    <w:p w:rsidR="00975565" w:rsidRDefault="001474D4">
      <w:pPr>
        <w:pStyle w:val="a3"/>
      </w:pPr>
      <w:r>
        <w:t>По количеству женщин, обучавшихся в высших учебных заведениях, Россия занимала в ХХ веке первое место в Европе, если не во всём мире.</w:t>
      </w:r>
    </w:p>
    <w:p w:rsidR="00975565" w:rsidRDefault="001474D4">
      <w:pPr>
        <w:pStyle w:val="a3"/>
      </w:pPr>
      <w:r>
        <w:t>Следует также отметить, что в то время, как в демократиях, особенно в США и в Англии, плата за правоучение в высших учебных заведениях колеблется от 750 до 1.250 долл. в год, в Царской России студенты платили от 50 до 150 р. в год, т.е. от 25 до 75 долл. в год. При этом неимущие студенты очень часто освобождались от какой-либо платы за правоучение.</w:t>
      </w:r>
    </w:p>
    <w:p w:rsidR="00975565" w:rsidRDefault="001474D4">
      <w:pPr>
        <w:pStyle w:val="a3"/>
      </w:pPr>
      <w:r>
        <w:t>7. Земельный вопрос.</w:t>
      </w:r>
    </w:p>
    <w:p w:rsidR="00975565" w:rsidRDefault="001474D4">
      <w:pPr>
        <w:pStyle w:val="a3"/>
      </w:pPr>
      <w:r>
        <w:t>История русского крестьянства, со времени революции, была, и продолжает быть, Голгофой. Мы ограничимся воспроизведением нескольких строчек, написанных V. Francois de Romainville:</w:t>
      </w:r>
    </w:p>
    <w:p w:rsidR="00975565" w:rsidRDefault="001474D4">
      <w:pPr>
        <w:pStyle w:val="a3"/>
      </w:pPr>
      <w:r>
        <w:t>"Крестьяне ожесточённо сопротивляются коллективизации. Первым результатом последней было массовое уничтожение скота. Численность его упала с 270.200.000 голов в 1929 г. до 118.000.000 в 1933. Но что ещё страшнее, это количество человеческих жертв. Крестьян депортировали целыми семьями в арктические области, или в пустынные степи Азии. С 1928 до 1934 гг. погибло 5 миллионов крестьянских семей, иначе говоря, до 20 миллионов душ".</w:t>
      </w:r>
    </w:p>
    <w:p w:rsidR="00975565" w:rsidRDefault="001474D4">
      <w:pPr>
        <w:pStyle w:val="a3"/>
      </w:pPr>
      <w:r>
        <w:t>Аграрный вопрос, который продолжает быть главной заботой многих государств, однако же нашёл счастливое разрешение в царствовании Императора Николая II.</w:t>
      </w:r>
    </w:p>
    <w:p w:rsidR="00975565" w:rsidRDefault="001474D4">
      <w:pPr>
        <w:pStyle w:val="a3"/>
      </w:pPr>
      <w:r>
        <w:t>В 1861 г., после отмены крепостного права Императором Александром II, русские крестьяне получили, за небольшую плату, земли, добровольно уступленные помещиками, по большей части, дворянами. Однако крестьяне не делались индивидуальными собственниками этих земель, так как эти последние фактически принадлежали общинам (Communes des Villages), которые отдавали земельные участки в пользование членам общины. Проводя в жизнь подобного рода аграрную политику, законодатель придерживался древнего русского крестьянского обычая, управления миром, стремясь, таким путём, удерживать земледельцев от искушения продать свой надел. Действительно, если бы крестьянин обменил причитающуюся ему часть земли на деньги, то он очень скоро остался бы без всяких средств к существованию и без сомнения превратился бы в безземельного пролетария .</w:t>
      </w:r>
    </w:p>
    <w:p w:rsidR="00975565" w:rsidRDefault="001474D4">
      <w:pPr>
        <w:pStyle w:val="a3"/>
      </w:pPr>
      <w:r>
        <w:t>Но, несмотря на положительные стороны этой аграрной политики, в ней были и существенные недостатки. Крестьянин, не чувствуя себя полным хозяином земли и не будучи уверен, что тот же участок попадёт к нему и в следующий передел, относился к своей работе небрежно и терял чувство ответственности. Не имея собственности, которую надо было бы защищать, он так же небрежно относился и к чужой собственности.</w:t>
      </w:r>
    </w:p>
    <w:p w:rsidR="00975565" w:rsidRDefault="001474D4">
      <w:pPr>
        <w:pStyle w:val="a3"/>
      </w:pPr>
      <w:r>
        <w:t>Наконец, увеличение крестьянского народонаселения в Европейской России, уменьшало при каждом переделе площадь земельных участков. К концу XIX века в наиболее населённых губерниях недостаток земли начал серьёзно ощущаться. Революционеры широко использовали это положение, превратив этот вопрос чисто экономического характера в вопрос политический. Пользуясь недовольством крестьян, социалисты разных оттенков возбуждали крестьянские массы и толкали их на требование экспроприации частновладельческих земель. Ввиду создавшегося положения, которое прогрессивно обострялось, Председатель Совета Министров П. А. Столыпин, немедленно прибегнул к мерам чрезвычайной важности, которые, будучи доведены до конца, несомненно пресекли бы распространение марксистской пропаганды.</w:t>
      </w:r>
    </w:p>
    <w:p w:rsidR="00975565" w:rsidRDefault="001474D4">
      <w:pPr>
        <w:pStyle w:val="a3"/>
      </w:pPr>
      <w:r>
        <w:t>1. Столыпин решил широко использовать переселенческое движение крестьянских масс из Европейской России в Сибирь, начавшееся после окончания Великого Сибирского Пути.</w:t>
      </w:r>
    </w:p>
    <w:p w:rsidR="00975565" w:rsidRDefault="001474D4">
      <w:pPr>
        <w:pStyle w:val="a3"/>
      </w:pPr>
      <w:r>
        <w:t>Выразивший желание выехать из Европейской России, избавлялся на долгое время от всяких налогов. Государство помогало ему деньгами и он получал в полную собственность участок земли в 15 гектаров, т.е. около 37 акров на душу и 45 гектаров на семью. При этом каждой семье выдавалось пособие в 200 р., и она перевозилась со всем имуществом на казённый счёт до места поселения. [200 рублей -- не малая сумма, учитывая, что фунт хлеба стоил 1 копейку, сахар -- 7 копеек, мясо -- 12 копеек и т.д. П. Б.]</w:t>
      </w:r>
    </w:p>
    <w:p w:rsidR="00975565" w:rsidRDefault="001474D4">
      <w:pPr>
        <w:pStyle w:val="a3"/>
      </w:pPr>
      <w:r>
        <w:t>В Сибири были устроены казённые склады земледельческих машин, снабжавших население сельскохозяйственными орудиями по крайне низким ценам.</w:t>
      </w:r>
    </w:p>
    <w:p w:rsidR="00975565" w:rsidRDefault="001474D4">
      <w:pPr>
        <w:pStyle w:val="a3"/>
      </w:pPr>
      <w:r>
        <w:t>Эта мера имела огромный успех. В короткий срок Сибирское земледелие достигло своего расцвета, позволившего ввозить в Европейскую Россию и вывозить заграницу большое количество сельских продуктов, особенно масла и яиц.</w:t>
      </w:r>
    </w:p>
    <w:p w:rsidR="00975565" w:rsidRDefault="001474D4">
      <w:pPr>
        <w:pStyle w:val="a3"/>
      </w:pPr>
      <w:r>
        <w:t>2. Правительство Столыпина уполномочило Государственный Крестьянский Банк (созданный в царствование Императора Александра III) скупать помещичьи земли и перепродавать их крестьянам на исключительно льготных условиях. Предоставлялся долголетний кредит, доходивший до 90% стоимости земли при очень низком проценте (4,5%, включая погашение).</w:t>
      </w:r>
    </w:p>
    <w:p w:rsidR="00975565" w:rsidRDefault="001474D4">
      <w:pPr>
        <w:pStyle w:val="a3"/>
      </w:pPr>
      <w:r>
        <w:t>Результатом этой меры было то, что в 1914 г. более 80% пахотной земли в Европейской России оказалось в руках крестьян. К этому следует прибавить 40.000.000 десятин (около 100.000.000 акров), лично принадлежавших Императору Николаю II в Сибири, которые он, не колеблясь, передал в крестьянский земельный фонд. На личные же средства Государя в уступленных им областях, были проведены дороги, построены школы, церкви и больницы.</w:t>
      </w:r>
    </w:p>
    <w:p w:rsidR="00975565" w:rsidRDefault="001474D4">
      <w:pPr>
        <w:pStyle w:val="a3"/>
      </w:pPr>
      <w:r>
        <w:t>Государственный Крестьянский Земельный Банк, считавшийся, и совершенно справедливо, самым крупным в мире учреждением земельного кредита, выдавал крестьянам ссуды, каковых было разрешено 222 миллиона рублей в 1901 г., а в 1912 г. он выдал до 1.168.000.000 рублей, т.е., примерно, на 600% больше.</w:t>
      </w:r>
    </w:p>
    <w:p w:rsidR="00975565" w:rsidRDefault="001474D4">
      <w:pPr>
        <w:pStyle w:val="a3"/>
      </w:pPr>
      <w:r>
        <w:t>Ходячее мнение, издавна пущенное в оборот социалистами всех толков, будто крестьяне были "обездолены землёю”, ни на чём не основано. В действительности, Царское Правительство систематически стремилось увеличить площадь крестьянского землевладения, причём эта аграрная политика получила особенное развитие в царствование Императора Николая II. Этот факт с очевидностью подтверждается таблицей, приведенной ниже.</w:t>
      </w:r>
    </w:p>
    <w:tbl>
      <w:tblPr>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tblGrid>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1894</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1918</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Население (в миллионах)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122</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182</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Крестьянское землевладение (милл. десятин)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132</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240</w:t>
            </w:r>
          </w:p>
        </w:tc>
      </w:tr>
      <w:tr w:rsidR="009755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На одну дворянскую десятину -- крестьянских</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5565" w:rsidRDefault="001474D4">
            <w:r>
              <w:t>5,5</w:t>
            </w:r>
          </w:p>
        </w:tc>
      </w:tr>
    </w:tbl>
    <w:p w:rsidR="00975565" w:rsidRPr="001474D4" w:rsidRDefault="001474D4">
      <w:pPr>
        <w:pStyle w:val="a3"/>
      </w:pPr>
      <w:r>
        <w:t>К 1916 г. в руках крестьян и казаков в 50 губерниях Европейской России (кроме Кавказа и Царства Польского) было около 172.000.000 десятин собственной земли. Гражданам же всех других сословий принадлежало лишь около 85.000.000 десятин, из которых 18.000.000 десятин принадлежали мелким собственникам. обрабатывавшим землю личным трудом, без помощи наёмной силы. Большая часть остальных 67.000.000 десятин были или под лесом, или в аренде у крестьян.</w:t>
      </w:r>
    </w:p>
    <w:p w:rsidR="00975565" w:rsidRDefault="001474D4">
      <w:pPr>
        <w:pStyle w:val="a3"/>
      </w:pPr>
      <w:r>
        <w:t>Таким образом, накануне февральской революции крестьянам на началах собственности и аренды принадлежали: 100% пахотной земли в Азиатской России и около 90% всей площади Европейской России.</w:t>
      </w:r>
    </w:p>
    <w:p w:rsidR="00975565" w:rsidRDefault="001474D4">
      <w:pPr>
        <w:pStyle w:val="a3"/>
      </w:pPr>
      <w:r>
        <w:t>3. Изданный 9 ноября 1906 г., так называемый "Столыпинский закон”, позволял крестьянину выходить из общины и делаться индивидуальным и наследственным собственником земли, которую он обрабатывал.</w:t>
      </w:r>
    </w:p>
    <w:p w:rsidR="00975565" w:rsidRDefault="001474D4">
      <w:pPr>
        <w:pStyle w:val="a3"/>
      </w:pPr>
      <w:r>
        <w:t>Закон этот имел огромный успех. Тотчас же было подано 2,5 миллионов прошений о выходе на отруба от семейных крестьян в 463 срециальные комиссии, занятые проведением этой реформы.</w:t>
      </w:r>
    </w:p>
    <w:p w:rsidR="00975565" w:rsidRDefault="001474D4">
      <w:pPr>
        <w:pStyle w:val="a3"/>
      </w:pPr>
      <w:r>
        <w:t>В 1913 г. 2 миллиона семейств получили наделы. Для этой сложной работы была мобилизована целая армия (более 7.000 человек) геодезистов и землемеров.</w:t>
      </w:r>
    </w:p>
    <w:p w:rsidR="00975565" w:rsidRDefault="001474D4">
      <w:pPr>
        <w:pStyle w:val="a3"/>
      </w:pPr>
      <w:r>
        <w:t>За несколько месяцев до 1-ой Мировой войны 13% земель, принадлежащих общинам, перешли в индивидуальную собственность крестьян. Накануне революции Россия была готова превратиться в страну маленьких собственников, которые быстро обогащались.</w:t>
      </w:r>
    </w:p>
    <w:p w:rsidR="00975565" w:rsidRDefault="001474D4">
      <w:pPr>
        <w:pStyle w:val="a3"/>
      </w:pPr>
      <w:r>
        <w:t>Прав был бывший Министр Земледелия Кривошеин, заявив немецкому профессору Зеерингу, приехавшему в 1912 г. в Москву во главе комиссии, которой было поручено ознакомиться с результатами Столыпинской реформы: "России необходимы 30 лет спокойствия, чтобы сделаться наиболее богатой и процветающей страной во всём мире".</w:t>
      </w:r>
    </w:p>
    <w:p w:rsidR="00975565" w:rsidRDefault="001474D4">
      <w:pPr>
        <w:pStyle w:val="a3"/>
      </w:pPr>
      <w:r>
        <w:t>Заключение.</w:t>
      </w:r>
    </w:p>
    <w:p w:rsidR="00975565" w:rsidRDefault="001474D4">
      <w:pPr>
        <w:pStyle w:val="a3"/>
      </w:pPr>
      <w:r>
        <w:t>Таковы беспристрастные цифры и таковы неоспоримые факты. Ознакомившись с ними, каждый непредубеждённый читатель не может не прийти к заключению, что вопреки систематической клевете революционеров всех толков и заядлых русофобов -- "самостийников" и невежественных иностранцев, Россия в царствование Императора Николая II достигла высокой степени благосостояния, и это несмотря на неудачную для неё русско-японскую войну и революционные безобразия 1905 г. Более того, даже 1-я Мировая война, потребовавшая огромного напряжения народных сил и сопровождавшаяся колоссальными потерями в армии, не остановила поступательного развития экономической мощи Российского Государства. Мудрая и бережливая финансовая политика дала возможность скопить в Государственном Казначействе полуторамиллиардный золотой запас, который и обеспечил устойчивость рубля, как расчётной единицы, не только внутри Империи, но и на международном денежном рынке. А это, в свою очередь, позволило разместить заграницей многомиллионные заказы на предметы снабжения армии и в то же время явилось гигантским стимулом развития отечественной промышленности именно в трудные годы войны.</w:t>
      </w:r>
    </w:p>
    <w:p w:rsidR="00975565" w:rsidRDefault="001474D4">
      <w:pPr>
        <w:pStyle w:val="a3"/>
      </w:pPr>
      <w:r>
        <w:t>Теперь смешно говорить о каких-то "достижениях революции" и "завоеваниях октября". Отречение Государя Николая II от Прародительского Престола явилось величайшей трагедией в тысячелетней истории России. Но не он, Царь-Мученик, был виновен в этом несчастье, а те, кто обманом и изменой вырвали из рук Его власть. Вероломно составленный ими же, этими политическими проходимцами и клятвопреступниками, акт отречения, ознаменовавший начало "великой и бескровной", с фатальной неизбежностью завершился кровавой вакханалией октября, торжеством сатанинского Интернационала, развалом дотоле доблестной и грозной Русской Императорской Армии, позорным Брест-Литовским миром, беспримерным злодеянием Цареубийства, порабощением многомиллионного народа и гибелью величайшей в мире Российской Империи, самое существование которой было залогом всемирного политического равновесия.</w:t>
      </w:r>
      <w:bookmarkStart w:id="0" w:name="_GoBack"/>
      <w:bookmarkEnd w:id="0"/>
    </w:p>
    <w:sectPr w:rsidR="009755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4D4"/>
    <w:rsid w:val="001474D4"/>
    <w:rsid w:val="0092628C"/>
    <w:rsid w:val="00975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79A16B-74E3-465B-9D5B-08D78C9C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4098</Words>
  <Characters>23363</Characters>
  <Application>Microsoft Office Word</Application>
  <DocSecurity>0</DocSecurity>
  <Lines>194</Lines>
  <Paragraphs>54</Paragraphs>
  <ScaleCrop>false</ScaleCrop>
  <Company>diakov.net</Company>
  <LinksUpToDate>false</LinksUpToDate>
  <CharactersWithSpaces>27407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Царствование Императора Николая II в цифрах и фактах</dc:title>
  <dc:subject/>
  <dc:creator>Irina</dc:creator>
  <cp:keywords/>
  <dc:description/>
  <cp:lastModifiedBy>Irina</cp:lastModifiedBy>
  <cp:revision>2</cp:revision>
  <dcterms:created xsi:type="dcterms:W3CDTF">2014-07-19T03:07:00Z</dcterms:created>
  <dcterms:modified xsi:type="dcterms:W3CDTF">2014-07-19T03:07:00Z</dcterms:modified>
</cp:coreProperties>
</file>