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DF" w:rsidRDefault="003B15DF">
      <w:pPr>
        <w:pStyle w:val="a3"/>
      </w:pPr>
      <w:r>
        <w:t>Министерство юстиции Российской Федерации</w:t>
      </w:r>
    </w:p>
    <w:p w:rsidR="003B15DF" w:rsidRDefault="003B15DF">
      <w:pPr>
        <w:jc w:val="center"/>
        <w:rPr>
          <w:b/>
          <w:sz w:val="36"/>
        </w:rPr>
      </w:pPr>
    </w:p>
    <w:p w:rsidR="003B15DF" w:rsidRDefault="003B15DF">
      <w:pPr>
        <w:pStyle w:val="a4"/>
      </w:pPr>
      <w:r>
        <w:t>РОССИЙСКАЯ ПРАВОВАЯ АКАДЕМИЯ</w:t>
      </w:r>
    </w:p>
    <w:p w:rsidR="003B15DF" w:rsidRDefault="003B15DF">
      <w:pPr>
        <w:jc w:val="center"/>
        <w:rPr>
          <w:sz w:val="28"/>
        </w:rPr>
      </w:pPr>
      <w:r>
        <w:rPr>
          <w:sz w:val="28"/>
        </w:rPr>
        <w:t>(ПОВОЛЖСКИЙ ФИЛИАЛ)</w:t>
      </w: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jc w:val="center"/>
        <w:rPr>
          <w:sz w:val="28"/>
        </w:rPr>
      </w:pPr>
    </w:p>
    <w:p w:rsidR="003B15DF" w:rsidRDefault="003B15DF">
      <w:pPr>
        <w:pStyle w:val="1"/>
      </w:pPr>
      <w:r>
        <w:t>Контрольная работа по конституционному праву</w:t>
      </w:r>
    </w:p>
    <w:p w:rsidR="003B15DF" w:rsidRDefault="003B15DF">
      <w:pPr>
        <w:jc w:val="center"/>
        <w:rPr>
          <w:sz w:val="32"/>
        </w:rPr>
      </w:pPr>
    </w:p>
    <w:p w:rsidR="003B15DF" w:rsidRDefault="003B15DF">
      <w:pPr>
        <w:pStyle w:val="a5"/>
      </w:pPr>
      <w:r>
        <w:t>Тема «Избирательное право Российской Федерации»</w:t>
      </w: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center"/>
        <w:rPr>
          <w:sz w:val="32"/>
        </w:rPr>
      </w:pPr>
    </w:p>
    <w:p w:rsidR="003B15DF" w:rsidRDefault="003B15DF">
      <w:pPr>
        <w:jc w:val="right"/>
        <w:rPr>
          <w:sz w:val="28"/>
        </w:rPr>
      </w:pPr>
      <w:r>
        <w:rPr>
          <w:sz w:val="28"/>
        </w:rPr>
        <w:t>Выполнил:</w:t>
      </w:r>
    </w:p>
    <w:p w:rsidR="003B15DF" w:rsidRDefault="003B15DF">
      <w:pPr>
        <w:jc w:val="right"/>
        <w:rPr>
          <w:sz w:val="28"/>
        </w:rPr>
      </w:pPr>
      <w:r>
        <w:rPr>
          <w:sz w:val="28"/>
        </w:rPr>
        <w:t xml:space="preserve">Ибрагимов </w:t>
      </w:r>
    </w:p>
    <w:p w:rsidR="003B15DF" w:rsidRDefault="003B15DF">
      <w:pPr>
        <w:jc w:val="right"/>
        <w:rPr>
          <w:sz w:val="28"/>
        </w:rPr>
      </w:pPr>
      <w:r>
        <w:rPr>
          <w:sz w:val="28"/>
        </w:rPr>
        <w:t>Марат</w:t>
      </w:r>
    </w:p>
    <w:p w:rsidR="003B15DF" w:rsidRDefault="003B15DF">
      <w:pPr>
        <w:jc w:val="right"/>
        <w:rPr>
          <w:sz w:val="28"/>
        </w:rPr>
      </w:pPr>
      <w:r>
        <w:rPr>
          <w:sz w:val="28"/>
        </w:rPr>
        <w:t>Шамильевич</w:t>
      </w:r>
    </w:p>
    <w:p w:rsidR="003B15DF" w:rsidRDefault="003B15DF">
      <w:pPr>
        <w:jc w:val="right"/>
        <w:rPr>
          <w:sz w:val="28"/>
        </w:rPr>
      </w:pPr>
      <w:r>
        <w:rPr>
          <w:sz w:val="28"/>
        </w:rPr>
        <w:t>студент 2 курса 1 группы</w:t>
      </w:r>
    </w:p>
    <w:p w:rsidR="003B15DF" w:rsidRDefault="003B15DF">
      <w:pPr>
        <w:jc w:val="right"/>
        <w:rPr>
          <w:sz w:val="28"/>
        </w:rPr>
      </w:pPr>
    </w:p>
    <w:p w:rsidR="003B15DF" w:rsidRDefault="003B15DF">
      <w:pPr>
        <w:jc w:val="right"/>
        <w:rPr>
          <w:sz w:val="32"/>
        </w:rPr>
      </w:pPr>
    </w:p>
    <w:p w:rsidR="003B15DF" w:rsidRDefault="003B15DF">
      <w:pPr>
        <w:jc w:val="right"/>
        <w:rPr>
          <w:sz w:val="32"/>
        </w:rPr>
      </w:pPr>
    </w:p>
    <w:p w:rsidR="003B15DF" w:rsidRDefault="003B15DF">
      <w:pPr>
        <w:jc w:val="right"/>
        <w:rPr>
          <w:sz w:val="32"/>
        </w:rPr>
      </w:pPr>
    </w:p>
    <w:p w:rsidR="003B15DF" w:rsidRDefault="003B15DF">
      <w:pPr>
        <w:jc w:val="right"/>
        <w:rPr>
          <w:sz w:val="32"/>
        </w:rPr>
      </w:pPr>
    </w:p>
    <w:p w:rsidR="003B15DF" w:rsidRDefault="003B15DF">
      <w:pPr>
        <w:jc w:val="right"/>
        <w:rPr>
          <w:sz w:val="32"/>
        </w:rPr>
      </w:pPr>
    </w:p>
    <w:p w:rsidR="003B15DF" w:rsidRDefault="003B15DF">
      <w:pPr>
        <w:pStyle w:val="2"/>
      </w:pPr>
      <w:r>
        <w:t>САРАТОВ 1999</w:t>
      </w:r>
    </w:p>
    <w:p w:rsidR="003B15DF" w:rsidRDefault="003B15DF"/>
    <w:p w:rsidR="003B15DF" w:rsidRDefault="003B15DF"/>
    <w:p w:rsidR="003B15DF" w:rsidRDefault="003B15DF">
      <w:pPr>
        <w:pStyle w:val="2"/>
        <w:spacing w:line="480" w:lineRule="auto"/>
      </w:pPr>
      <w:r>
        <w:t>План</w:t>
      </w:r>
    </w:p>
    <w:p w:rsidR="003B15DF" w:rsidRDefault="003B15DF">
      <w:pPr>
        <w:spacing w:line="480" w:lineRule="auto"/>
        <w:jc w:val="both"/>
        <w:rPr>
          <w:sz w:val="32"/>
        </w:rPr>
      </w:pPr>
    </w:p>
    <w:p w:rsidR="003B15DF" w:rsidRDefault="003B15DF">
      <w:pPr>
        <w:numPr>
          <w:ilvl w:val="0"/>
          <w:numId w:val="1"/>
        </w:numPr>
        <w:spacing w:line="480" w:lineRule="auto"/>
        <w:jc w:val="both"/>
        <w:rPr>
          <w:sz w:val="32"/>
        </w:rPr>
      </w:pPr>
      <w:r>
        <w:rPr>
          <w:sz w:val="32"/>
        </w:rPr>
        <w:t>Понятие и сущность выборов, избирательной системы и избирательного права.</w:t>
      </w:r>
    </w:p>
    <w:p w:rsidR="003B15DF" w:rsidRDefault="003B15DF">
      <w:pPr>
        <w:numPr>
          <w:ilvl w:val="0"/>
          <w:numId w:val="1"/>
        </w:numPr>
        <w:spacing w:line="480" w:lineRule="auto"/>
        <w:jc w:val="both"/>
        <w:rPr>
          <w:sz w:val="32"/>
        </w:rPr>
      </w:pPr>
      <w:r>
        <w:rPr>
          <w:sz w:val="32"/>
        </w:rPr>
        <w:t>Конституционные принципы субъективного избирательного права.</w:t>
      </w:r>
    </w:p>
    <w:p w:rsidR="003B15DF" w:rsidRDefault="003B15DF">
      <w:pPr>
        <w:numPr>
          <w:ilvl w:val="0"/>
          <w:numId w:val="1"/>
        </w:numPr>
        <w:spacing w:line="480" w:lineRule="auto"/>
        <w:rPr>
          <w:sz w:val="32"/>
        </w:rPr>
      </w:pPr>
      <w:r>
        <w:rPr>
          <w:sz w:val="32"/>
        </w:rPr>
        <w:t>Избирательный процесс, его основные стадии.</w:t>
      </w:r>
    </w:p>
    <w:p w:rsidR="003B15DF" w:rsidRDefault="003B15DF">
      <w:pPr>
        <w:spacing w:line="480" w:lineRule="auto"/>
        <w:ind w:left="720"/>
        <w:jc w:val="both"/>
        <w:rPr>
          <w:sz w:val="32"/>
        </w:rPr>
      </w:pPr>
    </w:p>
    <w:p w:rsidR="003B15DF" w:rsidRDefault="003B15DF">
      <w:pPr>
        <w:spacing w:line="480" w:lineRule="auto"/>
        <w:jc w:val="both"/>
      </w:pPr>
    </w:p>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 w:rsidR="003B15DF" w:rsidRDefault="003B15DF">
      <w:pPr>
        <w:numPr>
          <w:ilvl w:val="0"/>
          <w:numId w:val="2"/>
        </w:numPr>
        <w:ind w:left="1208" w:hanging="357"/>
        <w:jc w:val="center"/>
        <w:rPr>
          <w:b/>
          <w:sz w:val="24"/>
        </w:rPr>
      </w:pPr>
      <w:r>
        <w:rPr>
          <w:b/>
          <w:sz w:val="24"/>
        </w:rPr>
        <w:t>Понятие и сущность выборов, избирательной системы и избирательного права.</w:t>
      </w:r>
    </w:p>
    <w:p w:rsidR="003B15DF" w:rsidRDefault="003B15DF">
      <w:pPr>
        <w:spacing w:before="60"/>
        <w:ind w:firstLine="320"/>
        <w:rPr>
          <w:snapToGrid w:val="0"/>
          <w:sz w:val="24"/>
        </w:rPr>
      </w:pPr>
    </w:p>
    <w:p w:rsidR="003B15DF" w:rsidRDefault="003B15DF">
      <w:pPr>
        <w:spacing w:before="60"/>
        <w:ind w:firstLine="320"/>
        <w:rPr>
          <w:snapToGrid w:val="0"/>
          <w:sz w:val="24"/>
        </w:rPr>
      </w:pPr>
    </w:p>
    <w:p w:rsidR="003B15DF" w:rsidRDefault="003B15DF">
      <w:pPr>
        <w:pStyle w:val="a6"/>
        <w:ind w:firstLine="851"/>
        <w:rPr>
          <w:sz w:val="24"/>
        </w:rPr>
      </w:pPr>
      <w:r>
        <w:rPr>
          <w:sz w:val="24"/>
        </w:rPr>
        <w:t>В истории современных государств выборам принадлежит значительная роль. Ныне практически ни одно государство не может обойтись без этого института демократии, тысячекратно оправдавшего себя в мировой политической истории. Выборы в зависимости от конкретного соотношения политических и классовых сил в государстве, политического режима, уровня политико-правовой культуры и состояния демократических традиций в обществе могут играть и роль орудия в борьбе за власть господствующего класса (или блока политических сил). Но во многих случаях этот институт есть выражение демократизма в государстве и обществе. Путем выборных процедур формируются представительные органы государственной власти и местного самоуправления, избира</w:t>
      </w:r>
      <w:r>
        <w:rPr>
          <w:sz w:val="24"/>
        </w:rPr>
        <w:softHyphen/>
        <w:t>ются должностные лица в государстве ц регионах.</w:t>
      </w:r>
    </w:p>
    <w:p w:rsidR="003B15DF" w:rsidRDefault="003B15DF">
      <w:pPr>
        <w:spacing w:line="360" w:lineRule="auto"/>
        <w:ind w:firstLine="851"/>
        <w:jc w:val="both"/>
        <w:rPr>
          <w:snapToGrid w:val="0"/>
          <w:sz w:val="24"/>
        </w:rPr>
      </w:pPr>
      <w:r>
        <w:rPr>
          <w:snapToGrid w:val="0"/>
          <w:sz w:val="24"/>
        </w:rPr>
        <w:t>Институту выборов как в советский период, так и в современный всегда придавалось исключительно важное политическое значение. В нынешних российских условиях, когда осуществляется переход к демократическому правовому государству, выборы выполняют и роль структурирования подлинно гражданского общества, ибо введение принципа состязательности в российскую избирательную практику позволяет более адекватно воплощаться различному общественному мнению в результатах выборов.</w:t>
      </w:r>
    </w:p>
    <w:p w:rsidR="003B15DF" w:rsidRDefault="003B15DF">
      <w:pPr>
        <w:spacing w:line="360" w:lineRule="auto"/>
        <w:ind w:firstLine="851"/>
        <w:jc w:val="both"/>
        <w:rPr>
          <w:snapToGrid w:val="0"/>
          <w:sz w:val="24"/>
        </w:rPr>
      </w:pPr>
      <w:r>
        <w:rPr>
          <w:snapToGrid w:val="0"/>
          <w:sz w:val="24"/>
        </w:rPr>
        <w:t xml:space="preserve">В преамбуле Закона от 6 декабря 1994г. № 56-ФЗ «Об основных гарантиях избирательных прав граждан РФ» говорится «Демократические свободные выборы в органы государственной власти и в выборные органы местного самоуправления Российской Федерации являются высшим непосредственным выражением принадлежащей народу власти. </w:t>
      </w:r>
    </w:p>
    <w:p w:rsidR="003B15DF" w:rsidRDefault="003B15DF">
      <w:pPr>
        <w:spacing w:line="360" w:lineRule="auto"/>
        <w:ind w:firstLine="851"/>
        <w:jc w:val="both"/>
        <w:rPr>
          <w:snapToGrid w:val="0"/>
          <w:sz w:val="24"/>
        </w:rPr>
      </w:pPr>
      <w:r>
        <w:rPr>
          <w:snapToGrid w:val="0"/>
          <w:sz w:val="24"/>
        </w:rPr>
        <w:t>Государство гарантирует свободные  волеизъявление  граждан  на выборах путем защиты демократических принципов и норм избирательного права». М.В. Баглай смотрит на выборы иначе: «Выборы- это своеобразный праздник всех людей, если они верят в демократию и стремятся обрести справедливое правление».</w:t>
      </w:r>
      <w:r>
        <w:rPr>
          <w:rStyle w:val="a8"/>
          <w:snapToGrid w:val="0"/>
          <w:sz w:val="24"/>
        </w:rPr>
        <w:footnoteReference w:id="1"/>
      </w:r>
    </w:p>
    <w:p w:rsidR="003B15DF" w:rsidRDefault="003B15DF">
      <w:pPr>
        <w:spacing w:line="360" w:lineRule="auto"/>
        <w:ind w:firstLine="851"/>
        <w:jc w:val="both"/>
        <w:rPr>
          <w:snapToGrid w:val="0"/>
          <w:sz w:val="24"/>
        </w:rPr>
      </w:pPr>
      <w:r>
        <w:rPr>
          <w:snapToGrid w:val="0"/>
          <w:sz w:val="24"/>
        </w:rPr>
        <w:t>Законом «Об основных гарантиях избирательных прав граждан РФ» в ст. 2 дается следующее определение выборам «выборы в Российской Федерации - выборы Президента РФ, депутатов Государственной Думы Федерального Собрания РФ, в иные федеральные государственные органы, предусмотренные Конституцией РФ и избираемые непосредственно гражданами РФ в соответствии с федеральными законами, выборы в органы государственной власти субъектов РФ, а также выборы в выборные органы местного самоуправления; действия граждан РФ, избирательных объединений, избирательных комиссий и органов государственной власти по составлению списков избирателей, выдвижению и регистрации кандидатов, проведению предвыборной агитации, голосованию и подведению его итогов и другие избирательные действия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РФ».</w:t>
      </w:r>
    </w:p>
    <w:p w:rsidR="003B15DF" w:rsidRDefault="003B15DF">
      <w:pPr>
        <w:spacing w:line="360" w:lineRule="auto"/>
        <w:ind w:firstLine="851"/>
        <w:jc w:val="both"/>
        <w:rPr>
          <w:sz w:val="24"/>
        </w:rPr>
      </w:pPr>
      <w:r>
        <w:rPr>
          <w:sz w:val="24"/>
        </w:rPr>
        <w:t>Понятие избирательной системы и избирательного права во многом совпадают, но не тождественны.</w:t>
      </w:r>
    </w:p>
    <w:p w:rsidR="003B15DF" w:rsidRDefault="003B15DF">
      <w:pPr>
        <w:spacing w:line="360" w:lineRule="auto"/>
        <w:ind w:firstLine="851"/>
        <w:jc w:val="both"/>
        <w:rPr>
          <w:sz w:val="24"/>
        </w:rPr>
      </w:pPr>
      <w:r>
        <w:rPr>
          <w:sz w:val="24"/>
        </w:rPr>
        <w:t>Понятие избирательной системы складывается из всей совокупности правовых норм, регулирующих порядок предоставления избирательных прав, проведения выборов, определения результатов голосования.</w:t>
      </w:r>
    </w:p>
    <w:p w:rsidR="003B15DF" w:rsidRDefault="003B15DF">
      <w:pPr>
        <w:spacing w:line="360" w:lineRule="auto"/>
        <w:ind w:firstLine="851"/>
        <w:jc w:val="both"/>
        <w:rPr>
          <w:sz w:val="24"/>
        </w:rPr>
      </w:pPr>
      <w:r>
        <w:rPr>
          <w:sz w:val="24"/>
        </w:rPr>
        <w:t>Понятие избирательного права употребляется в широком и узком смысле. В широком смысле –это совокупность правовых норм, регулирующих избирательный процесс от начала и до конца, как видно в этом смысле эти понятия совпадают. В узком смысле –нормы, регулирующие порядок предоставления права участия в выборах .</w:t>
      </w:r>
    </w:p>
    <w:p w:rsidR="003B15DF" w:rsidRDefault="003B15DF">
      <w:pPr>
        <w:spacing w:line="360" w:lineRule="auto"/>
        <w:ind w:firstLine="851"/>
        <w:jc w:val="both"/>
        <w:rPr>
          <w:sz w:val="24"/>
        </w:rPr>
      </w:pPr>
      <w:r>
        <w:rPr>
          <w:sz w:val="24"/>
        </w:rPr>
        <w:t>Понятия «избирательной системы» и «избирательного права» носят собирательный характер. В РФ они включают в себя пять различных подсистем, устанавливающих порядок избрания соответствующих органов государственной власти:</w:t>
      </w:r>
    </w:p>
    <w:p w:rsidR="003B15DF" w:rsidRDefault="003B15DF">
      <w:pPr>
        <w:numPr>
          <w:ilvl w:val="0"/>
          <w:numId w:val="3"/>
        </w:numPr>
        <w:tabs>
          <w:tab w:val="clear" w:pos="360"/>
          <w:tab w:val="num" w:pos="1211"/>
        </w:tabs>
        <w:spacing w:line="360" w:lineRule="auto"/>
        <w:ind w:left="1211"/>
        <w:jc w:val="both"/>
        <w:rPr>
          <w:sz w:val="24"/>
        </w:rPr>
      </w:pPr>
      <w:r>
        <w:rPr>
          <w:sz w:val="24"/>
        </w:rPr>
        <w:t>порядок избрания Президента РФ;</w:t>
      </w:r>
    </w:p>
    <w:p w:rsidR="003B15DF" w:rsidRDefault="003B15DF">
      <w:pPr>
        <w:numPr>
          <w:ilvl w:val="0"/>
          <w:numId w:val="3"/>
        </w:numPr>
        <w:tabs>
          <w:tab w:val="clear" w:pos="360"/>
          <w:tab w:val="num" w:pos="1211"/>
        </w:tabs>
        <w:spacing w:line="360" w:lineRule="auto"/>
        <w:ind w:left="1211"/>
        <w:jc w:val="both"/>
        <w:rPr>
          <w:sz w:val="24"/>
        </w:rPr>
      </w:pPr>
      <w:r>
        <w:rPr>
          <w:sz w:val="24"/>
        </w:rPr>
        <w:t>порядок избрания депутатов Государственной Думы РФ;</w:t>
      </w:r>
    </w:p>
    <w:p w:rsidR="003B15DF" w:rsidRDefault="003B15DF">
      <w:pPr>
        <w:numPr>
          <w:ilvl w:val="0"/>
          <w:numId w:val="3"/>
        </w:numPr>
        <w:tabs>
          <w:tab w:val="clear" w:pos="360"/>
          <w:tab w:val="num" w:pos="1211"/>
        </w:tabs>
        <w:spacing w:line="360" w:lineRule="auto"/>
        <w:ind w:left="1211"/>
        <w:jc w:val="both"/>
        <w:rPr>
          <w:sz w:val="24"/>
        </w:rPr>
      </w:pPr>
      <w:r>
        <w:rPr>
          <w:sz w:val="24"/>
        </w:rPr>
        <w:t>порядок избрания глав администрации субъектов РФ;</w:t>
      </w:r>
    </w:p>
    <w:p w:rsidR="003B15DF" w:rsidRDefault="003B15DF">
      <w:pPr>
        <w:numPr>
          <w:ilvl w:val="0"/>
          <w:numId w:val="3"/>
        </w:numPr>
        <w:tabs>
          <w:tab w:val="clear" w:pos="360"/>
          <w:tab w:val="num" w:pos="1211"/>
        </w:tabs>
        <w:spacing w:line="360" w:lineRule="auto"/>
        <w:ind w:left="1211"/>
        <w:jc w:val="both"/>
        <w:rPr>
          <w:sz w:val="24"/>
        </w:rPr>
      </w:pPr>
      <w:r>
        <w:rPr>
          <w:sz w:val="24"/>
        </w:rPr>
        <w:t>порядок избрания депутатов законодательных органов субъектов РФ;</w:t>
      </w:r>
    </w:p>
    <w:p w:rsidR="003B15DF" w:rsidRDefault="003B15DF">
      <w:pPr>
        <w:numPr>
          <w:ilvl w:val="0"/>
          <w:numId w:val="3"/>
        </w:numPr>
        <w:tabs>
          <w:tab w:val="clear" w:pos="360"/>
          <w:tab w:val="num" w:pos="1211"/>
        </w:tabs>
        <w:spacing w:line="360" w:lineRule="auto"/>
        <w:ind w:left="1211"/>
        <w:jc w:val="both"/>
        <w:rPr>
          <w:sz w:val="24"/>
        </w:rPr>
      </w:pPr>
      <w:r>
        <w:rPr>
          <w:sz w:val="24"/>
        </w:rPr>
        <w:t>порядок избрания органов местного самоуправления.</w:t>
      </w:r>
    </w:p>
    <w:p w:rsidR="003B15DF" w:rsidRDefault="003B15DF">
      <w:pPr>
        <w:pStyle w:val="21"/>
        <w:rPr>
          <w:sz w:val="24"/>
        </w:rPr>
      </w:pPr>
      <w:r>
        <w:rPr>
          <w:sz w:val="24"/>
        </w:rPr>
        <w:t>Каждая из этих подсистем регулируется отдельными правовыми актами, хотя есть и общие для всех источники права. Различия между ними проявляются при определении пассивного избирательного права, порядка определения результатов голосования и по ряду других весьма важных условий.</w:t>
      </w:r>
    </w:p>
    <w:p w:rsidR="003B15DF" w:rsidRDefault="003B15DF">
      <w:pPr>
        <w:pStyle w:val="21"/>
        <w:rPr>
          <w:sz w:val="24"/>
        </w:rPr>
      </w:pPr>
    </w:p>
    <w:p w:rsidR="003B15DF" w:rsidRDefault="003B15DF">
      <w:pPr>
        <w:numPr>
          <w:ilvl w:val="0"/>
          <w:numId w:val="2"/>
        </w:numPr>
        <w:spacing w:line="480" w:lineRule="auto"/>
        <w:jc w:val="center"/>
        <w:rPr>
          <w:b/>
          <w:sz w:val="24"/>
        </w:rPr>
      </w:pPr>
      <w:r>
        <w:rPr>
          <w:b/>
          <w:sz w:val="24"/>
        </w:rPr>
        <w:t>Конституционные принципы субъективного избирательного права.</w:t>
      </w:r>
    </w:p>
    <w:p w:rsidR="003B15DF" w:rsidRDefault="003B15DF">
      <w:pPr>
        <w:spacing w:line="360" w:lineRule="auto"/>
        <w:ind w:firstLine="851"/>
        <w:jc w:val="both"/>
        <w:rPr>
          <w:sz w:val="24"/>
        </w:rPr>
      </w:pPr>
      <w:r>
        <w:rPr>
          <w:sz w:val="24"/>
        </w:rPr>
        <w:t>Под принципами российского избирательного права понимают основные начала российского демократизма, имеющие руководящее значение для выборов, закрепленные в действующих конституционных нормах и выражающие сущность власти народа в государстве. Эти основные начала складываются на базе фактических отношений, которые возникают в процессе выборов. Будучи сформулированными и закрепленными в нормах конституционного права, они становятся принципами избирательного права. Традиционно в советский период к принципам избирательного права относили: всеобщность выборов; равноправие избирателей на выборах; непосредственность избрания депутатов и тайну голосования, обеспечивающую свободу волеизъявления избирателей на выборах.</w:t>
      </w:r>
    </w:p>
    <w:p w:rsidR="003B15DF" w:rsidRDefault="003B15DF">
      <w:pPr>
        <w:spacing w:line="360" w:lineRule="auto"/>
        <w:ind w:firstLine="851"/>
        <w:jc w:val="both"/>
        <w:rPr>
          <w:sz w:val="24"/>
        </w:rPr>
      </w:pPr>
      <w:r>
        <w:rPr>
          <w:sz w:val="24"/>
        </w:rPr>
        <w:t>Всеобщим признается такое избирательное право, при котором все взрослые граждане мужского и женского пола имеют право принимать участие в выборах.</w:t>
      </w:r>
    </w:p>
    <w:p w:rsidR="003B15DF" w:rsidRDefault="003B15DF">
      <w:pPr>
        <w:spacing w:line="360" w:lineRule="auto"/>
        <w:ind w:firstLine="851"/>
        <w:jc w:val="both"/>
        <w:rPr>
          <w:sz w:val="24"/>
        </w:rPr>
      </w:pPr>
      <w:r>
        <w:rPr>
          <w:sz w:val="24"/>
        </w:rPr>
        <w:t>Равное избирательное право трактуется в Федеральном законе как участие граждан на выборах «на равных основаниях». Эта формулировка означает, что все граждане, удовлетворяющие требования закона и не отстраненные от участия в голосовании по законным основаниям, имеют равные права и обязанности как избиратели. Все голоса должны иметь «равный вес», то есть одинаково влиять на результат выборов.</w:t>
      </w:r>
    </w:p>
    <w:p w:rsidR="003B15DF" w:rsidRDefault="003B15DF">
      <w:pPr>
        <w:spacing w:line="360" w:lineRule="auto"/>
        <w:ind w:firstLine="851"/>
        <w:jc w:val="both"/>
        <w:rPr>
          <w:sz w:val="24"/>
        </w:rPr>
      </w:pPr>
      <w:r>
        <w:rPr>
          <w:sz w:val="24"/>
        </w:rPr>
        <w:t>Прямое избирательное право означает, что избиратели голосуют на выборах за или против кандидатов непосредственно. Прямые выборы позволяют гражданам без каких-либо посредников вручать свой мандат тем лицам, которых они знают и которым они данный пост доверяют.</w:t>
      </w:r>
    </w:p>
    <w:p w:rsidR="003B15DF" w:rsidRDefault="003B15DF">
      <w:pPr>
        <w:spacing w:line="360" w:lineRule="auto"/>
        <w:ind w:firstLine="851"/>
        <w:jc w:val="both"/>
        <w:rPr>
          <w:sz w:val="24"/>
        </w:rPr>
      </w:pPr>
      <w:r>
        <w:rPr>
          <w:sz w:val="24"/>
        </w:rPr>
        <w:t>Тайное голосование- обязательный атрибут демократической системы выборов, абсолютная привилегия избирателей. Избиратель проявляет свою волю без всякого контроля за ним, давления или запугивания, а также с сохранением своего гарантированного права никому и никогда не сообщать о своем выборе того или иного кандидата. Избирательные бюллетени не подлежат нумерации, и никто не в праве пытаться идентифицировать личность избирателя по использованному бюллетеню.</w:t>
      </w:r>
    </w:p>
    <w:p w:rsidR="003B15DF" w:rsidRDefault="003B15DF">
      <w:pPr>
        <w:spacing w:line="360" w:lineRule="auto"/>
        <w:ind w:firstLine="851"/>
        <w:jc w:val="both"/>
        <w:rPr>
          <w:sz w:val="24"/>
        </w:rPr>
      </w:pPr>
      <w:r>
        <w:rPr>
          <w:sz w:val="24"/>
        </w:rPr>
        <w:t>Демократизация российской избирательной системы привнесла существенный элемент — состязательность кандидатов на выборах. Этот принцип, получивший широкое мировое признание, наконец-то прочно вошел и в нашу российскую избирательную практику. Состязательность кандидатов есть свидетельство зарождения гражданского общества в России.</w:t>
      </w:r>
    </w:p>
    <w:p w:rsidR="003B15DF" w:rsidRDefault="003B15DF">
      <w:pPr>
        <w:spacing w:line="360" w:lineRule="auto"/>
        <w:ind w:firstLine="851"/>
        <w:jc w:val="both"/>
        <w:rPr>
          <w:sz w:val="24"/>
        </w:rPr>
      </w:pPr>
      <w:r>
        <w:rPr>
          <w:sz w:val="24"/>
        </w:rPr>
        <w:t>Правовые нормы, закрепляющие вышеназванные принципы, образуют институты российского избирательного права:</w:t>
      </w:r>
    </w:p>
    <w:p w:rsidR="003B15DF" w:rsidRDefault="003B15DF">
      <w:pPr>
        <w:spacing w:line="360" w:lineRule="auto"/>
        <w:ind w:firstLine="851"/>
        <w:jc w:val="both"/>
        <w:rPr>
          <w:sz w:val="24"/>
        </w:rPr>
      </w:pPr>
      <w:r>
        <w:rPr>
          <w:sz w:val="24"/>
        </w:rPr>
        <w:t>всеобщее, равное, прямое избирательное право при состязательности кандидатов и тайное голосование. Принципы избирательного права — это область фактических отношений, их социальное содержание. Институты избирательного права являются их правовой формой выражения.</w:t>
      </w:r>
    </w:p>
    <w:p w:rsidR="003B15DF" w:rsidRDefault="003B15DF">
      <w:pPr>
        <w:spacing w:line="360" w:lineRule="auto"/>
        <w:ind w:firstLine="851"/>
        <w:jc w:val="both"/>
        <w:rPr>
          <w:sz w:val="24"/>
        </w:rPr>
      </w:pPr>
      <w:r>
        <w:rPr>
          <w:sz w:val="24"/>
        </w:rPr>
        <w:t>Ныне действующая Конституция России не содержит специальной главы, как это было в прежних советских Основных Законах, содержащей правовые нормы, закрепляющие основные принципы избирательного права. Но во множестве положений Конституции РФ (ст. ст. 3, 32, 71, 81, 84, 96, 97, 102, 109, 111, 117, 130) и в п. 3, 5, 7 и 8 раздела второго содержатся конституционные основы избирательной системы. Особо следует указать на ст. 32 Конституции, определяющую избирательную правосубъектность граждан РФ, обеспечивающую возможность их быть носителем этого конституционного права.</w:t>
      </w:r>
    </w:p>
    <w:p w:rsidR="003B15DF" w:rsidRDefault="003B15DF">
      <w:pPr>
        <w:spacing w:line="360" w:lineRule="auto"/>
        <w:ind w:firstLine="851"/>
        <w:jc w:val="both"/>
        <w:rPr>
          <w:sz w:val="24"/>
        </w:rPr>
      </w:pPr>
      <w:r>
        <w:rPr>
          <w:sz w:val="24"/>
        </w:rPr>
        <w:t>Для реализации избирательной правосубъектности граждан РФ установлены несколько ограничений: возраст, постоянное проживание, состояние здоровья и личная свобода. Для участия в выборах у нас установлен единый возраст—18 лет, для избрания депутатом Государственной Думы Федерального Собрания РФ — 21 год, Президентом Российской Федера</w:t>
      </w:r>
      <w:r>
        <w:rPr>
          <w:sz w:val="24"/>
        </w:rPr>
        <w:softHyphen/>
        <w:t>ции. — 35 лет.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B15DF" w:rsidRDefault="003B15DF">
      <w:pPr>
        <w:spacing w:line="360" w:lineRule="auto"/>
        <w:ind w:firstLine="851"/>
        <w:jc w:val="both"/>
        <w:rPr>
          <w:sz w:val="24"/>
        </w:rPr>
      </w:pPr>
    </w:p>
    <w:p w:rsidR="003B15DF" w:rsidRDefault="003B15DF">
      <w:pPr>
        <w:numPr>
          <w:ilvl w:val="0"/>
          <w:numId w:val="2"/>
        </w:numPr>
        <w:spacing w:line="480" w:lineRule="auto"/>
        <w:jc w:val="center"/>
        <w:rPr>
          <w:b/>
          <w:sz w:val="24"/>
        </w:rPr>
      </w:pPr>
      <w:r>
        <w:rPr>
          <w:b/>
          <w:sz w:val="24"/>
        </w:rPr>
        <w:t>Избирательный процесс, его основные стадии.</w:t>
      </w:r>
    </w:p>
    <w:p w:rsidR="003B15DF" w:rsidRDefault="003B15DF">
      <w:pPr>
        <w:pStyle w:val="3"/>
        <w:ind w:firstLine="851"/>
        <w:rPr>
          <w:sz w:val="24"/>
        </w:rPr>
      </w:pPr>
      <w:r>
        <w:rPr>
          <w:sz w:val="24"/>
        </w:rPr>
        <w:t>Для реализации субъективного избирательного права граждан Российской Федерации необходимы определенные действия участников избирательного процесса: избирателей, избирательных объединений, избирательных комиссий, органов государственной власти.</w:t>
      </w:r>
    </w:p>
    <w:p w:rsidR="003B15DF" w:rsidRDefault="003B15DF">
      <w:pPr>
        <w:pStyle w:val="3"/>
        <w:ind w:firstLine="851"/>
        <w:rPr>
          <w:sz w:val="24"/>
        </w:rPr>
      </w:pPr>
      <w:r>
        <w:rPr>
          <w:sz w:val="24"/>
        </w:rPr>
        <w:t>Избирательный процесс включает в себя следующие основные стадии: назначение выборов, образование избирательных округов и избирательных участков, избирательных комиссий, составление списков избирателей, выдвижение кандидатов в депутаты и их регистрация, предвыборную агитацию, финансирование выборов, проведение голосования и установление результатов выборов.</w:t>
      </w:r>
    </w:p>
    <w:p w:rsidR="003B15DF" w:rsidRDefault="003B15DF">
      <w:pPr>
        <w:spacing w:line="360" w:lineRule="auto"/>
        <w:ind w:firstLine="851"/>
        <w:jc w:val="both"/>
        <w:rPr>
          <w:sz w:val="24"/>
        </w:rPr>
      </w:pPr>
      <w:r>
        <w:rPr>
          <w:sz w:val="24"/>
        </w:rPr>
        <w:t>Назначение выборов на федеральном уровне осуществляется разными органами: выборы Государственной Думы— Президентом Российской Федерации (п. «а» ст. 84 Конституции РФ), выборы же Президента РФ—Советом Федерации (н. «д». ст. 102 Конституции РФ). На региональном уровне — в субъектах Федерации — выборы депутатов представительных органов государственной власти и местного самоуправления, а также глав исполнительной власти назначаются представительными (законодательными) органами государственной власти субъектов РФ.</w:t>
      </w:r>
    </w:p>
    <w:p w:rsidR="003B15DF" w:rsidRDefault="003B15DF">
      <w:pPr>
        <w:spacing w:before="20" w:line="360" w:lineRule="auto"/>
        <w:ind w:firstLine="851"/>
        <w:jc w:val="both"/>
        <w:rPr>
          <w:sz w:val="24"/>
        </w:rPr>
      </w:pPr>
      <w:r>
        <w:rPr>
          <w:sz w:val="24"/>
        </w:rPr>
        <w:t>Избирательные округа. В зависимости от численности представительного органа власти и типа избирательной системы происходит и образование избирательных округов.</w:t>
      </w:r>
    </w:p>
    <w:p w:rsidR="003B15DF" w:rsidRDefault="003B15DF">
      <w:pPr>
        <w:spacing w:before="20" w:line="360" w:lineRule="auto"/>
        <w:ind w:firstLine="851"/>
        <w:jc w:val="both"/>
        <w:rPr>
          <w:sz w:val="24"/>
        </w:rPr>
      </w:pPr>
      <w:r>
        <w:rPr>
          <w:sz w:val="24"/>
        </w:rPr>
        <w:t>До 1993 г. выборы во всех республиках Союза ССР проводились по одномандатным избирательным округам. В 90-х годах были эксперименты избрания депутатов по многомандатным округам (включение в один бюллетень всех кандидатов в депутаты сельского Совета, а также избрание части народных депутатов СССР (1989 г.) по спискам от общественных организаций их руководящими органами.</w:t>
      </w:r>
    </w:p>
    <w:p w:rsidR="003B15DF" w:rsidRDefault="003B15DF">
      <w:pPr>
        <w:spacing w:before="120" w:line="360" w:lineRule="auto"/>
        <w:ind w:firstLine="851"/>
        <w:jc w:val="both"/>
        <w:rPr>
          <w:sz w:val="24"/>
        </w:rPr>
      </w:pPr>
      <w:r>
        <w:rPr>
          <w:sz w:val="24"/>
        </w:rPr>
        <w:t>Выборы депутатов в Государственную Думу (1993 г.) проводились по смешанной избирательной системе — на основе сочетания территориальных одномандатных округов (мажоритарная система) и пропорционального представительства но общефедеральному избирательному округу. При этом вся территория Российской Федерации в ее субъектах была разделена на 225 одномандатных округов. Эти округа должны были отвечать следующим требованиям: на территории субъекта Федерации должно было быть не менее одного округа, должно было соблюдаться равенство по числу избирателей и территориальное единство. Общефедеральный избирательный округ по выборам в Государственную Думу включал в себя всю территорию Российской Федерации. Депутаты по этому округу избирались по системе пропорционального представительства, т. е. не индивидуально, а в составе списков избирательных объединений (партий, движений и их блоков).</w:t>
      </w:r>
    </w:p>
    <w:p w:rsidR="003B15DF" w:rsidRDefault="003B15DF">
      <w:pPr>
        <w:spacing w:line="360" w:lineRule="auto"/>
        <w:ind w:firstLine="851"/>
        <w:jc w:val="both"/>
        <w:rPr>
          <w:sz w:val="24"/>
        </w:rPr>
      </w:pPr>
      <w:r>
        <w:rPr>
          <w:sz w:val="24"/>
        </w:rPr>
        <w:t>При выборах представительных (законодательных) органов государственной власти субъектов Российской Федерации в 1994 г. в основном была применена мажоритарная избирательная система относительного большинства, в трех субъектах Российской Федерации (Республика Марий Эл, Республика Тыва, Саратовская область) использовалась смешанная избирательная система. В 20 субъектах Федерации было образовано 110 многомандатных избирательных округов, в том числе три — общерегиональных округа (Ингушская Республика, Республика Калмыкия, Ненецкий автономный округ). В остальных субъектах Федерации образовывались только одномандатные избирательные округа.</w:t>
      </w:r>
    </w:p>
    <w:p w:rsidR="003B15DF" w:rsidRDefault="003B15DF">
      <w:pPr>
        <w:spacing w:before="140" w:line="360" w:lineRule="auto"/>
        <w:ind w:firstLine="851"/>
        <w:jc w:val="both"/>
        <w:rPr>
          <w:sz w:val="24"/>
        </w:rPr>
      </w:pPr>
      <w:r>
        <w:rPr>
          <w:sz w:val="24"/>
        </w:rPr>
        <w:t>При выборах Совета Федерации первого созыва (1993г.) образовывались двухмандатные избирательные округа на территории каждого субъекта Федерации независимо от численности избирателей.</w:t>
      </w:r>
    </w:p>
    <w:p w:rsidR="003B15DF" w:rsidRDefault="003B15DF">
      <w:pPr>
        <w:spacing w:before="60" w:line="360" w:lineRule="auto"/>
        <w:ind w:firstLine="851"/>
        <w:jc w:val="both"/>
        <w:rPr>
          <w:sz w:val="24"/>
        </w:rPr>
      </w:pPr>
      <w:r>
        <w:rPr>
          <w:sz w:val="24"/>
        </w:rPr>
        <w:t>Границы избирательных округов и число избирателей в каждом избирательном округе определялись соответствующей избирательной комиссией не позднее, чем за 60 дней до дня выборов.</w:t>
      </w:r>
    </w:p>
    <w:p w:rsidR="003B15DF" w:rsidRDefault="003B15DF">
      <w:pPr>
        <w:spacing w:before="60" w:line="360" w:lineRule="auto"/>
        <w:ind w:firstLine="851"/>
        <w:jc w:val="both"/>
        <w:rPr>
          <w:sz w:val="24"/>
        </w:rPr>
      </w:pPr>
      <w:r>
        <w:rPr>
          <w:sz w:val="24"/>
        </w:rPr>
        <w:t>Для проведения голосования и подсчета голосов избирателей образуются избирательные участки. Последние образуются органами местного самоуправления по согласованию с вышестоящими избирательными комиссиями из расчета не более 3000 избирателей с учетом местных и иных условий и с целью создания максимальных удобств для избирателей не позднее чем за 45 дней до дня выборов. Федеральный закон «Об основных гарантиях избирательных прав граждан Российской Федерации» и избирательные законы субъектов Российской Федерации устанавливают правила образования избирательных участков и сроки с учетом временного пребывания избирателей в различных местах.</w:t>
      </w:r>
    </w:p>
    <w:p w:rsidR="003B15DF" w:rsidRDefault="003B15DF">
      <w:pPr>
        <w:spacing w:line="360" w:lineRule="auto"/>
        <w:ind w:firstLine="851"/>
        <w:jc w:val="both"/>
        <w:rPr>
          <w:sz w:val="24"/>
        </w:rPr>
      </w:pPr>
      <w:r>
        <w:rPr>
          <w:sz w:val="24"/>
        </w:rPr>
        <w:t>Списки избирателей — это избирательные документы, определяющие круг граждан, обладающих активным избирательным правом и проживающих на территории конкретного избирательного участка. Список избирателей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органом, осуществляющим регистрацию и государственный учет населения, и главой местной администрации.</w:t>
      </w:r>
    </w:p>
    <w:p w:rsidR="003B15DF" w:rsidRDefault="003B15DF">
      <w:pPr>
        <w:spacing w:before="20" w:line="360" w:lineRule="auto"/>
        <w:ind w:firstLine="851"/>
        <w:jc w:val="both"/>
        <w:rPr>
          <w:sz w:val="24"/>
        </w:rPr>
      </w:pPr>
      <w:r>
        <w:rPr>
          <w:sz w:val="24"/>
        </w:rPr>
        <w:t>Для организации и проведения выборов представительных органов власти и местного самоуправления, а также высших должностных лиц государства и субъектов Федерации образуются избирательные комиссии. Они обеспечивают реализацию и защиту избирательных прав граждан. До выборов 1993 г. это были в основном органы общественного характера, деятельность большинства членов не носила постоянный характер. Ныне создается сеть избирательных комиссий субъектов Федерации во главе с Центральной избирательной комиссией Российской Федерации, действующих на постоянной основе. Федеральный закон «Об основных гарантиях избирательных прав граждан Российской Федерации» определил следующие виды избирательных комиссий, осуществляющих организацию, подготовку и проведение выборов в Российской Федерации: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 участковые избирательные комиссии.</w:t>
      </w:r>
    </w:p>
    <w:p w:rsidR="003B15DF" w:rsidRDefault="003B15DF">
      <w:pPr>
        <w:spacing w:before="20" w:line="360" w:lineRule="auto"/>
        <w:ind w:firstLine="851"/>
        <w:jc w:val="both"/>
        <w:rPr>
          <w:sz w:val="24"/>
        </w:rPr>
      </w:pPr>
      <w:r>
        <w:rPr>
          <w:sz w:val="24"/>
        </w:rPr>
        <w:t>Полномочия и порядок деятельности избирательных комиссий устанавливаются федеральными законами и законами (нормативными правовыми актами представительных органов государственной власти) субъектов Российской Федерации.</w:t>
      </w:r>
    </w:p>
    <w:p w:rsidR="003B15DF" w:rsidRDefault="003B15DF">
      <w:pPr>
        <w:spacing w:line="360" w:lineRule="auto"/>
        <w:ind w:firstLine="851"/>
        <w:jc w:val="both"/>
        <w:rPr>
          <w:sz w:val="24"/>
        </w:rPr>
      </w:pPr>
      <w:r>
        <w:rPr>
          <w:sz w:val="24"/>
        </w:rPr>
        <w:t>Деятельность избирательных комиссий носит гласный и открытый характер, с широким участием в их работе кандидатов в депутаты, представителей избирательных объединений, средств массовой информации. Решения избирательных комиссий по вопросам их ведения носят обязательный характер для всех участников избирательного процесса, в том числе и для органов государственной власти и местного самоуправления. Решение избирательной комиссии, противоречащее федеральным законам или законам представительных органов государственной власти субъектов Российской Федерации, либо принятое избирательной комиссией с превышением установленных полномочий, подлежит отмене вышестоящей избирательной комиссией или судом.</w:t>
      </w:r>
    </w:p>
    <w:p w:rsidR="003B15DF" w:rsidRDefault="003B15DF">
      <w:pPr>
        <w:spacing w:line="360" w:lineRule="auto"/>
        <w:ind w:firstLine="851"/>
        <w:jc w:val="both"/>
        <w:rPr>
          <w:sz w:val="24"/>
        </w:rPr>
      </w:pPr>
      <w:r>
        <w:rPr>
          <w:sz w:val="24"/>
        </w:rPr>
        <w:t>Количественный состав избирательных комиссий в зависимости от их уровня колеблется от 7 до 15 членов.</w:t>
      </w:r>
    </w:p>
    <w:p w:rsidR="003B15DF" w:rsidRDefault="003B15DF">
      <w:pPr>
        <w:pStyle w:val="21"/>
        <w:spacing w:before="20"/>
        <w:rPr>
          <w:sz w:val="24"/>
        </w:rPr>
      </w:pPr>
      <w:r>
        <w:rPr>
          <w:sz w:val="24"/>
        </w:rPr>
        <w:t>Выдвижение кандидатов в представительные органы власти — одна из центральных стадий избирательного процесса, это этап, предопределяющий будущий состав депутатского корпуса. Новое избирательное законодательство внесло существенные моменты в процедуру выдвижения. Ныне право выдвижения кандидатов (или списков кандидатов) принадлежит избирательным объединениям и избирателям непосредственно, в том числе по месту работы и жительства.</w:t>
      </w:r>
    </w:p>
    <w:p w:rsidR="003B15DF" w:rsidRDefault="003B15DF">
      <w:pPr>
        <w:spacing w:before="20" w:line="360" w:lineRule="auto"/>
        <w:ind w:firstLine="851"/>
        <w:jc w:val="both"/>
        <w:rPr>
          <w:sz w:val="24"/>
        </w:rPr>
      </w:pPr>
      <w:r>
        <w:rPr>
          <w:sz w:val="24"/>
        </w:rPr>
        <w:t>Избирательное объединение — это общественное объединение, устав которого предусматривает участие в выборах посредством выдвижения кандидатов, созданное и зарегистрированное в порядке, установленном федеральными законами (нормативными правовыми актами представительных органов государственной власти) субъектов Российской Федерации не позднее, чем за шесть месяцев до объявления дня выборов. Право выдвижения кандидатов в депутаты может принадлежать избирательным блокам, то есть союзу избирательных объединений, создаваемых ими для совместного участия на период проведения выборов. Избирательный блок регистрируется соответствующей избирательной комиссией. Партия, движение, общественная организация могут входить в состав лишь одного избирательного объединения. В случае вхождения в блок они уже не могут выступать качестве самостоятельного избирательного объединения.</w:t>
      </w:r>
    </w:p>
    <w:p w:rsidR="003B15DF" w:rsidRDefault="003B15DF">
      <w:pPr>
        <w:spacing w:before="60" w:line="360" w:lineRule="auto"/>
        <w:ind w:firstLine="851"/>
        <w:jc w:val="both"/>
        <w:rPr>
          <w:sz w:val="24"/>
        </w:rPr>
      </w:pPr>
      <w:r>
        <w:rPr>
          <w:sz w:val="24"/>
        </w:rPr>
        <w:t>В поддержку списка кандидатов, выдвинутых от избирательных объединений, собираются подписи избирателей в количестве, определяемом законами.</w:t>
      </w:r>
    </w:p>
    <w:p w:rsidR="003B15DF" w:rsidRDefault="003B15DF">
      <w:pPr>
        <w:spacing w:before="60" w:line="360" w:lineRule="auto"/>
        <w:ind w:firstLine="851"/>
        <w:jc w:val="both"/>
        <w:rPr>
          <w:sz w:val="24"/>
        </w:rPr>
      </w:pPr>
      <w:r>
        <w:rPr>
          <w:sz w:val="24"/>
        </w:rPr>
        <w:t>Выдвижение кандидатов непосредственно избирателями проводится путем сбора подписей под заявлением о выдвижении кандидата. Сбор подписей проводится по месту работы, в том числе в трудовых коллективах, и по месту жительства. Количество подписей избирателей, необходимое для регистрации кандидата соответствующей избирательной комиссией, также устанавливается законами. Для регистрации кандидатом (списков кандидатов) необходимо наличие заявления от самих кандидатов об их согласии баллотироваться по данному избирательному округу; представления избирательных объединений, выдвинувших кандидатов, и установленное количество подписей избирателей в поддержку данного кандидата.</w:t>
      </w:r>
    </w:p>
    <w:p w:rsidR="003B15DF" w:rsidRDefault="003B15DF">
      <w:pPr>
        <w:spacing w:line="360" w:lineRule="auto"/>
        <w:ind w:firstLine="851"/>
        <w:jc w:val="both"/>
        <w:rPr>
          <w:sz w:val="24"/>
        </w:rPr>
      </w:pPr>
      <w:r>
        <w:rPr>
          <w:sz w:val="24"/>
        </w:rPr>
        <w:t>Федеральный закон «Об основных гарантиях избирательных прав граждан Российской Федерации» 1994 г. в отличие от прежнего российского законодательства установил, что кандидат в депутаты представительного органа государственной власти или органа местного самоуправления может быть зарегистрирован только в одном избирательном округе.</w:t>
      </w:r>
    </w:p>
    <w:p w:rsidR="003B15DF" w:rsidRDefault="003B15DF">
      <w:pPr>
        <w:spacing w:line="360" w:lineRule="auto"/>
        <w:ind w:firstLine="851"/>
        <w:jc w:val="both"/>
        <w:rPr>
          <w:sz w:val="24"/>
        </w:rPr>
      </w:pPr>
      <w:r>
        <w:rPr>
          <w:sz w:val="24"/>
        </w:rPr>
        <w:t>Законодатель определяет условия дополнительного выдвижения кандидатов и порядок обжалования в случаях отказа зарегистрировать кандидата (список кандидатов) соответствующей комиссией.</w:t>
      </w:r>
    </w:p>
    <w:p w:rsidR="003B15DF" w:rsidRDefault="003B15DF">
      <w:pPr>
        <w:spacing w:before="20" w:line="360" w:lineRule="auto"/>
        <w:ind w:firstLine="851"/>
        <w:jc w:val="both"/>
        <w:rPr>
          <w:sz w:val="24"/>
        </w:rPr>
      </w:pPr>
      <w:r>
        <w:rPr>
          <w:sz w:val="24"/>
        </w:rPr>
        <w:t>Кандидат в депутаты имеет ряд гарантий, обеспечивающих ему возможность эффективного участия в избирательном процессе: социально-экономических, организационных и юридических. Среди них — личная неприкосновенность кандидата в депутаты, право кандидата иметь определенное количество доверенных лиц, право бесплатного пользования на территории округа всеми видами общественного транспорта, кроме такси, а также право на неоплачиваемый отпуск на период предвыборной агитации.</w:t>
      </w:r>
    </w:p>
    <w:p w:rsidR="003B15DF" w:rsidRDefault="003B15DF">
      <w:pPr>
        <w:spacing w:before="20" w:line="360" w:lineRule="auto"/>
        <w:ind w:firstLine="851"/>
        <w:jc w:val="both"/>
        <w:rPr>
          <w:sz w:val="24"/>
        </w:rPr>
      </w:pPr>
      <w:r>
        <w:rPr>
          <w:sz w:val="24"/>
        </w:rPr>
        <w:t>Предвыборная агитация — это деятельность граждан РФ, общественных объединений, иных участников избирательного процесса по созданию и распространению информации, имеющей целью побудить избирателей принять участие в голосовании ЗА или ПРОТИВ того или иного кандидата, либо списка кандидатов.</w:t>
      </w:r>
    </w:p>
    <w:p w:rsidR="003B15DF" w:rsidRDefault="003B15DF">
      <w:pPr>
        <w:spacing w:line="360" w:lineRule="auto"/>
        <w:ind w:firstLine="851"/>
        <w:jc w:val="both"/>
        <w:rPr>
          <w:sz w:val="24"/>
        </w:rPr>
      </w:pPr>
      <w:r>
        <w:rPr>
          <w:sz w:val="24"/>
        </w:rPr>
        <w:t>Граждане, общественные объединения свободно, на равных условиях вправе в допускаемых формах и законными методами вести агитацию ЗА или ПРОТИВ избирательного объединения, кандидата.</w:t>
      </w:r>
    </w:p>
    <w:p w:rsidR="003B15DF" w:rsidRDefault="003B15DF">
      <w:pPr>
        <w:spacing w:before="60" w:line="360" w:lineRule="auto"/>
        <w:ind w:firstLine="851"/>
        <w:jc w:val="both"/>
        <w:rPr>
          <w:sz w:val="24"/>
        </w:rPr>
      </w:pPr>
      <w:r>
        <w:rPr>
          <w:sz w:val="24"/>
        </w:rPr>
        <w:t>Формами агитации являются средства массовой информации, предвыборные мероприятия (собрания и встречи с избирателями, публичные предвыборные дебаты и дискуссии, митинги, демонстрации, шествия), агитационные печатные материалы. Предвыборная агитация должна вестись с соблюдением строго установленных законом требований: соблюдение конституционных прав и свобод в сфере массовой информации; недопустимость использования служебного положения должностными лицами, журналистами и другими творческими работниками средств массовой информации, если указанные лица являются кандидатами либо доверенными лицами кандидатов; а также недопустимость злоупотребления свободной массовой информации, агитации, возбуждающей социальную, расовую, национальную или религиозную ненависть или вражду, призывов к захвату власти, насильственному изменению конституционного строя и целостности государства, пропаганды войны.</w:t>
      </w:r>
    </w:p>
    <w:p w:rsidR="003B15DF" w:rsidRDefault="003B15DF">
      <w:pPr>
        <w:spacing w:line="360" w:lineRule="auto"/>
        <w:ind w:firstLine="851"/>
        <w:jc w:val="both"/>
        <w:rPr>
          <w:sz w:val="24"/>
        </w:rPr>
      </w:pPr>
      <w:r>
        <w:rPr>
          <w:sz w:val="24"/>
        </w:rPr>
        <w:t>Предвыборная агитация проводится со дня регистрации кандидатов и прекращается за день до выборов. В течение трех дней до дня выборов, включая день голосования, опубликование результатов опросов общественного мнения, связанных с выборами, не разрешается.</w:t>
      </w:r>
    </w:p>
    <w:p w:rsidR="003B15DF" w:rsidRDefault="003B15DF">
      <w:pPr>
        <w:spacing w:before="20" w:line="360" w:lineRule="auto"/>
        <w:ind w:firstLine="851"/>
        <w:jc w:val="both"/>
        <w:rPr>
          <w:sz w:val="24"/>
        </w:rPr>
      </w:pPr>
      <w:r>
        <w:rPr>
          <w:sz w:val="24"/>
        </w:rPr>
        <w:t>Следующим принципиальным моментом в избирательном процессе является организация финансирования выборов. Новое законодательство допускает использование, как государственного финансирования выборов, так и средств из негосударственных источников. Бюджетные средства используются непосредственно избирательными комиссиями, а определенная часть передается избирательным объединениям и кандидатам в депутаты. Избирательные объединения и кандидаты в депутаты вправе создавать собственные избирательные фонды для финансирования предвыборной агитации. Избирательные фонды могут создаваться из следующих источников: средств, выделенных в равных размерах избирательному объединению или кандидату на предвыборную агитацию соответствующей избирательной комиссией; собственных средств избирательного объединения или кандидата, кроме случаев, когда указанные средства имеют иностранные источники; средств, выделенных в равных размерах избирательным объединением; добровольных пожертвований физических и юридических лиц.</w:t>
      </w:r>
    </w:p>
    <w:p w:rsidR="003B15DF" w:rsidRDefault="003B15DF">
      <w:pPr>
        <w:spacing w:before="20" w:line="360" w:lineRule="auto"/>
        <w:ind w:firstLine="851"/>
        <w:jc w:val="both"/>
        <w:rPr>
          <w:sz w:val="24"/>
        </w:rPr>
      </w:pPr>
      <w:r>
        <w:rPr>
          <w:sz w:val="24"/>
        </w:rPr>
        <w:t>Законодательство четко определяет, что не допускаются добровольные пожертвования со стороны иностранных государств, организаций и граждан, российских юридических лиц с иностранным участием, международных организаций, а также государственных организаций и учреждений, предприятий с государственным участием и религиозных организаций. Соответствующая избирательная комиссия обязана периодически публиковать сведения о размерах и источниках образования избирательных фондов.</w:t>
      </w:r>
    </w:p>
    <w:p w:rsidR="003B15DF" w:rsidRDefault="003B15DF">
      <w:pPr>
        <w:spacing w:line="360" w:lineRule="auto"/>
        <w:ind w:firstLine="851"/>
        <w:jc w:val="both"/>
        <w:rPr>
          <w:sz w:val="24"/>
        </w:rPr>
      </w:pPr>
      <w:r>
        <w:rPr>
          <w:sz w:val="24"/>
        </w:rPr>
        <w:t>Одна из заключительных стадий избирательного процесса—голосование. Обычно оно проводится в один из выходных дней. Избирателю, который за 15 дней со дня голосования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предоставляется возможность проголосовать досрочно, путем заполнения избирательного бюллетеня в помещении окружной или участковой избирательных комиссий, или возможность голосования по почте. При этом на соответствующую избирательную комиссию возлагается обязанность соблюсти тайну голосования, обеспечить сохранность избирательного бюллетеня и учет голоса избирателя при определении результатов голосования.</w:t>
      </w:r>
    </w:p>
    <w:p w:rsidR="003B15DF" w:rsidRDefault="003B15DF">
      <w:pPr>
        <w:spacing w:line="360" w:lineRule="auto"/>
        <w:ind w:firstLine="851"/>
        <w:jc w:val="both"/>
        <w:rPr>
          <w:sz w:val="24"/>
        </w:rPr>
      </w:pPr>
      <w:r>
        <w:rPr>
          <w:sz w:val="24"/>
        </w:rPr>
        <w:t>Голосование производится путем нанесения избирателем в избирательном бюллетене какого-либо знака в квадрате, относящемся к кандидату или списку кандидатов, за которых сделан выбор, либо против всех кандидатов, внесенных в избирательный бюллетень. Допускается возможность использования переносных избирательных ящиков для избирателей, которые по состоянию здоровья либо по другим уважительным причинам не могут прибыть для голосования на избирательный участок.</w:t>
      </w:r>
    </w:p>
    <w:p w:rsidR="003B15DF" w:rsidRDefault="003B15DF">
      <w:pPr>
        <w:spacing w:before="20" w:line="360" w:lineRule="auto"/>
        <w:ind w:firstLine="851"/>
        <w:jc w:val="both"/>
        <w:rPr>
          <w:sz w:val="24"/>
        </w:rPr>
      </w:pPr>
      <w:r>
        <w:rPr>
          <w:sz w:val="24"/>
        </w:rPr>
        <w:t>Тайна голосования обеспечивается тем, что избиратель заполняет бюллетени в специально оборудованной кабине или комнате, в которых не допускается присутствие иных лиц.</w:t>
      </w:r>
    </w:p>
    <w:p w:rsidR="003B15DF" w:rsidRDefault="003B15DF">
      <w:pPr>
        <w:spacing w:before="20" w:line="360" w:lineRule="auto"/>
        <w:ind w:firstLine="851"/>
        <w:jc w:val="both"/>
        <w:rPr>
          <w:sz w:val="24"/>
        </w:rPr>
      </w:pPr>
      <w:r>
        <w:rPr>
          <w:sz w:val="24"/>
        </w:rPr>
        <w:t>О времени и месте голосования участковые избирательные комиссии письменно оповещают избирателей заблаговременно.</w:t>
      </w:r>
    </w:p>
    <w:p w:rsidR="003B15DF" w:rsidRDefault="003B15DF">
      <w:pPr>
        <w:spacing w:line="360" w:lineRule="auto"/>
        <w:ind w:firstLine="851"/>
        <w:jc w:val="both"/>
        <w:rPr>
          <w:sz w:val="24"/>
        </w:rPr>
      </w:pPr>
      <w:r>
        <w:rPr>
          <w:sz w:val="24"/>
        </w:rPr>
        <w:t>Принципиальное значение имеет закрепление в законодательстве итогов (результатов) выборов. В зависимости от типа избирательной системы — мажоритарной или пропорциональной — производится и установление результатов выборов. Для признания выборов состоявшимися законодатель установил кворум явки избирателей не менее 25 процентов зарегистрированных избирателей.</w:t>
      </w:r>
    </w:p>
    <w:p w:rsidR="003B15DF" w:rsidRDefault="003B15DF">
      <w:pPr>
        <w:pStyle w:val="30"/>
      </w:pPr>
      <w:r>
        <w:t>Избранным считается кандидат, получивший наибольшее число действительных голосов. При распределении депутатских мандатов на основе пропорционального представительства сначала подсчитывается сумма голосов, поданных за списки тех избирательных объединений, которые допускаются к распределению депутатских мандатов. Чтобы быть допущенным к данному распределению, необходимо получить не менее 5 процентов действительных голосов. Каждое избирательное объединение, за которое подано более 5 процентов действительных голосов, получает число депутатских мандатов пропорционально числу поданных за него голосов.</w:t>
      </w:r>
    </w:p>
    <w:p w:rsidR="003B15DF" w:rsidRDefault="003B15DF">
      <w:pPr>
        <w:spacing w:line="360" w:lineRule="auto"/>
        <w:ind w:firstLine="851"/>
        <w:jc w:val="both"/>
        <w:rPr>
          <w:sz w:val="24"/>
        </w:rPr>
      </w:pPr>
      <w:r>
        <w:rPr>
          <w:sz w:val="24"/>
        </w:rPr>
        <w:t>При этом устанавливается следующая методика распределения депутатских мандатов между избирательными объединениями. Подсчитывается общее число голосов, поданных за списки, преодолевшие пятипроцентный барьер. Эта сумма делится на мандаты, распределяемые по данному округу. Полученный результат есть избирательное частное (избирательная квота). Затем число голосов, поданных за каждое избирательное объединение, делится на указанное частное.</w:t>
      </w:r>
    </w:p>
    <w:p w:rsidR="003B15DF" w:rsidRDefault="003B15DF">
      <w:pPr>
        <w:spacing w:before="20" w:line="360" w:lineRule="auto"/>
        <w:ind w:firstLine="851"/>
        <w:jc w:val="both"/>
        <w:rPr>
          <w:sz w:val="24"/>
        </w:rPr>
      </w:pPr>
      <w:r>
        <w:rPr>
          <w:sz w:val="24"/>
        </w:rPr>
        <w:t>Полученная целая часть и есть число депутатских мандатов данного объединения. Если после этих действий остаются нераспределенные мандаты, то производится вторичное распределение, и оставшиеся мандаты передаются тем спискам кандидатов, у которых оказывается наибольшая дробная часть (остаток) при произведенном выше делении.</w:t>
      </w:r>
    </w:p>
    <w:p w:rsidR="003B15DF" w:rsidRDefault="003B15DF">
      <w:pPr>
        <w:spacing w:line="360" w:lineRule="auto"/>
        <w:ind w:firstLine="851"/>
        <w:jc w:val="both"/>
        <w:rPr>
          <w:sz w:val="24"/>
        </w:rPr>
      </w:pPr>
      <w:r>
        <w:rPr>
          <w:sz w:val="24"/>
        </w:rPr>
        <w:t>Избранными считаются кандидаты от первого помещенного в списке и далее в порядке их очередности.</w:t>
      </w:r>
    </w:p>
    <w:p w:rsidR="003B15DF" w:rsidRDefault="003B15DF">
      <w:pPr>
        <w:spacing w:line="360" w:lineRule="auto"/>
        <w:ind w:firstLine="851"/>
        <w:jc w:val="both"/>
        <w:rPr>
          <w:sz w:val="24"/>
        </w:rPr>
      </w:pPr>
      <w:r>
        <w:rPr>
          <w:sz w:val="24"/>
        </w:rPr>
        <w:t>За нарушение избирательных прав граждан Российской Федерации установлена административная и уголовная ответственность.</w:t>
      </w: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both"/>
        <w:rPr>
          <w:sz w:val="24"/>
        </w:rPr>
      </w:pPr>
    </w:p>
    <w:p w:rsidR="003B15DF" w:rsidRDefault="003B15DF">
      <w:pPr>
        <w:spacing w:line="360" w:lineRule="auto"/>
        <w:ind w:firstLine="851"/>
        <w:jc w:val="center"/>
        <w:rPr>
          <w:b/>
          <w:sz w:val="24"/>
        </w:rPr>
      </w:pPr>
      <w:r>
        <w:rPr>
          <w:b/>
          <w:sz w:val="24"/>
        </w:rPr>
        <w:t>Литература:</w:t>
      </w:r>
    </w:p>
    <w:p w:rsidR="003B15DF" w:rsidRDefault="003B15DF">
      <w:pPr>
        <w:numPr>
          <w:ilvl w:val="0"/>
          <w:numId w:val="4"/>
        </w:numPr>
        <w:tabs>
          <w:tab w:val="clear" w:pos="1211"/>
          <w:tab w:val="num" w:pos="851"/>
        </w:tabs>
        <w:spacing w:line="360" w:lineRule="auto"/>
        <w:ind w:hanging="644"/>
        <w:rPr>
          <w:sz w:val="24"/>
        </w:rPr>
      </w:pPr>
      <w:r>
        <w:rPr>
          <w:sz w:val="24"/>
        </w:rPr>
        <w:t>Конституция РФ.</w:t>
      </w:r>
    </w:p>
    <w:p w:rsidR="003B15DF" w:rsidRDefault="003B15DF">
      <w:pPr>
        <w:numPr>
          <w:ilvl w:val="0"/>
          <w:numId w:val="4"/>
        </w:numPr>
        <w:tabs>
          <w:tab w:val="clear" w:pos="1211"/>
          <w:tab w:val="num" w:pos="851"/>
        </w:tabs>
        <w:spacing w:line="360" w:lineRule="auto"/>
        <w:ind w:hanging="644"/>
        <w:rPr>
          <w:sz w:val="24"/>
        </w:rPr>
      </w:pPr>
      <w:r>
        <w:rPr>
          <w:snapToGrid w:val="0"/>
          <w:sz w:val="24"/>
        </w:rPr>
        <w:t>Федеральный Закон от 6 декабря 1994г. № 56-ФЗ «Об основных гарантиях избирательных прав граждан РФ».</w:t>
      </w:r>
    </w:p>
    <w:p w:rsidR="003B15DF" w:rsidRDefault="003B15DF">
      <w:pPr>
        <w:numPr>
          <w:ilvl w:val="0"/>
          <w:numId w:val="4"/>
        </w:numPr>
        <w:tabs>
          <w:tab w:val="clear" w:pos="1211"/>
          <w:tab w:val="num" w:pos="851"/>
        </w:tabs>
        <w:spacing w:line="360" w:lineRule="auto"/>
        <w:ind w:hanging="644"/>
        <w:rPr>
          <w:sz w:val="24"/>
        </w:rPr>
      </w:pPr>
      <w:r>
        <w:rPr>
          <w:snapToGrid w:val="0"/>
          <w:sz w:val="24"/>
        </w:rPr>
        <w:t>Федеральный Закон от 21 июня 1995г. № 90-ФЗ «О выборах депутатов Государственной Думы Федерального Собрания РФ».</w:t>
      </w:r>
    </w:p>
    <w:p w:rsidR="003B15DF" w:rsidRDefault="003B15DF">
      <w:pPr>
        <w:numPr>
          <w:ilvl w:val="0"/>
          <w:numId w:val="4"/>
        </w:numPr>
        <w:tabs>
          <w:tab w:val="clear" w:pos="1211"/>
          <w:tab w:val="num" w:pos="851"/>
        </w:tabs>
        <w:spacing w:line="360" w:lineRule="auto"/>
        <w:ind w:hanging="644"/>
        <w:rPr>
          <w:sz w:val="24"/>
        </w:rPr>
      </w:pPr>
      <w:r>
        <w:rPr>
          <w:snapToGrid w:val="0"/>
          <w:sz w:val="24"/>
        </w:rPr>
        <w:t>Федеральный Закон от 17 мая 1995г. № 76-ФЗ «О выборах Президента РФ».</w:t>
      </w:r>
    </w:p>
    <w:p w:rsidR="003B15DF" w:rsidRDefault="003B15DF">
      <w:pPr>
        <w:numPr>
          <w:ilvl w:val="0"/>
          <w:numId w:val="4"/>
        </w:numPr>
        <w:tabs>
          <w:tab w:val="clear" w:pos="1211"/>
          <w:tab w:val="num" w:pos="851"/>
        </w:tabs>
        <w:spacing w:line="360" w:lineRule="auto"/>
        <w:ind w:hanging="644"/>
        <w:rPr>
          <w:sz w:val="24"/>
        </w:rPr>
      </w:pPr>
      <w:r>
        <w:rPr>
          <w:snapToGrid w:val="0"/>
          <w:sz w:val="24"/>
        </w:rPr>
        <w:t>Федеральное собрание России: опыт первых выборов. М.,1994</w:t>
      </w:r>
    </w:p>
    <w:p w:rsidR="003B15DF" w:rsidRDefault="003B15DF">
      <w:pPr>
        <w:numPr>
          <w:ilvl w:val="0"/>
          <w:numId w:val="4"/>
        </w:numPr>
        <w:tabs>
          <w:tab w:val="clear" w:pos="1211"/>
          <w:tab w:val="num" w:pos="851"/>
        </w:tabs>
        <w:spacing w:line="360" w:lineRule="auto"/>
        <w:ind w:hanging="644"/>
        <w:rPr>
          <w:sz w:val="24"/>
        </w:rPr>
      </w:pPr>
      <w:r>
        <w:rPr>
          <w:sz w:val="24"/>
        </w:rPr>
        <w:t>М.В. Баглай «Конституционное право Российской Федерации», издательство НОРМА-ИНФРА М. 1998г. С.-343</w:t>
      </w:r>
    </w:p>
    <w:p w:rsidR="003B15DF" w:rsidRDefault="003B15DF">
      <w:pPr>
        <w:numPr>
          <w:ilvl w:val="0"/>
          <w:numId w:val="4"/>
        </w:numPr>
        <w:tabs>
          <w:tab w:val="clear" w:pos="1211"/>
          <w:tab w:val="num" w:pos="851"/>
        </w:tabs>
        <w:spacing w:line="360" w:lineRule="auto"/>
        <w:ind w:hanging="644"/>
        <w:rPr>
          <w:sz w:val="24"/>
        </w:rPr>
      </w:pPr>
      <w:r>
        <w:rPr>
          <w:sz w:val="24"/>
        </w:rPr>
        <w:t>«Конституционное право России: Лекции». Саратов 1995</w:t>
      </w:r>
      <w:bookmarkStart w:id="0" w:name="_GoBack"/>
      <w:bookmarkEnd w:id="0"/>
    </w:p>
    <w:sectPr w:rsidR="003B15DF">
      <w:headerReference w:type="even" r:id="rId7"/>
      <w:headerReference w:type="default" r:id="rId8"/>
      <w:pgSz w:w="11906" w:h="16838"/>
      <w:pgMar w:top="1440" w:right="1134"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DF" w:rsidRDefault="003B15DF">
      <w:r>
        <w:separator/>
      </w:r>
    </w:p>
  </w:endnote>
  <w:endnote w:type="continuationSeparator" w:id="0">
    <w:p w:rsidR="003B15DF" w:rsidRDefault="003B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DF" w:rsidRDefault="003B15DF">
      <w:r>
        <w:separator/>
      </w:r>
    </w:p>
  </w:footnote>
  <w:footnote w:type="continuationSeparator" w:id="0">
    <w:p w:rsidR="003B15DF" w:rsidRDefault="003B15DF">
      <w:r>
        <w:continuationSeparator/>
      </w:r>
    </w:p>
  </w:footnote>
  <w:footnote w:id="1">
    <w:p w:rsidR="003B15DF" w:rsidRDefault="003B15DF">
      <w:pPr>
        <w:pStyle w:val="a7"/>
      </w:pPr>
    </w:p>
    <w:p w:rsidR="003B15DF" w:rsidRDefault="003B15DF">
      <w:pPr>
        <w:pStyle w:val="a7"/>
      </w:pPr>
      <w:r>
        <w:rPr>
          <w:rStyle w:val="a8"/>
        </w:rPr>
        <w:footnoteRef/>
      </w:r>
      <w:r>
        <w:t xml:space="preserve"> М.В. Баглай «Конституционное право Российской Федерации», издательство НОРМА-ИНФРА М. 1998г. С.-343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5DF" w:rsidRDefault="003B15DF">
    <w:pPr>
      <w:pStyle w:val="a9"/>
      <w:framePr w:wrap="around" w:vAnchor="text" w:hAnchor="margin" w:xAlign="center" w:y="1"/>
      <w:rPr>
        <w:rStyle w:val="aa"/>
      </w:rPr>
    </w:pPr>
    <w:r>
      <w:rPr>
        <w:rStyle w:val="aa"/>
        <w:noProof/>
      </w:rPr>
      <w:t>1</w:t>
    </w:r>
  </w:p>
  <w:p w:rsidR="003B15DF" w:rsidRDefault="003B15D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5DF" w:rsidRDefault="000964B3">
    <w:pPr>
      <w:pStyle w:val="a9"/>
      <w:framePr w:wrap="around" w:vAnchor="text" w:hAnchor="margin" w:xAlign="center" w:y="1"/>
      <w:rPr>
        <w:rStyle w:val="aa"/>
      </w:rPr>
    </w:pPr>
    <w:r>
      <w:rPr>
        <w:rStyle w:val="aa"/>
        <w:noProof/>
      </w:rPr>
      <w:t>3</w:t>
    </w:r>
  </w:p>
  <w:p w:rsidR="003B15DF" w:rsidRDefault="003B15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072B"/>
    <w:multiLevelType w:val="singleLevel"/>
    <w:tmpl w:val="4510E6A8"/>
    <w:lvl w:ilvl="0">
      <w:start w:val="1"/>
      <w:numFmt w:val="decimal"/>
      <w:lvlText w:val="%1."/>
      <w:lvlJc w:val="left"/>
      <w:pPr>
        <w:tabs>
          <w:tab w:val="num" w:pos="1211"/>
        </w:tabs>
        <w:ind w:left="1211" w:hanging="360"/>
      </w:pPr>
      <w:rPr>
        <w:rFonts w:hint="default"/>
      </w:rPr>
    </w:lvl>
  </w:abstractNum>
  <w:abstractNum w:abstractNumId="1">
    <w:nsid w:val="2A506A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8DD22BA"/>
    <w:multiLevelType w:val="singleLevel"/>
    <w:tmpl w:val="D88C0C1E"/>
    <w:lvl w:ilvl="0">
      <w:start w:val="1"/>
      <w:numFmt w:val="decimal"/>
      <w:lvlText w:val="%1."/>
      <w:lvlJc w:val="left"/>
      <w:pPr>
        <w:tabs>
          <w:tab w:val="num" w:pos="1080"/>
        </w:tabs>
        <w:ind w:left="1080" w:hanging="360"/>
      </w:pPr>
      <w:rPr>
        <w:rFonts w:hint="default"/>
      </w:rPr>
    </w:lvl>
  </w:abstractNum>
  <w:abstractNum w:abstractNumId="3">
    <w:nsid w:val="4F041314"/>
    <w:multiLevelType w:val="singleLevel"/>
    <w:tmpl w:val="4510E6A8"/>
    <w:lvl w:ilvl="0">
      <w:start w:val="1"/>
      <w:numFmt w:val="decimal"/>
      <w:lvlText w:val="%1."/>
      <w:lvlJc w:val="left"/>
      <w:pPr>
        <w:tabs>
          <w:tab w:val="num" w:pos="1211"/>
        </w:tabs>
        <w:ind w:left="1211"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4B3"/>
    <w:rsid w:val="000964B3"/>
    <w:rsid w:val="003B15DF"/>
    <w:rsid w:val="00546FDB"/>
    <w:rsid w:val="0078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1CB09-A6D7-40C5-A102-CD3C0462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Subtitle"/>
    <w:basedOn w:val="a"/>
    <w:qFormat/>
    <w:pPr>
      <w:jc w:val="center"/>
    </w:pPr>
    <w:rPr>
      <w:b/>
      <w:sz w:val="36"/>
    </w:rPr>
  </w:style>
  <w:style w:type="paragraph" w:styleId="a5">
    <w:name w:val="Body Text"/>
    <w:basedOn w:val="a"/>
    <w:semiHidden/>
    <w:pPr>
      <w:jc w:val="center"/>
    </w:pPr>
    <w:rPr>
      <w:b/>
      <w:sz w:val="52"/>
    </w:rPr>
  </w:style>
  <w:style w:type="paragraph" w:styleId="20">
    <w:name w:val="Body Text 2"/>
    <w:basedOn w:val="a"/>
    <w:semiHidden/>
    <w:pPr>
      <w:spacing w:line="360" w:lineRule="auto"/>
      <w:jc w:val="both"/>
    </w:pPr>
    <w:rPr>
      <w:snapToGrid w:val="0"/>
      <w:sz w:val="24"/>
    </w:rPr>
  </w:style>
  <w:style w:type="paragraph" w:styleId="a6">
    <w:name w:val="Body Text Indent"/>
    <w:basedOn w:val="a"/>
    <w:semiHidden/>
    <w:pPr>
      <w:spacing w:before="60" w:line="360" w:lineRule="auto"/>
      <w:ind w:firstLine="320"/>
      <w:jc w:val="both"/>
    </w:pPr>
    <w:rPr>
      <w:snapToGrid w:val="0"/>
      <w:sz w:val="28"/>
    </w:rPr>
  </w:style>
  <w:style w:type="paragraph" w:styleId="a7">
    <w:name w:val="footnote text"/>
    <w:basedOn w:val="a"/>
    <w:semiHidden/>
  </w:style>
  <w:style w:type="character" w:styleId="a8">
    <w:name w:val="footnote reference"/>
    <w:semiHidden/>
    <w:rPr>
      <w:vertAlign w:val="superscript"/>
    </w:rPr>
  </w:style>
  <w:style w:type="paragraph" w:styleId="21">
    <w:name w:val="Body Text Indent 2"/>
    <w:basedOn w:val="a"/>
    <w:semiHidden/>
    <w:pPr>
      <w:spacing w:line="360" w:lineRule="auto"/>
      <w:ind w:firstLine="851"/>
      <w:jc w:val="both"/>
    </w:pPr>
    <w:rPr>
      <w:sz w:val="28"/>
    </w:rPr>
  </w:style>
  <w:style w:type="paragraph" w:styleId="3">
    <w:name w:val="Body Text 3"/>
    <w:basedOn w:val="a"/>
    <w:semiHidden/>
    <w:pPr>
      <w:spacing w:line="360" w:lineRule="auto"/>
      <w:jc w:val="both"/>
    </w:pPr>
    <w:rPr>
      <w:sz w:val="28"/>
    </w:rPr>
  </w:style>
  <w:style w:type="paragraph" w:styleId="30">
    <w:name w:val="Body Text Indent 3"/>
    <w:basedOn w:val="a"/>
    <w:semiHidden/>
    <w:pPr>
      <w:spacing w:line="360" w:lineRule="auto"/>
      <w:ind w:firstLine="851"/>
      <w:jc w:val="both"/>
    </w:pPr>
    <w:rPr>
      <w:sz w:val="24"/>
    </w:rPr>
  </w:style>
  <w:style w:type="paragraph" w:styleId="a9">
    <w:name w:val="head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3789</Words>
  <Characters>21599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Министерство юстиции Российской Федерации</vt:lpstr>
    </vt:vector>
  </TitlesOfParts>
  <Company>Home Station</Company>
  <LinksUpToDate>false</LinksUpToDate>
  <CharactersWithSpaces>25338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юстиции Российской Федерации</dc:title>
  <dc:subject/>
  <dc:creator>Denis</dc:creator>
  <cp:keywords/>
  <cp:lastModifiedBy>admin</cp:lastModifiedBy>
  <cp:revision>2</cp:revision>
  <dcterms:created xsi:type="dcterms:W3CDTF">2014-02-03T10:22:00Z</dcterms:created>
  <dcterms:modified xsi:type="dcterms:W3CDTF">2014-02-03T10:22:00Z</dcterms:modified>
</cp:coreProperties>
</file>