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74A" w:rsidRPr="00B14EC6" w:rsidRDefault="00A1474A" w:rsidP="00A1474A">
      <w:pPr>
        <w:spacing w:before="120" w:line="240" w:lineRule="auto"/>
        <w:ind w:firstLine="561"/>
        <w:jc w:val="center"/>
        <w:rPr>
          <w:rFonts w:ascii="Times New Roman" w:hAnsi="Times New Roman" w:cs="Times New Roman"/>
          <w:b/>
          <w:bCs/>
          <w:sz w:val="32"/>
          <w:szCs w:val="32"/>
        </w:rPr>
      </w:pPr>
      <w:bookmarkStart w:id="0" w:name="_Toc483062891"/>
      <w:bookmarkStart w:id="1" w:name="_Toc28663880"/>
      <w:r w:rsidRPr="00B14EC6">
        <w:rPr>
          <w:rFonts w:ascii="Times New Roman" w:hAnsi="Times New Roman" w:cs="Times New Roman"/>
          <w:b/>
          <w:bCs/>
          <w:sz w:val="32"/>
          <w:szCs w:val="32"/>
        </w:rPr>
        <w:t xml:space="preserve">Основные направления развития мировой финансовой системы </w:t>
      </w:r>
    </w:p>
    <w:p w:rsidR="00A1474A" w:rsidRPr="00B14EC6" w:rsidRDefault="00A1474A" w:rsidP="00A1474A">
      <w:pPr>
        <w:spacing w:before="120" w:line="240" w:lineRule="auto"/>
        <w:ind w:firstLine="561"/>
        <w:rPr>
          <w:rFonts w:ascii="Times New Roman" w:hAnsi="Times New Roman" w:cs="Times New Roman"/>
          <w:sz w:val="28"/>
          <w:szCs w:val="28"/>
        </w:rPr>
      </w:pPr>
      <w:r w:rsidRPr="00B14EC6">
        <w:rPr>
          <w:rFonts w:ascii="Times New Roman" w:hAnsi="Times New Roman" w:cs="Times New Roman"/>
          <w:sz w:val="28"/>
          <w:szCs w:val="28"/>
        </w:rPr>
        <w:t>Реферат подготовлен</w:t>
      </w:r>
    </w:p>
    <w:p w:rsidR="00A1474A" w:rsidRPr="00B14EC6" w:rsidRDefault="00A1474A" w:rsidP="00A1474A">
      <w:pPr>
        <w:spacing w:before="120" w:line="240" w:lineRule="auto"/>
        <w:ind w:firstLine="561"/>
        <w:rPr>
          <w:rFonts w:ascii="Times New Roman" w:hAnsi="Times New Roman" w:cs="Times New Roman"/>
          <w:sz w:val="28"/>
          <w:szCs w:val="28"/>
        </w:rPr>
      </w:pPr>
      <w:r w:rsidRPr="00B14EC6">
        <w:rPr>
          <w:rFonts w:ascii="Times New Roman" w:hAnsi="Times New Roman" w:cs="Times New Roman"/>
          <w:sz w:val="28"/>
          <w:szCs w:val="28"/>
        </w:rPr>
        <w:t>МГИ</w:t>
      </w:r>
    </w:p>
    <w:p w:rsidR="00A1474A" w:rsidRPr="00B14EC6" w:rsidRDefault="00A1474A" w:rsidP="00A1474A">
      <w:pPr>
        <w:spacing w:before="120" w:line="240" w:lineRule="auto"/>
        <w:ind w:firstLine="561"/>
        <w:rPr>
          <w:rFonts w:ascii="Times New Roman" w:hAnsi="Times New Roman" w:cs="Times New Roman"/>
          <w:sz w:val="28"/>
          <w:szCs w:val="28"/>
        </w:rPr>
      </w:pPr>
      <w:r w:rsidRPr="00B14EC6">
        <w:rPr>
          <w:rFonts w:ascii="Times New Roman" w:hAnsi="Times New Roman" w:cs="Times New Roman"/>
          <w:sz w:val="28"/>
          <w:szCs w:val="28"/>
        </w:rPr>
        <w:t>Москва, 2005 г.</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 xml:space="preserve">Введение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Международные финансовые отношения являются составной частью и одной из наиболее сложных сфер рыночного хозяйства. В них сосредоточены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 Межхозяйственные связи немыслимы без налаженной системы финансовых отношений. В специфической форме они реализуют и развивают законы денежного обращения, действующего внутри страны.</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Мировая финансовая система – это экономические отношения, связанные с функционированием мировых денег и обслуживающие различные виды хозяйственных связей между странами (внешняя торговля, вывоз капитала, инвестирование прибылей, предоставление займов и субсидий, научно-технический обмен, туризм, государственные и частные переводы и др.). Развитие и стабильное функционирование международной финансовой системы обусловлено ростом производительных сил, созданием мирового рынка, углублением международного разделения труда, формированием мировой системы хозяйства, интернационализацией хозяйственных связей. Которая не может существовать без развитых и стабильных международных финансовых институтов, потому что принципы формирования финансовой системы в мировом масштабе это - форма организации и регулирования денежных отношений, закрепленная национальным законодательством или межгосударственными соглашениями.</w:t>
      </w:r>
      <w:r>
        <w:rPr>
          <w:rFonts w:ascii="Times New Roman" w:hAnsi="Times New Roman" w:cs="Times New Roman"/>
        </w:rPr>
        <w:t xml:space="preserve"> </w:t>
      </w:r>
      <w:r w:rsidRPr="00B14EC6">
        <w:rPr>
          <w:rFonts w:ascii="Times New Roman" w:hAnsi="Times New Roman" w:cs="Times New Roman"/>
        </w:rPr>
        <w:t>Важной составной частью мировой финансового системы является рынок иностранных валют, который образуется из взаимодействия национальных денежных систем.</w:t>
      </w:r>
      <w:r>
        <w:rPr>
          <w:rFonts w:ascii="Times New Roman" w:hAnsi="Times New Roman" w:cs="Times New Roman"/>
        </w:rPr>
        <w:t xml:space="preserve"> </w:t>
      </w:r>
      <w:r w:rsidRPr="00B14EC6">
        <w:rPr>
          <w:rFonts w:ascii="Times New Roman" w:hAnsi="Times New Roman" w:cs="Times New Roman"/>
        </w:rPr>
        <w:t xml:space="preserve">Особенностью рынка иностранных валют является также и то, что он объединяет валюты с различным режимом национального регулирования. Объект этого рынка - свободно конвертируемая валюта. Валюты с ограниченной конвертируемостью играют незначительную роль, что в свою очередь не маловажно для формирования системы финансовых отношений на международном уровне. </w:t>
      </w:r>
      <w:r>
        <w:rPr>
          <w:rFonts w:ascii="Times New Roman" w:hAnsi="Times New Roman" w:cs="Times New Roman"/>
        </w:rPr>
        <w:t xml:space="preserve">  </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 xml:space="preserve">1. Финансы современного общества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Важнейшим элементом хозяйственного механизма современного общества являются финансы. Финансы — система сложившихся в обществе экономических отношений по формированию и использованию фондов денежных средств на основе распределения и перераспределения совокупного общественного продукта и национального дохода.</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Финансы — историческая категория. Они возникли в условиях товарно-денежных отношений под влиянием развития функций и потребностей государства. Термин «финансы» происходит от лат. «finansia», что означает доход, платеж. В значении «денежный платеж» он начал использоваться в XII—XV вв. в Италии, ряд городов которой — Флоренция, Венеция, Генуя, были в то время крупнейшими европейскими центрами торговли и банковского дела. В дальнейшем термин получил международное распространение и стал употребляться как понятие, связанное с системой денежных отношений, образованием денежных ресурсов, мобилизуемых государством для выполнения своих политических и экономических функций.</w:t>
      </w:r>
      <w:r w:rsidRPr="00B14EC6">
        <w:rPr>
          <w:rFonts w:ascii="Times New Roman" w:hAnsi="Times New Roman" w:cs="Times New Roman"/>
        </w:rPr>
        <w:footnoteReference w:id="1"/>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В современных условиях понятие финансов охватывает, с одной стороны, государственные финансы, с другой — финансы предприятий и корпораций.</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Государственные финансы - это особая сфера экономических отношений, связанная с вторичным, а также первичным распределением и потреблением части совокупного общественного продукта в целях образования денежных фондов, необходимых государству для осуществления его функций. Их материальное содержание воплощается в государственном и местном бюджетах, специальных фондах, финансах государственных предприятий.</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Характерными принципами формирования современных финансов являются следующие:</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w:t>
      </w:r>
      <w:r>
        <w:rPr>
          <w:rFonts w:ascii="Times New Roman" w:hAnsi="Times New Roman" w:cs="Times New Roman"/>
        </w:rPr>
        <w:t xml:space="preserve"> </w:t>
      </w:r>
      <w:r w:rsidRPr="00B14EC6">
        <w:rPr>
          <w:rFonts w:ascii="Times New Roman" w:hAnsi="Times New Roman" w:cs="Times New Roman"/>
        </w:rPr>
        <w:t>денежная форма в отличие от натуральных отношений;</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w:t>
      </w:r>
      <w:r>
        <w:rPr>
          <w:rFonts w:ascii="Times New Roman" w:hAnsi="Times New Roman" w:cs="Times New Roman"/>
        </w:rPr>
        <w:t xml:space="preserve"> </w:t>
      </w:r>
      <w:r w:rsidRPr="00B14EC6">
        <w:rPr>
          <w:rFonts w:ascii="Times New Roman" w:hAnsi="Times New Roman" w:cs="Times New Roman"/>
        </w:rPr>
        <w:t>распределительный характер отношений, т.е. здесь нет эквивалентного обмена;</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w:t>
      </w:r>
      <w:r>
        <w:rPr>
          <w:rFonts w:ascii="Times New Roman" w:hAnsi="Times New Roman" w:cs="Times New Roman"/>
        </w:rPr>
        <w:t xml:space="preserve"> </w:t>
      </w:r>
      <w:r w:rsidRPr="00B14EC6">
        <w:rPr>
          <w:rFonts w:ascii="Times New Roman" w:hAnsi="Times New Roman" w:cs="Times New Roman"/>
        </w:rPr>
        <w:t>распределение совокупного общественного продукта и национального дохода через реальные денежные фонды, например, в отличие от ценового распределения.</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Таким образом, финансы по своему происхождению — денежные отношения. Но не все отношения относятся к финансовым, они становятся таковыми, лишь, когда в процессе производства и реализации товаров формируются денежные доходы участников процесса воспроизводства и происходит использование этих доходов, т.ч. когда движение денег приобретает определенную самостоятельность.</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Роль государственных финансов в современных условиях заключается, прежде всего, в том, что они выступают важным инструментом воздействия на процесс общественного воспроизводства, поддержания темпов экономического роста, развития ключевых отраслей хозяйства, структурно перестройки экономики.</w:t>
      </w:r>
      <w:r>
        <w:rPr>
          <w:rFonts w:ascii="Times New Roman" w:hAnsi="Times New Roman" w:cs="Times New Roman"/>
        </w:rPr>
        <w:t xml:space="preserve"> </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 xml:space="preserve">2. Международная финансовая система: определение и пути развития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Международная финансовая</w:t>
      </w:r>
      <w:r>
        <w:rPr>
          <w:rFonts w:ascii="Times New Roman" w:hAnsi="Times New Roman" w:cs="Times New Roman"/>
        </w:rPr>
        <w:t xml:space="preserve"> </w:t>
      </w:r>
      <w:r w:rsidRPr="00B14EC6">
        <w:rPr>
          <w:rFonts w:ascii="Times New Roman" w:hAnsi="Times New Roman" w:cs="Times New Roman"/>
        </w:rPr>
        <w:t xml:space="preserve">система есть исторически сложившаяся форма организации международных валютных (денежных) отношений, закрепленная межгосударственной договоренностью.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Международная денежная система включает в себя ряд конструктивных элементов. Первым из них является мировой денежный товар, являющийся носителем международных валютно-денежных отношений. Он принимается каждой страной в качестве эквивалента вывезенного из нее богатства. Первым международным денежным товаром выступало золото. Позже в международных расчетах стали использоваться кредитные деньги (векселя, банкноты, чеки на депозиты). В 70-х годах появляются специально созданные международные (СДР) и региональные (ЭКЮ) платежные единицы (композитные деньги).</w:t>
      </w:r>
      <w:r w:rsidRPr="00B14EC6">
        <w:rPr>
          <w:rFonts w:ascii="Times New Roman" w:hAnsi="Times New Roman" w:cs="Times New Roman"/>
        </w:rPr>
        <w:footnoteReference w:id="2"/>
      </w:r>
      <w:r w:rsidRPr="00B14EC6">
        <w:rPr>
          <w:rFonts w:ascii="Times New Roman" w:hAnsi="Times New Roman" w:cs="Times New Roman"/>
        </w:rPr>
        <w:t xml:space="preserve"> Первые имеют хождение в мировом капиталистическом хозяйстве, вторые - в границах Европейского экономического сообщества ("Общего Рынка").</w:t>
      </w:r>
      <w:r>
        <w:rPr>
          <w:rFonts w:ascii="Times New Roman" w:hAnsi="Times New Roman" w:cs="Times New Roman"/>
        </w:rPr>
        <w:t xml:space="preserve"> </w:t>
      </w:r>
      <w:r w:rsidRPr="00B14EC6">
        <w:rPr>
          <w:rFonts w:ascii="Times New Roman" w:hAnsi="Times New Roman" w:cs="Times New Roman"/>
        </w:rPr>
        <w:t xml:space="preserve">Совокупность всех платежных инструментов, которые могут быть использованы в международных расчетах называется международной ликвидностью. Ее образуют золото, свободно обратимые валютные запасы государств и международные деньги.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Вторым элементом международной денежной системы является валютный курс - меновая стоимость национальных денег одной страны, выраженная в денежных единицах других стран. Валютные курсы делятся на два вида: фиксированные (твердые) и плавающие (гибкие). В основе фиксированного валютного курса лежит монетный паритет, т. е. весовое содержание золота в национальных денежных единицах. Плавающие валютные курсы не связаны с монетными паритетами. Они определяются путем сопоставления паритетов покупательной силы валют, т.е. оценки в национальных деньгах стоимости одноименной "корзины" товаров.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Третий элемент национальной валютной системы представляют национальные валютные рынки. Первым таким рынком был рынок золота как денежного товара, где оно продавалось на основе официальной, т. е. закрепленной международным договором цены. При этом данную цену должны были поддерживать центральные банки посредством интервенции, т. е. продаж из государственного золотого запаса, если спрос на него превышал предложение. Официальная цена золота за 1 тройную унцию (31,1035 гр.) составляла 20,67 долл. (1837 - 1934 гг.), 35 долл. (1934 - 1968). В 1968 г. она была повышена до 38 долл. за унцию. Последняя официальная цена золота составляла 42,22 долл. Этот рынок существовал до августа 1971 года, когда его цена была упразднена. В настоящее время рынок золота функционирует по принципам обычного товарного рынка. Его цена складывается под влиянием спроса и предложения. </w:t>
      </w:r>
      <w:r w:rsidRPr="00B14EC6">
        <w:rPr>
          <w:rFonts w:ascii="Times New Roman" w:hAnsi="Times New Roman" w:cs="Times New Roman"/>
        </w:rPr>
        <w:footnoteReference w:id="3"/>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Содержание четвертого элемента денежно-валютной системы составляют международные валютно-финансовые организации. К ним относится Международный Валютный Фонд. Он призван способствовать международной кооперации, обеспечивая механизм консолидации и сотрудничества в решении международных финансовых проблем. В его задачу входит поддержание правил обмена валютами и надзор за валютными курсами, создание многонациональной системы платежей по валютным операциям, борьба с национальными валютными ограничениями, оказание кредитной помощи странам, временно испытывающим трудности с платежными балансами. Кроме того, сюда можно отнести ряд международных институтов, чья кредитная деятельность носит одновременно и валютный характер (группа Мирового Банка, Банк международных расчетов в Базеле, региональные банки развития, Европейский инвестиционный банк и др.).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Первой международной денежно-валютной системой стала созданная летом 1944 г. Бреттонвудская система, получившая название от места проведения международной конференции. В ее основе лежала идея приспособления валют отдельных стран к национальным валютным системам ведущих в то время государств - США и Великобритании. Унификация последних должна была составить остов создаваемого валютного союза. Согласно договору, основными инструментами международных расчетов становилось золото и так называемые резервные валюты, статус которых получили американский доллар и английский фунт стерлингов. Любая страна, подписавшая договор, имела право свободно через свои центральные эмиссионные банки обменивать имеющиеся у них резервные валюты по официальной цене на золото и наоборот.</w:t>
      </w:r>
      <w:r>
        <w:rPr>
          <w:rFonts w:ascii="Times New Roman" w:hAnsi="Times New Roman" w:cs="Times New Roman"/>
        </w:rPr>
        <w:t xml:space="preserve"> </w:t>
      </w:r>
      <w:r w:rsidRPr="00B14EC6">
        <w:rPr>
          <w:rFonts w:ascii="Times New Roman" w:hAnsi="Times New Roman" w:cs="Times New Roman"/>
        </w:rPr>
        <w:t>В качестве официальной мировой цены золота была принята национальная цена золота в долларах: 1 тройная унция золота (31,105 гр.) была приравнена к покупательной способности 35 долларов. На эту ценовую пропорцию стали ориентироваться всe мировое ценообразование и международная торговля. Статус резервной валюты получил и фунт стерлингов. Однако в силу целого ряда экономических причин он выполнял свою функцию частично. Фунт использовался в качестве резервной валюты преимущественно колониями и доминионами Британской империи. Незначительный золотой запас Англии не позволял выразить золотую цену фунта стерлингов. Его паритет был выражен опосредовано через фиксированный валютный курс к доллару на основе паритета покупательной силы.</w:t>
      </w:r>
      <w:r>
        <w:rPr>
          <w:rFonts w:ascii="Times New Roman" w:hAnsi="Times New Roman" w:cs="Times New Roman"/>
        </w:rPr>
        <w:t xml:space="preserve"> </w:t>
      </w:r>
      <w:r w:rsidRPr="00B14EC6">
        <w:rPr>
          <w:rFonts w:ascii="Times New Roman" w:hAnsi="Times New Roman" w:cs="Times New Roman"/>
        </w:rPr>
        <w:t>Первоначально 1 фунт стерлингов приравнивался к 4 долларам. В 1948 г он был девальвирован до 2.8, а в 1967 г. - до 2.4 доллара. Все участники договора обязаны были выразить свои паритеты, установив фиксированный валютный курс к доллару или непосредственно, либо опосредовано через фунт стерлингов. Рыночный курс валюты мог отклоняться от золотого паритета на +1%. Центральные банки должны были поддерживать свой курс при помощи валютных интервенций, т. е. продажи или выкупа своей национальной валюты на доллары, если складывалось неблагоприятное соотношение спроса и предложения. Условия Бреттонвудского валютного соглашения допускали изменение курса валюты посредством девальвации и ревальвации.</w:t>
      </w:r>
      <w:r>
        <w:rPr>
          <w:rFonts w:ascii="Times New Roman" w:hAnsi="Times New Roman" w:cs="Times New Roman"/>
        </w:rPr>
        <w:t xml:space="preserve"> </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 xml:space="preserve">3. Сущность функционирования мировых финансовых институтов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Важнейшим организационным звеном международной финансовой системы является созданный на основе Бреттонвудского соглашения Международный валютный фонд (МВФ). Эта наднациональная валютно-кредитная организация предназначена для упорядочения валютных отношений ее членов, для устранения национальных валютных ограничений, для создания международной системы платежей по текущим операциям. На МВФ возлагается контроль за соблюдением странами его устава и оказание финансовой помощи для покрытия дефицита платежных балансов бедствующих стран. МВФ является специализированным представительством ООН. Он отчитывается перед Советом по экономическому и социальному развитию, но не зависит от него в вопросах членства, финансов и штатов. Ресурсы фонда формируются за счет уставного капитала и накоплений. Уставной капитал образуется из обязательных взносов стран-членов. Для каждого государства установлена вступительная квота в соответствии с ее долей в международной торговле. Размер квоты определяет число голосов, которые имеет страна при решении валютно-кредитных вопросов, а также объем кредитов, которые она может получить в нем.</w:t>
      </w:r>
      <w:r>
        <w:rPr>
          <w:rFonts w:ascii="Times New Roman" w:hAnsi="Times New Roman" w:cs="Times New Roman"/>
        </w:rPr>
        <w:t xml:space="preserve"> </w:t>
      </w:r>
      <w:r w:rsidRPr="00B14EC6">
        <w:rPr>
          <w:rFonts w:ascii="Times New Roman" w:hAnsi="Times New Roman" w:cs="Times New Roman"/>
        </w:rPr>
        <w:t xml:space="preserve">Согласно уставу МВФ, 25% общего взноса страна должна предоставить в золоте, остальные 75% - в иностранной валюте. (В Ямайской валютной системе место золота заняла свободно используемая валюта и СДР). Каждая страна при вступлении автоматически получает 250 голосов плюс один дополнительный голос за эквивалент каждых 400 тыс. долл. (СДР) займов, предоставленных на день голосования, за счет уменьшения голосов у страны-должника. Для принятия решений согласно уставу требуется, чтобы за него проголосовало 60% всех участников, имеющих не менее 85% всех голосов. В настоящее время наибольшим числом голосов обладают: США - 19,3%, Великобритания - 6,7%, ФРГ - 5,8%, Франция - 4,8% и Япония - 4,6%.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Любой участник МВФ имеет право на получение кредита в пределах золотой (в Ямайской валютной системе - резервной) и четырех кредитных долей, каждая из которых, как правило, равна 25%. В пределах резервной (золотой) доли нужная валюта предоставляется автоматически. Кроме того, если страна является кредитором, то это правило распространяется и на всю сумму предоставленных ею через Фонд кредитов. Однако эти займы должны использоваться лишь на покрытие дефицита платежного баланса,но не могут пополнять национальные валютные ресурсы. Эти кредиты составляют "резервную позицию страны в МВФ" и относятся к особой части международной ликвидности.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Формальная кредитная сделка через МВФ представляет собой не кредит в обычном понимании слова, а обмен национальной валюты в МВФ требуемую валюту (сделка "транш" - tranch). А выплата кредитов, т. е. выкуп собственной валюты, может осуществляться лишь в валюте кредитора Фонда, но не его должника. К представлению займа в пределах первой кредитной доли (25-50% квоты) МВФ подходит либерально, считая, что страна сама в состоянии справиться со своими платежными проблемами. Получение займов в пределах второй - четвертой доли (50-125% квоты) сопряжено со все возрастающей сложностью. Он предоставляется только тогда, когда МВФ убежден, что эти ресурсы будут использованы в нужном Фонду направлении. Он категорически выступает против того, чтобы эти займы служили для финансирования программ развития.</w:t>
      </w:r>
      <w:r>
        <w:rPr>
          <w:rFonts w:ascii="Times New Roman" w:hAnsi="Times New Roman" w:cs="Times New Roman"/>
        </w:rPr>
        <w:t xml:space="preserve"> </w:t>
      </w:r>
      <w:r w:rsidRPr="00B14EC6">
        <w:rPr>
          <w:rFonts w:ascii="Times New Roman" w:hAnsi="Times New Roman" w:cs="Times New Roman"/>
        </w:rPr>
        <w:t>Предоставление таких кредитов связано с принятием страной "стабилизационной программы", т. е. комплекса мер, которые должны улучшить, по мнению МВФ, состояние платежного баланса страны-заемщика. В качестве отдельных требований могут быть:</w:t>
      </w:r>
      <w:r w:rsidRPr="00B14EC6">
        <w:rPr>
          <w:rFonts w:ascii="Times New Roman" w:hAnsi="Times New Roman" w:cs="Times New Roman"/>
        </w:rPr>
        <w:footnoteReference w:id="4"/>
      </w:r>
      <w:r w:rsidRPr="00B14EC6">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девальвация национальной валюты;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замораживание заработной платы;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отмена субсидий со стороны правительства;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повышение налоговых ставок;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сокращение объема государственных кредитов;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допуск в страну иностранного частного капитала и т. д.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Кроме того, величина кредита разбивается на несколько долей и предоставление каждой следующей части может происходить лишь по мере выполнения условий Фонда по предыдущей. Стандартный срок кредита МВФ составляет 3-5 лет. Кроме уставного капитала и общих кредитных ресурсов МВФ имеет еще ряд специальных фондов. Ресурсы этих фондов, как и вся кредитная практика в 80-е годы, направлена почти исключительно на кредитование развивающихся стран.</w:t>
      </w:r>
      <w:r>
        <w:rPr>
          <w:rFonts w:ascii="Times New Roman" w:hAnsi="Times New Roman" w:cs="Times New Roman"/>
        </w:rPr>
        <w:t xml:space="preserve"> </w:t>
      </w:r>
      <w:r w:rsidRPr="00B14EC6">
        <w:rPr>
          <w:rFonts w:ascii="Times New Roman" w:hAnsi="Times New Roman" w:cs="Times New Roman"/>
        </w:rPr>
        <w:t xml:space="preserve">Будучи членом МВФ можно вступить в МБРР. Согласно уставу, страны обязаны предоставить только 10% своей квоты в кредитный фонд МБРР (1% - золото, сейчас свободно используемая валюта, 9% - национальная валюта). Остальные 90% МБРР (мировой банк реконструкции и развития) может потребовать лишь в случае отсутствия у него ресурсов в данной валюте для срочного погашения обязательств.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Основное предназначение МБРР - помощь в развитии. Он предоставляет кредиты только правительствам и их центральным банкам для финансирования проектов, предназначенных для экономического развития страны под гарантии правительства и центрального эмиссионного банка. При этом экспертная комиссия Банка должна предварительно оценивать проект как эффективный. Использование заемных средств производится строго целенаправленно и поэтапно. Основная масса кредитов МБРР приходится на развитие производственной инфраструктуры и сельского хозяйства.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Для предоставления кредитов МБРР широко прибегает к размещению собственных займов на международных финансовых рынках. Срок долговых обязательств МБРР составляет 15-25 лет. Проценты по кредитам ориентируются на уровень процентных ставок международных рынков ссудных капиталов, где сам МБРР заимствует основную часть средств. Под эгидой МБРР существует два его филиала: Международная финансовая корпорация (МФК, создана в 1956 г.) и международная ассоциация развития (МАР, создана в 1960 г.). В задачу МФК входит финансирование вместе с частными кредиторами частного предпринимательства, которое не имеет гарантии правительства. МАР предоставляет займы правительствам развивающихся стран или под гарантии государственным и частным организациям этих стран. Значительная часть этих ресурсов предоставляется на льготных условиях. МБРР, МФК, и МАР образуют группу Мирового Банка. Европейского Фонда валютного сотрудничества, выполняющего по отношению к ЕВС роль Международного Валютного Фонда. Долларовые накопления, в свою очередь, образуют кредитный фонд Европейской валютной системы. Его объем составляет для краткосрочного кредитования - 14 млрд. экю и для среднесрочного кредитования - 14 млрд. экю и для среднесрочного кредитования - 11 млрд. экю. Участники ЕВС могут получить кредиты трех видов:</w:t>
      </w:r>
      <w:r w:rsidRPr="00B14EC6">
        <w:rPr>
          <w:rFonts w:ascii="Times New Roman" w:hAnsi="Times New Roman" w:cs="Times New Roman"/>
        </w:rPr>
        <w:footnoteReference w:id="5"/>
      </w:r>
      <w:r w:rsidRPr="00B14EC6">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краткосрочные сроком до 45 дней. Они предоставляются центральными банками в рамках соглашения "своп". Процентная ставка по этим кредитам определяется как средняя всех учетных ставок центральных банков стран-участников ЕВС;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краткосрочные кредиты сроком на три месяца. Каждая страна имеет свою "дебиторную квоту" (наивысший объем полученных ею займов), "кредиторную квоту" (наибольший объем полученных ее кредитов). Этот кредит предоставляется из фонда краткосрочного кредитования ЕВФС; 3) среднесрочный кредит размером до 1 млрд. экю. Этот заем предоставляется равными долями в течение пяти лет из расчета 3% годовых. Специально оговорено, что данные кредиты должны использоваться для финансирования инфраструктурных проектов и не должны подрывать конку- рентные позиции стран сообщества. </w:t>
      </w:r>
      <w:r>
        <w:rPr>
          <w:rFonts w:ascii="Times New Roman" w:hAnsi="Times New Roman" w:cs="Times New Roman"/>
        </w:rPr>
        <w:t xml:space="preserve"> </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 xml:space="preserve">4. Основные принципы формирования мировой финансовой системы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Международные расчеты есть платежи по денежным требованиям и обязательствам, которые возникают в связи с мирохозяйственными (торговыми, кредитными, финансовыми, валютными) отношениями между юридическими и физическими лицами различных национально оформленных хозяйственных механизмов. Соотношение платежей, поступающих в данную страну из-за границы, с денежными платежами данной страны другим странам в течение определенного календарного промежутка времени (обычно года) образуют платежный баланс государства. Структурно он состоит из двух частей - из поступлений и платежей. Их сопоставление образует сальдо как по отдельным видам внешнеэкономической деятельности (статьям платежного баланса), так и по всему платежному балансу в целом.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Платежный баланс представляет собой количественное и качественное выражение объема, структуры и характера внешнеэкономических операций государства. Он складывается под воздействием ряда факторов: углубления международного разделения труда и кооперации, тенденции к интернационализации производства и капитала и противодействующей ей тенденции к сохранению и укреплению национальной обособленности хозяйственных механизмов отдельных стран.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Усилившаяся интернационализация хозяйственной деятельности и транснационализация предпринимательства привели к формированию в 70-е годы ХХ века единого рынка ссудных капиталов и созданию на этой основе мирового финансового рынка. Международный финансовый рынок есть вторичный рынок финансовых активов, и в этом плане он схож с национальными финансовыми рынками, которые создают первооснову, его фундамент. Различия заключаются в субъектах финансовых сделок, ибо ими выступают юридические и физические лица иностранных государств. А это ведет к тому, что сделки между заемщиками и кредиторами предполагают трансформацию денежно-кредитных ресурсов из одной валюты в другую. Переплетение национальных и международных активов приводит к формированию единого универсального рынка, доступного для всех предпринимателей. В связи с этим их прибыли и риски уравновешиваются не только в рамках национальной экономики, но и вне национальных границ.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Существует целый ряд факторов, содействующий образованию международного финансового рынка: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усиление взаимосвязи между внутренним и иностранным секторами бизнеса на национальных рынках, переплетение национальных рынков и еврорынков;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дерегуляция со стороны государства денежных потоков, потоков капитала и валютных курсов;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внедрение нововведений в торговые операции, потребовавшие совершенствования платежных расчетов;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развитие межбанковских телекоммуникаций на базе ЭВМ, электронный перевод финансовых активов.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Мировой финансовый рынок состоит из нескольких секторов. Он включает в себя следующие составные части: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Национальные финансовые рынки.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Еврорынки.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Рынок иностранной валюты.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Институциональная схема мирового финансового рынка Исторической основой мирового финансового рынка являются национальные финансовые рынки ссудных капиталов в лице их денежных рынков и рынков капиталов. Национальные инструменты этого рынка (коммерческие и казначейские векселя, банковские акцепты, депозитные сертификаты, облигации) становятся и инструментами мирового финансового рынка. Следующей составной частью мирового финансового рынка являются еврорынки, под которыми понимается резервуар различного рода денежных средств, обособленно функционирующих от национальных денежных рынков. Источником финансовых ресурсов еврорынков являются национальные банковские депозитные счета, которые приобретены иностранцами и размещены вне страны-эмитента валюты. На этом рынке обращаются депозиты, выраженные в евродолларах, евромарках, евроиенах, евростерлингах, еврофранцузских и еврошвейцарских франках, еврогульденах. Еврорынок - понятие собирательное. В свою очередь он подразделяется на сектор кредитов и сектор капиталов. Евровалютный рынок краткосрочных кредитов представляет собой рынок срочных депозитов, который в свою очередь подразделяется на евроденежный рынок, обеспечивающий межбанковские операции сроком от 1-5 дней до одного года, и еврокредитный, оперирующий с среднесрочными и долгосрочными кредитами сроком от 1 до 10 лет.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Еврокредиты могут предоставлять под два вида процентных ставок. Во-первых, если срок кредита не превышает полгода, то он может быть получен по твердой процентной ставке. Во-вторых, если кредит долгосрочный и темпы роста цен значительные, то кредит предоставляется на условиях плавающей процентной ставки - револьверный кредит (revolving credit) или на возобновляемых пролонгационных условиях (roll-over credit).</w:t>
      </w:r>
      <w:r w:rsidRPr="00B14EC6">
        <w:rPr>
          <w:rFonts w:ascii="Times New Roman" w:hAnsi="Times New Roman" w:cs="Times New Roman"/>
        </w:rPr>
        <w:footnoteReference w:id="6"/>
      </w:r>
      <w:r w:rsidRPr="00B14EC6">
        <w:rPr>
          <w:rFonts w:ascii="Times New Roman" w:hAnsi="Times New Roman" w:cs="Times New Roman"/>
        </w:rPr>
        <w:t xml:space="preserve">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Ролловерный кредит - кредит с периодически пересматриваемой ставкой процента. Весь договорный срок разбивается на короткие периоды (3-6 месяцев), а твердая процентная ставка устанавливается только для первого этапа. Для каждого последующего она корректируется с учетом изменения цен, процентных ставок и валютных курсов. Ролловерный кредит позволяет избежать рыночного риска как кредитору, так и заемщику.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Основными инструментами евровалютного рынка краткосрочных кредитов являются: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еврокоммерческие векселя (векселя в евровалютах);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депозитные сертификаты, т. е. письменные свидетельства банков о депонировании денежных средств, удостоверяющие право вкладчика на получение вклада и процента, как правило, он превышает 100 тыс. долларов.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евроноты, т. е. краткосрочные обязательства с плавающей процентной ставкой. Евроноты отличаются от еврокоммерческих векселей, во-первых, тем, что они выпускаются заемщиком с банковской гарантией приобретения неразмещенной на рынке части ценных бумаг, во-вторых, срок их погашения составляет 1,5-3 года, тогда как евровекселей - не превышает одного года.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Процентная ставка на евровалютном рынке образуется из депозитной ставки международных банков в Лондоне "LIBOR" (London interbank offered rate) и надбавки к ней за банковские услуги (спред). При этом размеры последнего зависят от классности заемщика. Для первоклассных заемщиков в зависимости от конъюктуры он может колебаться от 3/8 до 1 1/2%, а для неклассных заемщиков может достигнуть 2-3%.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Специфика еврокредитного рынка состоит в том, что еврорынки оперируют валютными активами, являющимися иностранными для страны заключения сделки, а часто и для обеих сторон, участвующих в операции. Еврокредиты при переходе через границу не включают в себя конверсию в местные валюты и потому находятся вне сферы действия национального законодательства. Кроме того, посредниками в подобных операциях выступают зарубежные с точки зрения страны их пребывания банки, что также обуславливает более либеральный режим регулирования их действия.</w:t>
      </w:r>
      <w:r>
        <w:rPr>
          <w:rFonts w:ascii="Times New Roman" w:hAnsi="Times New Roman" w:cs="Times New Roman"/>
        </w:rPr>
        <w:t xml:space="preserve"> </w:t>
      </w:r>
      <w:r w:rsidRPr="00B14EC6">
        <w:rPr>
          <w:rFonts w:ascii="Times New Roman" w:hAnsi="Times New Roman" w:cs="Times New Roman"/>
        </w:rPr>
        <w:t xml:space="preserve">Главные рынки еврокредитов находятся в Лондоне, Брюсселе, Цюрихе, Гамбурге, Люксембурге, Сингапуре, Гонконге, Нассау. Основной валютой рынка выступает евродоллар.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Иностранные облигации (foreing bond) представляют собой разновидность национальной облигации. Их специфика связана лишь с субъектом-эмитентом и субъектом-инвестором. Они находятся в разных странах. Существует два способа выпуска иностранных облигаций. Первый способ состоит в том, что облигации выпускаются в стране А в ее национальной валюте и продаются в странах В, С, Д и так далее. Так, например, иностранные облигации в долларах, выпущенные в США, размещают на рынках Западной Европы, Юго-Восточной Азии, Ближнем Востоке и странах Карибского бассейна. Рынок этих иностранных облигаций образуют совокупность взаимоотношений между страной-эмитентом и местами их реализации.</w:t>
      </w:r>
      <w:r>
        <w:rPr>
          <w:rFonts w:ascii="Times New Roman" w:hAnsi="Times New Roman" w:cs="Times New Roman"/>
        </w:rPr>
        <w:t xml:space="preserve"> </w:t>
      </w:r>
      <w:r w:rsidRPr="00B14EC6">
        <w:rPr>
          <w:rFonts w:ascii="Times New Roman" w:hAnsi="Times New Roman" w:cs="Times New Roman"/>
        </w:rPr>
        <w:t xml:space="preserve">Второй способ заключается в том, что страна А разрешает открыть у себя рынок иностранных облигаций для нерезидентов, эмитированных в валюте этой страны. Например, компания США может произвести эмиссию облигаций на швейцарском рынке капиталов. Подписку на них производит швейцарская контора. Номинал облигации, их котировка и сделки будут осуществляться в швейцарских франках. Подобные рынки, кроме Швейцарии, сегодня существуют в Японии и ФРГ. Еще одной разновидностью ценных бумаг этого рынка являются специальные еврооблигационные займы международных институтов, например, МБРР. Они предназначены для развивающихся стран и размещаются непосредственно у правительственных агентств или в центральных эмиссионных банках. Основная масса иностранных облигаций, более 50%, приходится на государственные агентства и международные валютно-кредитные институты. Процентные ставки по иностранным облигациям обычно тяготеют к национальным процентным ставкам валюты-номинала.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Еврооблигацией называется собственно международная облигация, выпущенная международной компанией. Ее номинал определяется в одной или нескольких валютах. Еврооблигационный заем размещается одновременно в нескольких странах. По своему характеру они космополитичны. Рынок еврооблигаций - важный элемент международного рынка капиталов.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Еврооблигации имеют ряд преимуществ перед иностранными облигациями: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они в меньшей степени подвержены регламентации со стороны государства, не подчинены национальным правилам проведения операций с ценными бумагами, ибо валюта еврозайма является иностранной как для кредитора, так и для заемщика;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процент по купонам еврооблигаций, в отличие от иностранных облигаций, не облагается налогом у "источника дохода";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еврооблигации являются более гибким инструментом как для заемщика, так и для кредитора, так как они дают больше возможностей для получения при были и для уклонения от валютного риска. Из евровалют можно выбрать для облигации оптимальный "коктейль" или сформировать благоприятный портфель еврооблигаций;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для держателей еврооблигаций не требуется официальной регистрации. Это держится в тайне.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В свою очередь преимущество иностранных облигаций состоит в том, что они меньше подвержены банкротному риску, так как их значительная часть выпускается институтом государства.</w:t>
      </w:r>
      <w:r>
        <w:rPr>
          <w:rFonts w:ascii="Times New Roman" w:hAnsi="Times New Roman" w:cs="Times New Roman"/>
        </w:rPr>
        <w:t xml:space="preserve"> </w:t>
      </w:r>
      <w:r w:rsidRPr="00B14EC6">
        <w:rPr>
          <w:rFonts w:ascii="Times New Roman" w:hAnsi="Times New Roman" w:cs="Times New Roman"/>
        </w:rPr>
        <w:t xml:space="preserve">Организационно рынок еврозаймов, как и рынок еврокредитов связан с мировыми финансовыми центрами или с центрами "offshore". Оффшорными центрами называются такие рынки, где кредитно-финансовые институты (национальные и зарубежные) осуществляют операции с нерезидентами (иностранными физическими и юридическими лицами) в иностранной для данной страны валюте или в евровалюте. Внутренний (национальный) финансовый рынок отделяется от международного путем разделения счетов резидентов и счетов нерезидентов. Основными центрами еврокредитов и еврозаймов являются Лондон, где оффшорные счета имеют около 360 банков, Нью-Йорк - 260, Токио - 180 банков. </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Основную часть еврокредитов и еврозаймов предоставляют международные консорциумы банков или банковские синдикаты. Они бывают постоянными и временными. В качестве постоянных консорциумов можно назвать АБЕКОР, ЭБИК и т.д. Временный консорциум включает два и более кредитных института, заключивших между собой совместное соглашение о предоставлении кредита и распределении риска в соответствии с долей их участия в сделке. В консорциуме существует ведущий банк, выполняющий по отношению к другим участникам сделки роль финансового менеджера. Еврокредиты консорциумов называются синдицированными займами. Существует несколько видов еврооблигаций: с фиксированной и плавающей процентными ставками, с "нулевым купоном", конвертируемые облигации и т. д. Они во многом схожи с национальными облигациями, однако существует и евроспецифика.</w:t>
      </w:r>
      <w:r>
        <w:rPr>
          <w:rFonts w:ascii="Times New Roman" w:hAnsi="Times New Roman" w:cs="Times New Roman"/>
        </w:rPr>
        <w:t xml:space="preserve"> </w:t>
      </w:r>
      <w:r w:rsidRPr="00B14EC6">
        <w:rPr>
          <w:rFonts w:ascii="Times New Roman" w:hAnsi="Times New Roman" w:cs="Times New Roman"/>
        </w:rPr>
        <w:t>Все большее распространение получают правительственные еврооблигации. Это конвертируемая облигация, которая продается с опционом или с двойным опционом. Владелец опциона может конвертировать еврооблигацию либо в обыкновенную акцию компании по оговоренному заранее валютному курсу, либо сделать выбор между обыкновенной акцией и облигацией с фиксированным процентом. Еще одним видом является еврооблигация с варрантом. Вместе с облигацией с фиксированным процентом покупается отрывной варрант, позволяющий купить определенные облигации по оговоренной цене в обозначенный период времени. Опцион и варрант являются высокорисковым видом инвестиций. Реализуются они через валютных брокеров. Важной составной частью мирового финансовой системы является рынок иностранных валют, который образуется из взаимодействия национальных денежных систем. В отличие от еврорынка это место встречи продавцов и покупателей валют не привязано к какой-либо географической точке, не имеет фиксированного времени открытия и закрытия. Особенностью рынка иностранных валют является также и то, что он объединяет валюты с различным режимом национального регулирования. Объект этого рынка - свободно конвертируемая валюта. Валюты с ограниченной конвертируемостью играют незначительную роль. Процесс формирования и укрепления финансовой системы проявился в следующих принципах:</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развитие международных стандартов публичного раскрытия экономической информации (Special Data Dissemination Standard);</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создание международных стандартов банковского надзора (the Basle Core Principles for Banking Supervision);</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расширение финансовых возможностей МВФ в рамках the New Arrangement to Borrow (NAB)</w:t>
      </w:r>
      <w:r w:rsidRPr="00B14EC6">
        <w:rPr>
          <w:rFonts w:ascii="Times New Roman" w:hAnsi="Times New Roman" w:cs="Times New Roman"/>
        </w:rPr>
        <w:footnoteReference w:id="7"/>
      </w:r>
      <w:r w:rsidRPr="00B14EC6">
        <w:rPr>
          <w:rFonts w:ascii="Times New Roman" w:hAnsi="Times New Roman" w:cs="Times New Roman"/>
        </w:rPr>
        <w:t>;</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создание в МВФ нового механизма кредитования, the Supplemental Reserve Facility (SRF), призванного помочь членам фонда справляться с неожиданным и разрушительным влиянием потери доверия инвесторов. Условия предоставления средств по линии SRF должны обеспечивать их преимущественный (первичный) возврат при снижении возможных конфликтов интересов.</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5. Направления развития мировой финансовой системы</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Регулирование финансовых рынков и инвестиционных институтов</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укрепление финансовой системы и реформирование местных финансовых институтов путем выработки и распространения международных принципов и стандартов регулирования и надзора за банковской системой, фондовым рынком и различными финансовыми институтами. Укрепление финансовой инфраструктуры через принятие более универсальных стандартов аудита, бухучета, процедур банкротства, платежных систем. Совершенствование Базельских стандартов расчета достаточности банковского капитала;</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определение путей укрепления пруденциального надзора как в развивающихся, так и в развитых странах;</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создание механизмов рыночного регулирования рынка деривативов и инвестиционной деятельности с активным использованием заемных ресурсов (эффект leverage);</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стимулирование введения международных стандартов деятельности в офшорных финансовых центрах.</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Экономическая политика</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определение условий либерализации внутреннего рынка и введения адекватного валютного режима в странах с развивающимися рынками, выработка способов контроля за движением международного капитала;</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повышение эффективности механизмов государственной поддержки частного сектора и распределения социальных выплат;</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поиск путей минимизации потерь населения в результате кризисов и разработка политики, которая бы лучше защищала наиболее уязвимые слои населения;</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расширение прозрачности в частном и государственном секторе и в деятельности международных финансовых институтов.</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Деятельность международных финансовых институтов</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Цели совершенствования МФС</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Восстановление экономической активности и доверия инвесторов к странам, пережившим финансовый кризис</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Предотвращение дальнейшего распространения кризиса на развитые страны</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Минимизация рисков будущих кризисов, ограничение их глубины и сферы действия</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Ограничение финансовых затрат по выходу из кризисов и сокращение времени на их преодоление</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Ограничение возможных потерь инвесторов в ходе будущих кризисов</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Создание финансовой системы, которая бы использовала все преимущества глобальных рынков и мобильности капитала при минимальном риске разрушения и эффективной защите наиболее уязвимых социальных групп населения</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Предотвращение развития макроэкономического и финансового дисбаланса на национальном уровне</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реформирование системы международного финансирования;</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улучшение механизмов разрешения кризисов и разработка путей вовлечения частного сектора в прогнозирование финансовых кризисов и их преодоление;</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усиление надзора со стороны МВФ за политикой, проводимой странами-участницами, особенно в финансовом секторе и в области движения капитала;</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повышение эффективности макроэкономической политики на межнациональном уровне.</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Создание новых международных структур</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создать отдельный наднациональный институт или придать новые полномочия одной из действующих международных организаций для координации направлений макроэкономической политики ведущих развитых и развивающихся стран, особенно в области подавления инфляции и обеспечения занятости населения;</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создать систему международного финансового регулирования для выработки единых международных стандартов и надзора за деятельностью институтов, проводящих операции в глобальном масштабе. Важным шагом в данном направлении могли бы стать регулярные встречи представителей финансовых властей стран G-7, ведущих стран с развивающимися рынками и международных финансовых организаций в рамках специального форума по вопросам проведения политики регулирования. Как один из вариантов рассматривается преобразование существующих международных организаций (BIS и IOSCO) при условии расширения участия в их деятельности развивающихся стран.</w:t>
      </w:r>
      <w:r>
        <w:rPr>
          <w:rFonts w:ascii="Times New Roman" w:hAnsi="Times New Roman" w:cs="Times New Roman"/>
        </w:rPr>
        <w:t xml:space="preserve"> </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 xml:space="preserve">Заключение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По определению, мировая финансовая система - это совокупность международных финансовых отношений. По природе своей финансовые отношения между государствами являются распределительными, причем распределение стоимости осуществляется прежде всего по субъектам. Субъекты формируют денежные фонды целевого назначения в зависимости от того, какую роль они играют в общественном производстве государства: являются ли непосредственными его участниками, организуют ли страховую защиту или осуществляют государственное регулирование.</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В итоге контрольной работы можно сказать о том, что Россия является полноправным членом практически всех международных и межгосударственных финансовых институтов, пользуется их займами и вносит свои вклады. Эти финансовые институты играют важную роль в развитии экономики России, таким примером может послужить ст. 58 ФЗ РФ от 30.12.2001 «О федеральном бюджете на 2002 год» говорит о том,</w:t>
      </w:r>
      <w:r>
        <w:rPr>
          <w:rFonts w:ascii="Times New Roman" w:hAnsi="Times New Roman" w:cs="Times New Roman"/>
        </w:rPr>
        <w:t xml:space="preserve"> </w:t>
      </w:r>
      <w:r w:rsidRPr="00B14EC6">
        <w:rPr>
          <w:rFonts w:ascii="Times New Roman" w:hAnsi="Times New Roman" w:cs="Times New Roman"/>
        </w:rPr>
        <w:t>что в 2002 году источником образования Фонда реформирования региональных финансов является заем Международного банка реконструкции и развития.</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Целями деятельности всех без исключения международных финансовых институтов являются оказание помощи странам в укреплении и поддержании основных условий, которые необходимы для привлечения частных инвестиций и поддержания их на должном уровне.</w:t>
      </w:r>
      <w:r>
        <w:rPr>
          <w:rFonts w:ascii="Times New Roman" w:hAnsi="Times New Roman" w:cs="Times New Roman"/>
        </w:rPr>
        <w:t xml:space="preserve"> </w:t>
      </w:r>
      <w:r w:rsidRPr="00B14EC6">
        <w:rPr>
          <w:rFonts w:ascii="Times New Roman" w:hAnsi="Times New Roman" w:cs="Times New Roman"/>
        </w:rPr>
        <w:t>В 2003</w:t>
      </w:r>
      <w:r>
        <w:rPr>
          <w:rFonts w:ascii="Times New Roman" w:hAnsi="Times New Roman" w:cs="Times New Roman"/>
        </w:rPr>
        <w:t xml:space="preserve"> </w:t>
      </w:r>
      <w:r w:rsidRPr="00B14EC6">
        <w:rPr>
          <w:rFonts w:ascii="Times New Roman" w:hAnsi="Times New Roman" w:cs="Times New Roman"/>
        </w:rPr>
        <w:t>финансовом году оказание помощи Всемирным Банком развивающимся странам осуществлялось по следующим направлениям:</w:t>
      </w:r>
      <w:r>
        <w:rPr>
          <w:rFonts w:ascii="Times New Roman" w:hAnsi="Times New Roman" w:cs="Times New Roman"/>
        </w:rPr>
        <w:t xml:space="preserve">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 ускоренное облегчение бремени задолженности; </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помощь в борьбе с ВИЧ/СПИДом;</w:t>
      </w:r>
    </w:p>
    <w:p w:rsidR="00A1474A" w:rsidRPr="00B14EC6"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 многосторонняя поддержка программ сокращения бедности;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повышение эффективности деятельности в области развития.</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Основываясь на принципах консолидации, распределения, обмена, взаимоучастия, взаимоподдержки, благотворительности и других, мировая финансовая система будет иметь уверенность и прочную основу для развития и стабильности. В лице увеличивающегося количества стран способных иметь стабильное и благополучное экономическое положение на международном рынке. </w:t>
      </w:r>
      <w:r>
        <w:rPr>
          <w:rFonts w:ascii="Times New Roman" w:hAnsi="Times New Roman" w:cs="Times New Roman"/>
        </w:rPr>
        <w:t xml:space="preserve">  </w:t>
      </w:r>
    </w:p>
    <w:p w:rsidR="00A1474A" w:rsidRPr="00B14EC6" w:rsidRDefault="00A1474A" w:rsidP="00A1474A">
      <w:pPr>
        <w:spacing w:before="120" w:line="240" w:lineRule="auto"/>
        <w:ind w:firstLine="0"/>
        <w:jc w:val="center"/>
        <w:rPr>
          <w:rFonts w:ascii="Times New Roman" w:hAnsi="Times New Roman" w:cs="Times New Roman"/>
          <w:b/>
          <w:bCs/>
          <w:sz w:val="28"/>
          <w:szCs w:val="28"/>
        </w:rPr>
      </w:pPr>
      <w:r w:rsidRPr="00B14EC6">
        <w:rPr>
          <w:rFonts w:ascii="Times New Roman" w:hAnsi="Times New Roman" w:cs="Times New Roman"/>
          <w:b/>
          <w:bCs/>
          <w:sz w:val="28"/>
          <w:szCs w:val="28"/>
        </w:rPr>
        <w:t>Список литературы</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«Макроэкономика. Европейский текст». М. Бурда, Ч. Виплош, г. С.-Петербург, «Судостроение», 1998 г.</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«Международная экономика»</w:t>
      </w:r>
      <w:r>
        <w:rPr>
          <w:rFonts w:ascii="Times New Roman" w:hAnsi="Times New Roman" w:cs="Times New Roman"/>
        </w:rPr>
        <w:t xml:space="preserve"> </w:t>
      </w:r>
      <w:r w:rsidRPr="00B14EC6">
        <w:rPr>
          <w:rFonts w:ascii="Times New Roman" w:hAnsi="Times New Roman" w:cs="Times New Roman"/>
        </w:rPr>
        <w:t>Миклашевская Н. А.,</w:t>
      </w:r>
      <w:r>
        <w:rPr>
          <w:rFonts w:ascii="Times New Roman" w:hAnsi="Times New Roman" w:cs="Times New Roman"/>
        </w:rPr>
        <w:t xml:space="preserve"> </w:t>
      </w:r>
      <w:r w:rsidRPr="00B14EC6">
        <w:rPr>
          <w:rFonts w:ascii="Times New Roman" w:hAnsi="Times New Roman" w:cs="Times New Roman"/>
        </w:rPr>
        <w:t>Холопов А. В., г.</w:t>
      </w:r>
      <w:r>
        <w:rPr>
          <w:rFonts w:ascii="Times New Roman" w:hAnsi="Times New Roman" w:cs="Times New Roman"/>
        </w:rPr>
        <w:t xml:space="preserve"> </w:t>
      </w:r>
      <w:r w:rsidRPr="00B14EC6">
        <w:rPr>
          <w:rFonts w:ascii="Times New Roman" w:hAnsi="Times New Roman" w:cs="Times New Roman"/>
        </w:rPr>
        <w:t>Москва, «Дело и Сервис»,1998г.</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«Основы международных валютно-финансовых и кредитных отношений» под редакцией Круглова В.В.</w:t>
      </w:r>
      <w:r>
        <w:rPr>
          <w:rFonts w:ascii="Times New Roman" w:hAnsi="Times New Roman" w:cs="Times New Roman"/>
        </w:rPr>
        <w:t xml:space="preserve"> </w:t>
      </w:r>
      <w:r w:rsidRPr="00B14EC6">
        <w:rPr>
          <w:rFonts w:ascii="Times New Roman" w:hAnsi="Times New Roman" w:cs="Times New Roman"/>
        </w:rPr>
        <w:t>г. Москва, «Инфра-М», 1998 г.</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 xml:space="preserve">«Основы финансового менеджмента» Балабанов И.Т. – М.: 2002г. </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Рушайло П. «Валюта без прошлого» Коммерсантъ-Деньги, Москва, №11 от 21/04/2001.</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Финансы, денежное обращение, кредит/ под редакцией профессора Л. А. Дробозиной, Москва 2000г.</w:t>
      </w:r>
      <w:r>
        <w:rPr>
          <w:rFonts w:ascii="Times New Roman" w:hAnsi="Times New Roman" w:cs="Times New Roman"/>
        </w:rPr>
        <w:t xml:space="preserve"> </w:t>
      </w:r>
    </w:p>
    <w:p w:rsidR="00A1474A" w:rsidRDefault="00A1474A" w:rsidP="00A1474A">
      <w:pPr>
        <w:spacing w:before="120" w:line="240" w:lineRule="auto"/>
        <w:ind w:firstLine="561"/>
        <w:rPr>
          <w:rFonts w:ascii="Times New Roman" w:hAnsi="Times New Roman" w:cs="Times New Roman"/>
        </w:rPr>
      </w:pPr>
      <w:r w:rsidRPr="00B14EC6">
        <w:rPr>
          <w:rFonts w:ascii="Times New Roman" w:hAnsi="Times New Roman" w:cs="Times New Roman"/>
        </w:rPr>
        <w:t>«Экономическая теория» Камаев В.Д.,</w:t>
      </w:r>
      <w:r>
        <w:rPr>
          <w:rFonts w:ascii="Times New Roman" w:hAnsi="Times New Roman" w:cs="Times New Roman"/>
        </w:rPr>
        <w:t xml:space="preserve"> </w:t>
      </w:r>
      <w:r w:rsidRPr="00B14EC6">
        <w:rPr>
          <w:rFonts w:ascii="Times New Roman" w:hAnsi="Times New Roman" w:cs="Times New Roman"/>
        </w:rPr>
        <w:t>г. Москва, «Валдос», 2000г.</w:t>
      </w:r>
      <w:r>
        <w:rPr>
          <w:rFonts w:ascii="Times New Roman" w:hAnsi="Times New Roman" w:cs="Times New Roman"/>
        </w:rPr>
        <w:t xml:space="preserve">  </w:t>
      </w:r>
    </w:p>
    <w:p w:rsidR="00B42C45" w:rsidRDefault="00B42C45">
      <w:bookmarkStart w:id="2" w:name="_GoBack"/>
      <w:bookmarkEnd w:id="0"/>
      <w:bookmarkEnd w:id="1"/>
      <w:bookmarkEnd w:id="2"/>
    </w:p>
    <w:sectPr w:rsidR="00B42C45" w:rsidSect="00B14EC6">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4A" w:rsidRDefault="00A1474A">
      <w:r>
        <w:separator/>
      </w:r>
    </w:p>
  </w:endnote>
  <w:endnote w:type="continuationSeparator" w:id="0">
    <w:p w:rsidR="00A1474A" w:rsidRDefault="00A1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4A" w:rsidRDefault="00A1474A">
      <w:r>
        <w:separator/>
      </w:r>
    </w:p>
  </w:footnote>
  <w:footnote w:type="continuationSeparator" w:id="0">
    <w:p w:rsidR="00A1474A" w:rsidRDefault="00A1474A">
      <w:r>
        <w:continuationSeparator/>
      </w:r>
    </w:p>
  </w:footnote>
  <w:footnote w:id="1">
    <w:p w:rsidR="00890185" w:rsidRDefault="00A1474A" w:rsidP="00A1474A">
      <w:pPr>
        <w:pStyle w:val="a3"/>
      </w:pPr>
      <w:r>
        <w:rPr>
          <w:rStyle w:val="a5"/>
        </w:rPr>
        <w:footnoteRef/>
      </w:r>
      <w:r>
        <w:t xml:space="preserve"> </w:t>
      </w:r>
      <w:r w:rsidRPr="00D867BB">
        <w:t>Рушайло П. «Валюта без прошлого» Коммерсантъ-Деньги, Москва, №11 от 21/04/2001.</w:t>
      </w:r>
    </w:p>
  </w:footnote>
  <w:footnote w:id="2">
    <w:p w:rsidR="00A1474A" w:rsidRPr="00D867BB" w:rsidRDefault="00A1474A" w:rsidP="00A1474A">
      <w:pPr>
        <w:spacing w:line="240" w:lineRule="auto"/>
        <w:ind w:firstLine="0"/>
        <w:rPr>
          <w:rFonts w:ascii="Times New Roman" w:hAnsi="Times New Roman" w:cs="Times New Roman"/>
          <w:sz w:val="20"/>
          <w:szCs w:val="20"/>
        </w:rPr>
      </w:pPr>
      <w:r>
        <w:rPr>
          <w:rStyle w:val="a5"/>
        </w:rPr>
        <w:footnoteRef/>
      </w:r>
      <w:r>
        <w:t xml:space="preserve"> </w:t>
      </w:r>
      <w:r w:rsidRPr="00D867BB">
        <w:rPr>
          <w:rFonts w:ascii="Times New Roman" w:hAnsi="Times New Roman" w:cs="Times New Roman"/>
          <w:sz w:val="20"/>
          <w:szCs w:val="20"/>
        </w:rPr>
        <w:t>«Макроэкономика. Европейский текст». М. Бурда, Ч. Виплош, г. С.-Петербург, «Судостроение», 1998 г.</w:t>
      </w:r>
    </w:p>
    <w:p w:rsidR="00890185" w:rsidRDefault="00890185" w:rsidP="00A1474A">
      <w:pPr>
        <w:spacing w:line="240" w:lineRule="auto"/>
        <w:ind w:firstLine="0"/>
      </w:pPr>
    </w:p>
  </w:footnote>
  <w:footnote w:id="3">
    <w:p w:rsidR="00A1474A" w:rsidRPr="00D867BB" w:rsidRDefault="00A1474A" w:rsidP="00A1474A">
      <w:pPr>
        <w:tabs>
          <w:tab w:val="num" w:pos="0"/>
          <w:tab w:val="num" w:pos="284"/>
        </w:tabs>
        <w:spacing w:after="0" w:line="240" w:lineRule="auto"/>
        <w:ind w:firstLine="0"/>
        <w:jc w:val="left"/>
        <w:rPr>
          <w:rFonts w:ascii="Times New Roman" w:hAnsi="Times New Roman" w:cs="Times New Roman"/>
          <w:sz w:val="20"/>
          <w:szCs w:val="20"/>
        </w:rPr>
      </w:pPr>
      <w:r>
        <w:rPr>
          <w:rStyle w:val="a5"/>
        </w:rPr>
        <w:footnoteRef/>
      </w:r>
      <w:r>
        <w:t xml:space="preserve"> </w:t>
      </w:r>
      <w:r w:rsidRPr="00D867BB">
        <w:rPr>
          <w:rFonts w:ascii="Times New Roman" w:hAnsi="Times New Roman" w:cs="Times New Roman"/>
          <w:sz w:val="20"/>
          <w:szCs w:val="20"/>
        </w:rPr>
        <w:t>«Экономическая теория» Камаев В.Д.,  г. Москва, «Валдос», 2000г.</w:t>
      </w:r>
      <w:r>
        <w:rPr>
          <w:rFonts w:ascii="Times New Roman" w:hAnsi="Times New Roman" w:cs="Times New Roman"/>
          <w:sz w:val="20"/>
          <w:szCs w:val="20"/>
        </w:rPr>
        <w:t xml:space="preserve"> (стр. 501)</w:t>
      </w:r>
    </w:p>
    <w:p w:rsidR="00890185" w:rsidRDefault="00890185" w:rsidP="00A1474A">
      <w:pPr>
        <w:tabs>
          <w:tab w:val="num" w:pos="0"/>
          <w:tab w:val="num" w:pos="284"/>
        </w:tabs>
        <w:spacing w:after="0" w:line="240" w:lineRule="auto"/>
        <w:ind w:firstLine="0"/>
        <w:jc w:val="left"/>
      </w:pPr>
    </w:p>
  </w:footnote>
  <w:footnote w:id="4">
    <w:p w:rsidR="00A1474A" w:rsidRPr="00D867BB" w:rsidRDefault="00A1474A" w:rsidP="00A1474A">
      <w:pPr>
        <w:tabs>
          <w:tab w:val="num" w:pos="0"/>
        </w:tabs>
        <w:spacing w:line="240" w:lineRule="auto"/>
        <w:ind w:firstLine="0"/>
        <w:rPr>
          <w:sz w:val="20"/>
          <w:szCs w:val="20"/>
        </w:rPr>
      </w:pPr>
      <w:r>
        <w:rPr>
          <w:rStyle w:val="a5"/>
        </w:rPr>
        <w:footnoteRef/>
      </w:r>
      <w:r>
        <w:t xml:space="preserve"> </w:t>
      </w:r>
      <w:r w:rsidRPr="00D867BB">
        <w:rPr>
          <w:sz w:val="20"/>
          <w:szCs w:val="20"/>
        </w:rPr>
        <w:t>Финансы, денежное обращение, кредит/ под редакцией профессора Л. А. Дробозиной, Москва 2000г.</w:t>
      </w:r>
    </w:p>
    <w:p w:rsidR="00890185" w:rsidRDefault="00890185" w:rsidP="00A1474A">
      <w:pPr>
        <w:tabs>
          <w:tab w:val="num" w:pos="0"/>
        </w:tabs>
        <w:spacing w:line="240" w:lineRule="auto"/>
        <w:ind w:firstLine="0"/>
      </w:pPr>
    </w:p>
  </w:footnote>
  <w:footnote w:id="5">
    <w:p w:rsidR="00890185" w:rsidRDefault="00A1474A" w:rsidP="00A1474A">
      <w:pPr>
        <w:pStyle w:val="a3"/>
      </w:pPr>
      <w:r>
        <w:rPr>
          <w:rStyle w:val="a5"/>
        </w:rPr>
        <w:footnoteRef/>
      </w:r>
      <w:r>
        <w:t xml:space="preserve"> </w:t>
      </w:r>
      <w:r w:rsidRPr="00D867BB">
        <w:rPr>
          <w:rFonts w:ascii="Times New Roman" w:hAnsi="Times New Roman" w:cs="Times New Roman"/>
        </w:rPr>
        <w:t>«Основы финансового менеджмента» Балабанов И.Т. – М.: 2002г.</w:t>
      </w:r>
    </w:p>
  </w:footnote>
  <w:footnote w:id="6">
    <w:p w:rsidR="00A1474A" w:rsidRPr="00D867BB" w:rsidRDefault="00A1474A" w:rsidP="00A1474A">
      <w:pPr>
        <w:spacing w:line="240" w:lineRule="auto"/>
        <w:ind w:firstLine="0"/>
        <w:rPr>
          <w:rFonts w:ascii="Times New Roman" w:hAnsi="Times New Roman" w:cs="Times New Roman"/>
          <w:sz w:val="20"/>
          <w:szCs w:val="20"/>
        </w:rPr>
      </w:pPr>
      <w:r>
        <w:rPr>
          <w:rStyle w:val="a5"/>
        </w:rPr>
        <w:footnoteRef/>
      </w:r>
      <w:r>
        <w:t xml:space="preserve"> </w:t>
      </w:r>
      <w:r w:rsidRPr="00D867BB">
        <w:rPr>
          <w:rFonts w:ascii="Times New Roman" w:hAnsi="Times New Roman" w:cs="Times New Roman"/>
          <w:sz w:val="20"/>
          <w:szCs w:val="20"/>
        </w:rPr>
        <w:t>«Макроэкономика. Европейский текст». М. Бурда, Ч. Виплош, г. С.-Петербург, «Судостроение», 1998 г.</w:t>
      </w:r>
    </w:p>
    <w:p w:rsidR="00890185" w:rsidRDefault="00890185" w:rsidP="00A1474A">
      <w:pPr>
        <w:spacing w:line="240" w:lineRule="auto"/>
        <w:ind w:firstLine="0"/>
      </w:pPr>
    </w:p>
  </w:footnote>
  <w:footnote w:id="7">
    <w:p w:rsidR="00890185" w:rsidRDefault="00A1474A" w:rsidP="00A1474A">
      <w:pPr>
        <w:pStyle w:val="a3"/>
        <w:jc w:val="both"/>
      </w:pPr>
      <w:r>
        <w:rPr>
          <w:rStyle w:val="a5"/>
        </w:rPr>
        <w:footnoteRef/>
      </w:r>
      <w:r>
        <w:t xml:space="preserve"> 25 стран, участвующих в </w:t>
      </w:r>
      <w:r>
        <w:rPr>
          <w:lang w:val="en-US"/>
        </w:rPr>
        <w:t>NAB</w:t>
      </w:r>
      <w:r w:rsidRPr="0061174B">
        <w:t>,</w:t>
      </w:r>
      <w:r>
        <w:t xml:space="preserve"> согласились предоставлять МВФ кредиты для предупреждения ухудшения мировой финансовой системы или в случае существования угрозы для ее стабильности, а также для преодоления кризисных явлений.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74A"/>
    <w:rsid w:val="005632F4"/>
    <w:rsid w:val="0061174B"/>
    <w:rsid w:val="00616072"/>
    <w:rsid w:val="00851F1B"/>
    <w:rsid w:val="00890185"/>
    <w:rsid w:val="008B35EE"/>
    <w:rsid w:val="00A1474A"/>
    <w:rsid w:val="00B14EC6"/>
    <w:rsid w:val="00B42C45"/>
    <w:rsid w:val="00B47B6A"/>
    <w:rsid w:val="00D867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248739-5D44-4873-9BA3-685763B4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74A"/>
    <w:pPr>
      <w:spacing w:after="120" w:line="360" w:lineRule="auto"/>
      <w:ind w:firstLine="720"/>
      <w:jc w:val="both"/>
    </w:pPr>
    <w:rPr>
      <w:rFonts w:ascii="TimesET" w:hAnsi="TimesET" w:cs="TimesET"/>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semiHidden/>
    <w:rsid w:val="00A1474A"/>
    <w:pPr>
      <w:spacing w:after="0" w:line="240" w:lineRule="auto"/>
      <w:ind w:firstLine="0"/>
      <w:jc w:val="left"/>
    </w:pPr>
    <w:rPr>
      <w:sz w:val="20"/>
      <w:szCs w:val="20"/>
    </w:rPr>
  </w:style>
  <w:style w:type="character" w:customStyle="1" w:styleId="a4">
    <w:name w:val="Текст сноски Знак"/>
    <w:basedOn w:val="a0"/>
    <w:link w:val="a3"/>
    <w:uiPriority w:val="99"/>
    <w:semiHidden/>
    <w:rPr>
      <w:rFonts w:ascii="TimesET" w:hAnsi="TimesET" w:cs="TimesET"/>
      <w:sz w:val="20"/>
      <w:szCs w:val="20"/>
      <w:lang w:val="ru-RU" w:eastAsia="ru-RU"/>
    </w:rPr>
  </w:style>
  <w:style w:type="character" w:styleId="a5">
    <w:name w:val="footnote reference"/>
    <w:basedOn w:val="a0"/>
    <w:uiPriority w:val="99"/>
    <w:semiHidden/>
    <w:rsid w:val="00A1474A"/>
    <w:rPr>
      <w:vertAlign w:val="superscript"/>
    </w:rPr>
  </w:style>
  <w:style w:type="paragraph" w:styleId="a6">
    <w:name w:val="footer"/>
    <w:basedOn w:val="a"/>
    <w:link w:val="a7"/>
    <w:uiPriority w:val="99"/>
    <w:rsid w:val="00A1474A"/>
    <w:pPr>
      <w:tabs>
        <w:tab w:val="center" w:pos="4677"/>
        <w:tab w:val="right" w:pos="9355"/>
      </w:tabs>
    </w:pPr>
  </w:style>
  <w:style w:type="character" w:customStyle="1" w:styleId="a7">
    <w:name w:val="Нижний колонтитул Знак"/>
    <w:basedOn w:val="a0"/>
    <w:link w:val="a6"/>
    <w:uiPriority w:val="99"/>
    <w:semiHidden/>
    <w:rPr>
      <w:rFonts w:ascii="TimesET" w:hAnsi="TimesET" w:cs="TimesET"/>
      <w:sz w:val="24"/>
      <w:szCs w:val="24"/>
      <w:lang w:val="ru-RU" w:eastAsia="ru-RU"/>
    </w:rPr>
  </w:style>
  <w:style w:type="character" w:styleId="a8">
    <w:name w:val="page number"/>
    <w:basedOn w:val="a0"/>
    <w:uiPriority w:val="99"/>
    <w:rsid w:val="00A1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23705</Words>
  <Characters>13512</Characters>
  <Application>Microsoft Office Word</Application>
  <DocSecurity>0</DocSecurity>
  <Lines>112</Lines>
  <Paragraphs>74</Paragraphs>
  <ScaleCrop>false</ScaleCrop>
  <Company>Home</Company>
  <LinksUpToDate>false</LinksUpToDate>
  <CharactersWithSpaces>37143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развития мировой финансовой системы </dc:title>
  <dc:subject/>
  <dc:creator>User</dc:creator>
  <cp:keywords/>
  <dc:description/>
  <cp:lastModifiedBy>admin</cp:lastModifiedBy>
  <cp:revision>2</cp:revision>
  <dcterms:created xsi:type="dcterms:W3CDTF">2014-01-25T12:20:00Z</dcterms:created>
  <dcterms:modified xsi:type="dcterms:W3CDTF">2014-01-25T12:20:00Z</dcterms:modified>
</cp:coreProperties>
</file>