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6" w:rsidRDefault="00824DC6">
      <w:pPr>
        <w:pStyle w:val="1"/>
        <w:jc w:val="center"/>
      </w:pPr>
      <w:r>
        <w:t>Изучение структурных особенностей цирконогелей квантово-химическим и ИК-спектроскопическим методами</w:t>
      </w:r>
    </w:p>
    <w:p w:rsidR="001C60A6" w:rsidRPr="00824DC6" w:rsidRDefault="00824DC6">
      <w:pPr>
        <w:pStyle w:val="a3"/>
      </w:pPr>
      <w:r>
        <w:t> </w:t>
      </w:r>
    </w:p>
    <w:p w:rsidR="001C60A6" w:rsidRDefault="00824DC6">
      <w:pPr>
        <w:pStyle w:val="a3"/>
      </w:pPr>
      <w:r>
        <w:t>Е.А. Никитин, М.Ю. Белканова, А.А. Лымарь, В.В. Авдин</w:t>
      </w:r>
    </w:p>
    <w:p w:rsidR="001C60A6" w:rsidRDefault="00824DC6">
      <w:pPr>
        <w:pStyle w:val="a3"/>
      </w:pPr>
      <w:r>
        <w:t>Введение</w:t>
      </w:r>
    </w:p>
    <w:p w:rsidR="001C60A6" w:rsidRDefault="00824DC6">
      <w:pPr>
        <w:pStyle w:val="a3"/>
      </w:pPr>
      <w:r>
        <w:t>Общепринятый способ синтеза оксигидратных материалов - быстрый щелочной гидролиз солей тяжелых металлов. Такой способ позволяет получить ксерогели с высокой дисперсностью. Однако сорбционная активность определяется не только площадью поверхности, но и доступностью сорбционных центров. Малые и сверхмалые скорости гелеобразования создают благоприятные условия для формирования надмолекулярных структур с развитой поверхностью, доступными сорбционными центрами.</w:t>
      </w:r>
    </w:p>
    <w:p w:rsidR="001C60A6" w:rsidRDefault="00824DC6">
      <w:pPr>
        <w:pStyle w:val="a3"/>
      </w:pPr>
      <w:r>
        <w:t>Экспериментальная часть</w:t>
      </w:r>
    </w:p>
    <w:p w:rsidR="001C60A6" w:rsidRDefault="00824DC6">
      <w:pPr>
        <w:pStyle w:val="a3"/>
      </w:pPr>
      <w:r>
        <w:t>Оксигидраты циркония синтезировали при помощи гидролиза аммиаком или едким натром водных растворов оксихлорида циркония. Исходная концентрация соли - 0,0175 моль/л, конечная концентрация (после введения всего осадителя) - 0,014 моль/л, концентрация щелочного агента - 0,1 моль/л, ёмкость реактора - 5 л, исходный объём маточного раствора - 4 л, конечный - 5 л, pH синтеза - 9,15, время введения щелочного агента составило 5 с для быстрого гидролиза, 120 ч (5 суток) для медленного гидролиза, 3600 ч (5 мес.) для сверхмедленного синтеза.</w:t>
      </w:r>
    </w:p>
    <w:p w:rsidR="001C60A6" w:rsidRDefault="00824DC6">
      <w:pPr>
        <w:pStyle w:val="a3"/>
      </w:pPr>
      <w:r>
        <w:t>Для замедления скорости гелеобразования в систему с медленным гидролизом вводили неионогенное ПАВ - моноалкилфениловый эфир полиэтиленгликоля (ОП-Ю, К-СбН4-0-(С2Н4-0)п- Н, где R - алкил С8.. .Сю, п = 9 или 10). ПАВ создаёт структурно-механический барьер, препятствующий коагуляции гидрофобных золей гидроксидов металлов [1]. Для предотвращения изменения концентрации ПАВ в системе в процессе синтеза, ОП-Ю добавляли как в исходный раствор оксихлорида циркония, так и в раствор аммиака до концентрации 1 % (по массе), что значительно превышает критическую концентрацию мицеллообразования.</w:t>
      </w:r>
    </w:p>
    <w:p w:rsidR="001C60A6" w:rsidRDefault="00824DC6">
      <w:pPr>
        <w:pStyle w:val="a3"/>
      </w:pPr>
      <w:r>
        <w:t>При малых скоростях гидролиза существенное влияние на гелеобразование оказывает электромагнитное излучение [2]. В зависимости от скорости гидролиза и диапазона длин волн облучение светом может как ускорять, так и замедлять гелеобразование. Маточный раствор облучали светом натриевой лампы со светофильтром, пропускающим в основном линии натрия - 589 и 589,6 нм (интенсивность прочих линий - менее 10 %). Освещённость (1500 лк) контролировали с помощью люксметра. Доза составила 180 ООО лк ч (время облучения - 120 ч).</w:t>
      </w:r>
    </w:p>
    <w:p w:rsidR="001C60A6" w:rsidRDefault="00824DC6">
      <w:pPr>
        <w:pStyle w:val="a3"/>
      </w:pPr>
      <w:r>
        <w:t>Гели, полученные медленным и сверхмедленным гидролизом без ПАВ, не отмывали, т.к. в данных условиях окклюзии примесей из маточного раствора не происходит [3]. Цирконогели, полученные при быстром гидролизе или с введением ПАВ, отмывали дистиллированной водой или изопропиловым спиртом по результатам предварительных исследований отмывки.</w:t>
      </w:r>
    </w:p>
    <w:p w:rsidR="001C60A6" w:rsidRDefault="00824DC6">
      <w:pPr>
        <w:pStyle w:val="a3"/>
      </w:pPr>
      <w:r>
        <w:t>Полученные образцы изучили методом ИК-Фурье спектрометрии (спектрометр Nicolet-380, суспензия в среде вазелинового масла).</w:t>
      </w:r>
    </w:p>
    <w:p w:rsidR="001C60A6" w:rsidRDefault="00824DC6">
      <w:pPr>
        <w:pStyle w:val="a3"/>
      </w:pPr>
      <w:r>
        <w:t>Компьютерное моделирование низкомолекулярных агрегатов оксигидрата циркония состава (ZrO(OH)2)n с различной степенью гидратации производилось при помощи комбинированной методологии, включающей вероятностное моделирование структуры с использованием метода Монте-Карло и оптимизацию геометрии (ab initio UHF, 3-21G). Расчет колебательных спектров проводили полуэмпирическим методом ZINDO/1.</w:t>
      </w:r>
    </w:p>
    <w:p w:rsidR="001C60A6" w:rsidRDefault="00824DC6">
      <w:pPr>
        <w:pStyle w:val="a3"/>
      </w:pPr>
      <w:r>
        <w:t>Наиболее показательными являются гели, полученные при следующих условиях:</w:t>
      </w:r>
    </w:p>
    <w:p w:rsidR="001C60A6" w:rsidRDefault="00824DC6">
      <w:pPr>
        <w:pStyle w:val="a3"/>
      </w:pPr>
      <w:r>
        <w:t>I - медленный (5 суток) гидролиз аммиаком с облучением натриевой лампой,</w:t>
      </w:r>
    </w:p>
    <w:p w:rsidR="001C60A6" w:rsidRDefault="00824DC6">
      <w:pPr>
        <w:pStyle w:val="a3"/>
      </w:pPr>
      <w:r>
        <w:t>П - медленный (5 суток) гидролиз аммиаком с введением в систему ПАВ,</w:t>
      </w:r>
    </w:p>
    <w:p w:rsidR="001C60A6" w:rsidRDefault="00824DC6">
      <w:pPr>
        <w:pStyle w:val="a3"/>
      </w:pPr>
      <w:r>
        <w:t>Ш - сверхмедленный (5 мес.) гидролиз аммиаком,</w:t>
      </w:r>
    </w:p>
    <w:p w:rsidR="001C60A6" w:rsidRDefault="00824DC6">
      <w:pPr>
        <w:pStyle w:val="a3"/>
      </w:pPr>
      <w:r>
        <w:t>IV - быстрый (5 с) гидролиз едким натром.</w:t>
      </w:r>
    </w:p>
    <w:p w:rsidR="001C60A6" w:rsidRDefault="00824DC6">
      <w:pPr>
        <w:pStyle w:val="a3"/>
      </w:pPr>
      <w:r>
        <w:t>Далее в тексте и рисунках используются те же обозначения условий синтеза.</w:t>
      </w:r>
    </w:p>
    <w:p w:rsidR="001C60A6" w:rsidRDefault="00824DC6">
      <w:pPr>
        <w:pStyle w:val="a3"/>
      </w:pPr>
      <w:r>
        <w:t>Обсуждение результатов</w:t>
      </w:r>
    </w:p>
    <w:p w:rsidR="001C60A6" w:rsidRDefault="00824DC6">
      <w:pPr>
        <w:pStyle w:val="a3"/>
      </w:pPr>
      <w:r>
        <w:t>Расчетные колебательные спектры позволяют выделить частоты, соответствующие следующим связям: координационная связь между атомом циркония и молекулой воды; мостиковые связи, образованные аква-группами; мостиковые гидроксо- и оксосвязи; валентные связи между атомом циркония и концевой гидроксогруппой; валентная связь между атомами циркония и кислорода; водородные связи; колебания молекулы воды. Диапазон расчетного спектра охватывает область до 6350 см-1, что превышает рабочую область ИК-Фурье спектрометра.</w:t>
      </w:r>
    </w:p>
    <w:p w:rsidR="001C60A6" w:rsidRDefault="00824DC6">
      <w:pPr>
        <w:pStyle w:val="a3"/>
      </w:pPr>
      <w:r>
        <w:t>В литературе отмечается, что для воды в неорганических соединениях характерны полосы поглощения при 3550-3200, 1630-1600 и в низкочастотной области при 600-200 см-1, однако колебательные спектры весьма чувствительны к окружению молекул воды [4]. Существенно усложняет спектр и наличие тонкой структуры этих полос, а также смешение колебаний молекул воды в низкочастотной области между собой и с колебаниями соседних атомных групп (например, гидроксо- и оксосвязей), что наблюдалось в расчетных спектрах. Так, расчет показал, что структура спектра сильно усложняется при повышении степени полимеризации и гидратации низкомолекулярных агрегатов. В спектре появляются колебательные полосы высокой интенсивности в области 3400-4800 см-1, которые соответствуют мостиковым связям, формирующимся с участием одновременно аква- и гидроксокгруппы с образованием водородной связи между последними.</w:t>
      </w:r>
    </w:p>
    <w:p w:rsidR="001C60A6" w:rsidRDefault="00824DC6">
      <w:pPr>
        <w:pStyle w:val="a3"/>
      </w:pPr>
      <w:r>
        <w:t>Расчетные спектры показывают наличие разных типов одной и той же связи. Так, мостиковым оксо-связям гидратированного тримера соответствуют частоты в областях 1000-1100 см"1, 740-800 см-1, 540-590 см-1 и 380—440 см-1 (см. рис. 1 а). С увеличением степени гидратации и полимеризации число мостиковых оксо-связей растет (см. рис. 1 б). При этом затруднительно выделить индивидуальные колебания одной связи в низкочастотной области из-за смешения колебаний между собой и с колебаниями, соответствующими оловым мостиковым связям и аквагруппам. Однако при переходе к более высоким частотам влияние смешения существенно снижается, и в области 1020-1200 см-1 для всех рассчитанных гидратированных и негидратирован- ных агрегатов можно обнаружить полосы, соответствующие исключительно мостиковым оксо- связям (можно назвать их «характеристическими»).</w:t>
      </w:r>
    </w:p>
    <w:p w:rsidR="001C60A6" w:rsidRDefault="00FF477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18.25pt;height:159.75pt">
            <v:imagedata r:id="rId4" o:title=""/>
          </v:shape>
        </w:pict>
      </w:r>
    </w:p>
    <w:p w:rsidR="001C60A6" w:rsidRDefault="00824DC6">
      <w:pPr>
        <w:pStyle w:val="a3"/>
      </w:pPr>
      <w:r>
        <w:t>а)б)</w:t>
      </w:r>
    </w:p>
    <w:p w:rsidR="001C60A6" w:rsidRDefault="00824DC6">
      <w:pPr>
        <w:pStyle w:val="a3"/>
      </w:pPr>
      <w:r>
        <w:t>Рис. 1. Рассчитанные частоты колебаний мостиковых оксо-связей низкомолекулярных агрегатов цирконогелей с различной степенью гидратации (к) и полимеризации (п): а) рЮ(0Н)2]3кН20, б) рЮ(ОН)2]„</w:t>
      </w:r>
    </w:p>
    <w:p w:rsidR="001C60A6" w:rsidRDefault="00FF477B">
      <w:pPr>
        <w:pStyle w:val="a3"/>
      </w:pPr>
      <w:r>
        <w:rPr>
          <w:noProof/>
        </w:rPr>
        <w:pict>
          <v:shape id="_x0000_i1032" type="#_x0000_t75" style="width:477.75pt;height:177pt">
            <v:imagedata r:id="rId5" o:title=""/>
          </v:shape>
        </w:pict>
      </w:r>
    </w:p>
    <w:p w:rsidR="001C60A6" w:rsidRDefault="00824DC6">
      <w:pPr>
        <w:pStyle w:val="a3"/>
      </w:pPr>
      <w:r>
        <w:t>Рис. 3. Рассчитанные частоты колебаний мостиковых ОН-связей пентамера tZr0(0H)J«-kH20 с различной степенью гидратации</w:t>
      </w:r>
    </w:p>
    <w:p w:rsidR="001C60A6" w:rsidRDefault="00824DC6">
      <w:pPr>
        <w:pStyle w:val="a3"/>
      </w:pPr>
      <w:r>
        <w:t>Полосы, соответствующие валентным связям цирконий - кислород, находятся в области частот 1200-1280см1 расчетных колебательных спектров (см. рис. 2).</w:t>
      </w:r>
    </w:p>
    <w:p w:rsidR="001C60A6" w:rsidRDefault="00FF477B">
      <w:pPr>
        <w:pStyle w:val="a3"/>
      </w:pPr>
      <w:r>
        <w:rPr>
          <w:noProof/>
        </w:rPr>
        <w:pict>
          <v:shape id="_x0000_i1035" type="#_x0000_t75" style="width:477.75pt;height:182.25pt">
            <v:imagedata r:id="rId6" o:title=""/>
          </v:shape>
        </w:pict>
      </w:r>
    </w:p>
    <w:p w:rsidR="001C60A6" w:rsidRDefault="00824DC6">
      <w:pPr>
        <w:pStyle w:val="a3"/>
      </w:pPr>
      <w:r>
        <w:t>Рис. 2. Рассчитанные частоты колебаний валентных связей цирконий-кислород для низкомолекулярных агрегатов цирконогелей с различной полимеризацией (п) и гидратацией (к): a) JZrO(OH)Jn, б) рЮ(0Н)2]6кН20</w:t>
      </w:r>
    </w:p>
    <w:p w:rsidR="001C60A6" w:rsidRDefault="00824DC6">
      <w:pPr>
        <w:pStyle w:val="a3"/>
      </w:pPr>
      <w:r>
        <w:t>Количество мостиковых оловых связей и концевых ОН-групп резко возрастает с увеличением степени полимеризации. Расчет подтверждает, что в области до 1000 см-1 колебания этих связей очень чувствительны к окружению. В высокочастотной области спектра (выше 6000 см-1) влияние окружения на оловые мостиковые связи снижается (см. рис. 3). Полосы в интервале 6200-6400смч, соответствующие колебаниям концевых ОН- групп, завершают высокочастотную область расчетного спектра.</w:t>
      </w:r>
    </w:p>
    <w:p w:rsidR="001C60A6" w:rsidRDefault="00824DC6">
      <w:pPr>
        <w:pStyle w:val="a3"/>
      </w:pPr>
      <w:r>
        <w:t>ИК спектры аппроксимировали минимальным количеством кривых Лоренца общепринятым способом [5].</w:t>
      </w:r>
    </w:p>
    <w:p w:rsidR="001C60A6" w:rsidRDefault="00824DC6">
      <w:pPr>
        <w:pStyle w:val="a3"/>
      </w:pPr>
      <w:r>
        <w:t>Соотнесение частот полученных максимумов проводили с использованием литературных [6, 7] и собственных расчётных данных. Расчет показывает, что одной и той же связи может соответствовать набор спектральных частот. Так, мостиковые связи могут находиться как на поверхности полимерного агрегата оксигидроксида циркония, так и внутри его. Кроме того, в низкочастотной области существенно влияние смешение колебаний, соответствующих данной связи, как между собой, так и с колебаниями соседних атомных группировок. Отсутствие лоренциана в соответствующей области свидетельствует скорее не о полном отсутствии данного типа связи, но о низкой их доле в данном образце.</w:t>
      </w:r>
    </w:p>
    <w:p w:rsidR="001C60A6" w:rsidRDefault="00824DC6">
      <w:pPr>
        <w:pStyle w:val="a3"/>
      </w:pPr>
      <w:r>
        <w:t>Результаты расшифровки ИК-спекгров цирконогелей</w:t>
      </w:r>
    </w:p>
    <w:p w:rsidR="001C60A6" w:rsidRDefault="00824DC6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160"/>
        <w:gridCol w:w="160"/>
        <w:gridCol w:w="160"/>
        <w:gridCol w:w="480"/>
        <w:gridCol w:w="480"/>
        <w:gridCol w:w="480"/>
        <w:gridCol w:w="480"/>
        <w:gridCol w:w="480"/>
      </w:tblGrid>
      <w:tr w:rsidR="001C60A6">
        <w:trPr>
          <w:trHeight w:val="2265"/>
          <w:tblCellSpacing w:w="0" w:type="dxa"/>
        </w:trPr>
        <w:tc>
          <w:tcPr>
            <w:tcW w:w="0" w:type="auto"/>
            <w:vAlign w:val="center"/>
            <w:hideMark/>
          </w:tcPr>
          <w:p w:rsidR="001C60A6" w:rsidRPr="00824DC6" w:rsidRDefault="00824DC6">
            <w:pPr>
              <w:pStyle w:val="a3"/>
            </w:pPr>
            <w:r w:rsidRPr="00824DC6">
              <w:t>Условия</w:t>
            </w:r>
          </w:p>
          <w:p w:rsidR="001C60A6" w:rsidRPr="00824DC6" w:rsidRDefault="00824DC6">
            <w:pPr>
              <w:pStyle w:val="a3"/>
            </w:pPr>
            <w:r w:rsidRPr="00824DC6">
              <w:t>получе</w:t>
            </w:r>
          </w:p>
          <w:p w:rsidR="001C60A6" w:rsidRPr="00824DC6" w:rsidRDefault="00824DC6">
            <w:pPr>
              <w:pStyle w:val="a3"/>
            </w:pPr>
            <w:r w:rsidRPr="00824DC6">
              <w:t>ния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Параметры кривых Лоренца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Деформационные колебания связей Zt=0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Деформационные колебания связей Zr-O-Zr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Деформационные колебания связей Zr-OH-Zr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60A6" w:rsidRDefault="00824DC6">
            <w:r>
              <w:t>Валентные колебания адсорбированного углекислого газа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Деформационные колебания связей Zr-H20-Zr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Валентные колебания внутримицеллярных связей Zr-OH-Zr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Валентные колебания связей Zr-H20-Zr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Валентные колебания межмицеллярных связей Zr-OH-Zr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Валентные колебания концевых ОН групп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C60A6" w:rsidRDefault="00824DC6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Вершина,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561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854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1327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1391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1528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1633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2289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2 871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3 298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3 540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Площадь, см-2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20 869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15 257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1258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1800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5 507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3 082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20619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33 388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17 852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6 686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Полуширина,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364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342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87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772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696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395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158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C60A6" w:rsidRDefault="00824DC6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Вершина,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466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830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1330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1412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1552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1644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2 610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3 060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3 365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3 550</w:t>
            </w:r>
          </w:p>
        </w:tc>
      </w:tr>
      <w:tr w:rsidR="001C60A6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Площадь, см-2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53 930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23 584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2 700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4100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8 900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3 383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42 175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31508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18229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8 855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Полуширина,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563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443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125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845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481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266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134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C60A6" w:rsidRDefault="00824DC6">
            <w:r>
              <w:t>III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Вершина,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434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644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866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1333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1401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1533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1634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2 590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3 089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3 485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Площадь, см-2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7430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9284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5 175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3 000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1783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21708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18629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13 755</w:t>
            </w:r>
          </w:p>
        </w:tc>
      </w:tr>
      <w:tr w:rsidR="001C60A6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Полуширина,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222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301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240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59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126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1034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738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469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C60A6" w:rsidRDefault="00824DC6">
            <w:r>
              <w:t>IV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Вершина,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452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708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1336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1399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1541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1635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2 735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3 206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3 497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Площадь, см-2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23 730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11784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4 375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3 900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2183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32 508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23 329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11055</w:t>
            </w:r>
          </w:p>
        </w:tc>
      </w:tr>
      <w:tr w:rsidR="001C60A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60A6" w:rsidRDefault="001C60A6"/>
        </w:tc>
        <w:tc>
          <w:tcPr>
            <w:tcW w:w="0" w:type="auto"/>
            <w:vAlign w:val="center"/>
            <w:hideMark/>
          </w:tcPr>
          <w:p w:rsidR="001C60A6" w:rsidRDefault="00824DC6">
            <w:r>
              <w:t>Полуширина, см-1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345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275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177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117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64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790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452</w:t>
            </w:r>
          </w:p>
        </w:tc>
        <w:tc>
          <w:tcPr>
            <w:tcW w:w="0" w:type="auto"/>
            <w:vAlign w:val="center"/>
            <w:hideMark/>
          </w:tcPr>
          <w:p w:rsidR="001C60A6" w:rsidRDefault="00824DC6">
            <w:r>
              <w:t>215</w:t>
            </w:r>
          </w:p>
        </w:tc>
      </w:tr>
    </w:tbl>
    <w:p w:rsidR="001C60A6" w:rsidRPr="00824DC6" w:rsidRDefault="00824DC6">
      <w:pPr>
        <w:pStyle w:val="a3"/>
      </w:pPr>
      <w:r>
        <w:t>Заключение</w:t>
      </w:r>
    </w:p>
    <w:p w:rsidR="001C60A6" w:rsidRDefault="00824DC6">
      <w:pPr>
        <w:pStyle w:val="a3"/>
      </w:pPr>
      <w:r>
        <w:t>Быстрый щелочной гидролиз (способ IV) приводит к снижению доли внутримицеллярных оловых связей и появлению большого количества межмицеллярных мостиковых связей. По- видимому, в таких условиях идет формирование высокодисперсных оксигидратов с низкой упорядоченностью.</w:t>
      </w:r>
    </w:p>
    <w:p w:rsidR="001C60A6" w:rsidRDefault="00824DC6">
      <w:pPr>
        <w:pStyle w:val="a3"/>
      </w:pPr>
      <w:r>
        <w:t>Сверхмедленный гидролиз (способ III) приводит к формированию гелей с высокой упорядоченностью внутри полимерных агрегатов, но с низкой межмицеллярной сшивкой (низкая доля межмицеллярных оловых мостиковых связей).</w:t>
      </w:r>
    </w:p>
    <w:p w:rsidR="001C60A6" w:rsidRDefault="00824DC6">
      <w:pPr>
        <w:pStyle w:val="a3"/>
      </w:pPr>
      <w:r>
        <w:t>Способ медленного гидролиза с облучением (I) создает условия для перестройки внутренней структуры агрегатов. Об этом свидетельствует снижение доли внутримицеллярных мостиковых связей мостиковых ол-связей по сравнению со способом II и максимальное содержание оксо- связей в образце.</w:t>
      </w:r>
    </w:p>
    <w:p w:rsidR="001C60A6" w:rsidRDefault="00824DC6">
      <w:pPr>
        <w:pStyle w:val="a3"/>
      </w:pPr>
      <w:r>
        <w:t>Применение ОП-Ю (способ П) снижает долю мостиковых оксосвязей, доля связей Zr=0 максимальная по сравнению с остальными способами. Одновременно наблюдается максимальное содержание внутримицеллярных мостиковых ол-связей. По-видимому, формируется высокопористая структура с высокой внутренней упорядоченностью агрегатов, что благоприятствует высокой сорбционной активности оксигидроксидов, синтезированных данным способом.</w:t>
      </w:r>
    </w:p>
    <w:p w:rsidR="001C60A6" w:rsidRDefault="00824DC6">
      <w:pPr>
        <w:pStyle w:val="a3"/>
      </w:pPr>
      <w:r>
        <w:t>Работа выполнена при финансовой поддержке РФФИ и Правительства Челябинской области (проект № 07-03-96056).</w:t>
      </w:r>
    </w:p>
    <w:p w:rsidR="001C60A6" w:rsidRDefault="00824DC6">
      <w:pPr>
        <w:pStyle w:val="a3"/>
      </w:pPr>
      <w:r>
        <w:t>Список литературы</w:t>
      </w:r>
    </w:p>
    <w:p w:rsidR="001C60A6" w:rsidRDefault="00824DC6">
      <w:pPr>
        <w:pStyle w:val="a3"/>
      </w:pPr>
      <w:r>
        <w:t>Фридрихсберг, Д.А. Курс коллоидной химии / Д.А. Фридрихсберг. - М.: Химия, 1984. - 368 с.</w:t>
      </w:r>
    </w:p>
    <w:p w:rsidR="001C60A6" w:rsidRDefault="00824DC6">
      <w:pPr>
        <w:pStyle w:val="a3"/>
      </w:pPr>
      <w:r>
        <w:t>Батист, А.В. Влияние электромагнитного излучения видимого и ультрафиолетового диапазонов на структурообразование оксигидратов циркония, иттрия и лантана: дис.... канд. хим. наук / А.В. Батист. - Челябинск, 2007. - 180 с.</w:t>
      </w:r>
    </w:p>
    <w:p w:rsidR="001C60A6" w:rsidRDefault="00824DC6">
      <w:pPr>
        <w:pStyle w:val="a3"/>
      </w:pPr>
      <w:r>
        <w:t>Сухарев, Ю.И. / Ю.И. Сухарев, В.В. Авдин, А.А. Лымарь, В.А. Потёмкин // Журн. физ. химии. - 2004. - Т. 78, №7. - С. 1192-1197.</w:t>
      </w:r>
    </w:p>
    <w:p w:rsidR="001C60A6" w:rsidRDefault="00824DC6">
      <w:pPr>
        <w:pStyle w:val="a3"/>
      </w:pPr>
      <w:r>
        <w:t>Накамото, К. ИК-спектры и спектры КР неорганических и координационных соединений / К. Накамото. - М.: Мир, 1991. - 536 с.</w:t>
      </w:r>
    </w:p>
    <w:p w:rsidR="001C60A6" w:rsidRDefault="00824DC6">
      <w:pPr>
        <w:pStyle w:val="a3"/>
      </w:pPr>
      <w:r>
        <w:t>Несмелова, Л.И. Контур спектральной линии и межмолекулярное взаимодействие / Л.И. Несмелова, О.Б. Родимова, С.Д. Творогов. - Новосибирск: Наука, 1986. - 216 с.</w:t>
      </w:r>
    </w:p>
    <w:p w:rsidR="001C60A6" w:rsidRDefault="00824DC6">
      <w:pPr>
        <w:pStyle w:val="a3"/>
      </w:pPr>
      <w:r>
        <w:t>Беллами, Л. Новые данные по ИК спектрам сложных молекул / Л. Беллами. - М.: Мир, 1971.-318с.</w:t>
      </w:r>
    </w:p>
    <w:p w:rsidR="001C60A6" w:rsidRDefault="00824DC6">
      <w:pPr>
        <w:pStyle w:val="a3"/>
      </w:pPr>
      <w:r>
        <w:t>Кузнецова, Т.Ф. / Т.Ф. Кузнецова, С.И. Еременко, Г.С. Лемешонок // Неорг. мат-лы. - 1998. - Т. 34, № 5. - С. 571-574.</w:t>
      </w:r>
      <w:bookmarkStart w:id="0" w:name="_GoBack"/>
      <w:bookmarkEnd w:id="0"/>
    </w:p>
    <w:sectPr w:rsidR="001C60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DC6"/>
    <w:rsid w:val="001C60A6"/>
    <w:rsid w:val="00824DC6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EB37219-1799-4852-AA40-2A68689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</Words>
  <Characters>9563</Characters>
  <Application>Microsoft Office Word</Application>
  <DocSecurity>0</DocSecurity>
  <Lines>79</Lines>
  <Paragraphs>22</Paragraphs>
  <ScaleCrop>false</ScaleCrop>
  <Company>diakov.net</Company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структурных особенностей цирконогелей квантово-химическим и ИК-спектроскопическим методами</dc:title>
  <dc:subject/>
  <dc:creator>Irina</dc:creator>
  <cp:keywords/>
  <dc:description/>
  <cp:lastModifiedBy>Irina</cp:lastModifiedBy>
  <cp:revision>2</cp:revision>
  <dcterms:created xsi:type="dcterms:W3CDTF">2014-08-02T20:23:00Z</dcterms:created>
  <dcterms:modified xsi:type="dcterms:W3CDTF">2014-08-02T20:23:00Z</dcterms:modified>
</cp:coreProperties>
</file>