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D9" w:rsidRDefault="00FE315D">
      <w:pPr>
        <w:pStyle w:val="a3"/>
        <w:spacing w:line="360" w:lineRule="auto"/>
        <w:ind w:firstLine="851"/>
        <w:jc w:val="center"/>
        <w:rPr>
          <w:rFonts w:ascii="Times New Roman" w:hAnsi="Times New Roman"/>
          <w:b/>
          <w:sz w:val="28"/>
        </w:rPr>
      </w:pPr>
      <w:r>
        <w:rPr>
          <w:rFonts w:ascii="Times New Roman" w:hAnsi="Times New Roman"/>
          <w:b/>
          <w:sz w:val="28"/>
        </w:rPr>
        <w:t>Содержание.</w:t>
      </w:r>
    </w:p>
    <w:p w:rsidR="00F317D9" w:rsidRDefault="00F317D9">
      <w:pPr>
        <w:pStyle w:val="a3"/>
        <w:spacing w:line="360" w:lineRule="auto"/>
        <w:ind w:firstLine="851"/>
        <w:jc w:val="center"/>
        <w:rPr>
          <w:rFonts w:ascii="Times New Roman" w:hAnsi="Times New Roman"/>
          <w:b/>
          <w:sz w:val="28"/>
        </w:rPr>
      </w:pPr>
    </w:p>
    <w:p w:rsidR="00F317D9" w:rsidRDefault="00FE315D">
      <w:pPr>
        <w:pStyle w:val="a3"/>
        <w:spacing w:line="360" w:lineRule="auto"/>
        <w:ind w:firstLine="851"/>
        <w:jc w:val="both"/>
        <w:rPr>
          <w:rFonts w:ascii="Times New Roman" w:hAnsi="Times New Roman"/>
          <w:sz w:val="28"/>
        </w:rPr>
      </w:pPr>
      <w:r>
        <w:rPr>
          <w:rFonts w:ascii="Times New Roman" w:hAnsi="Times New Roman"/>
          <w:sz w:val="28"/>
        </w:rPr>
        <w:t xml:space="preserve">Введение </w:t>
      </w:r>
    </w:p>
    <w:p w:rsidR="00F317D9" w:rsidRDefault="00FE315D">
      <w:pPr>
        <w:pStyle w:val="a3"/>
        <w:spacing w:line="360" w:lineRule="auto"/>
        <w:ind w:firstLine="851"/>
        <w:jc w:val="both"/>
        <w:rPr>
          <w:rFonts w:ascii="Times New Roman" w:hAnsi="Times New Roman"/>
          <w:sz w:val="28"/>
        </w:rPr>
      </w:pPr>
      <w:r>
        <w:rPr>
          <w:rFonts w:ascii="Times New Roman" w:hAnsi="Times New Roman"/>
          <w:sz w:val="28"/>
        </w:rPr>
        <w:t>Оценка системы внутреннего контроля в ходе аудита</w:t>
      </w:r>
    </w:p>
    <w:p w:rsidR="00F317D9" w:rsidRDefault="00FE315D">
      <w:pPr>
        <w:pStyle w:val="a3"/>
        <w:spacing w:line="360" w:lineRule="auto"/>
        <w:ind w:firstLine="851"/>
        <w:jc w:val="both"/>
        <w:rPr>
          <w:rFonts w:ascii="Times New Roman" w:hAnsi="Times New Roman"/>
          <w:sz w:val="28"/>
        </w:rPr>
      </w:pPr>
      <w:r>
        <w:rPr>
          <w:rFonts w:ascii="Times New Roman" w:hAnsi="Times New Roman"/>
          <w:sz w:val="28"/>
        </w:rPr>
        <w:t>Заключение</w:t>
      </w:r>
    </w:p>
    <w:p w:rsidR="00F317D9" w:rsidRDefault="00FE315D">
      <w:pPr>
        <w:pStyle w:val="a3"/>
        <w:spacing w:line="360" w:lineRule="auto"/>
        <w:ind w:firstLine="851"/>
        <w:jc w:val="both"/>
        <w:rPr>
          <w:rFonts w:ascii="Times New Roman" w:hAnsi="Times New Roman"/>
          <w:sz w:val="28"/>
        </w:rPr>
      </w:pPr>
      <w:r>
        <w:rPr>
          <w:rFonts w:ascii="Times New Roman" w:hAnsi="Times New Roman"/>
          <w:sz w:val="28"/>
        </w:rPr>
        <w:t>Список литературы</w:t>
      </w:r>
    </w:p>
    <w:p w:rsidR="00F317D9" w:rsidRDefault="00FE315D">
      <w:pPr>
        <w:pStyle w:val="a3"/>
        <w:spacing w:line="360" w:lineRule="auto"/>
        <w:ind w:firstLine="851"/>
        <w:jc w:val="center"/>
        <w:rPr>
          <w:rFonts w:ascii="Times New Roman" w:hAnsi="Times New Roman"/>
          <w:b/>
          <w:sz w:val="28"/>
        </w:rPr>
      </w:pPr>
      <w:r>
        <w:rPr>
          <w:rFonts w:ascii="Times New Roman" w:hAnsi="Times New Roman"/>
          <w:b/>
          <w:sz w:val="28"/>
        </w:rPr>
        <w:br w:type="page"/>
        <w:t>Введение.</w:t>
      </w:r>
    </w:p>
    <w:p w:rsidR="00F317D9" w:rsidRDefault="00F317D9">
      <w:pPr>
        <w:pStyle w:val="a3"/>
        <w:spacing w:line="360" w:lineRule="auto"/>
        <w:ind w:firstLine="851"/>
        <w:jc w:val="center"/>
        <w:rPr>
          <w:rFonts w:ascii="Times New Roman" w:hAnsi="Times New Roman"/>
          <w:b/>
          <w:sz w:val="28"/>
        </w:rPr>
      </w:pP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ходе работы аудитору приходится сталкиваться не только с системой бухгалтерского учета экономического субъекта, но и с системой внутреннего контроля. Поэтому 25 декабря 1996 года Комиссией по аудиторской деятельности при Президенте РФ было принято Правило (Стандарт) аудиторской деятельности: «Изучение и оценка систем бухгалтерского учета и внутреннего контроля в ходе аудита».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Это правило подготовлено для регламентации аудиторской деятельности и соответствует Временным правилам аудиторской деятельности. Его целью является определение действий аудиторской фирмы или аудитора, работающего самостоятельно в качестве индивидуального предпринимателя  по оценке системы бухгалтерского учета и системы внутреннего контроля проверяемого экономического субъекта.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число задач данного правила входит:</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описание понятия системы внутреннего контроля и ее составляющих;</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формулировка основных требований, предъявляемых к изучению и оценке аудитором системы бухгалтерского учета экономического субъекта в ходе аудита;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формулировка основных требований, предъявляемых к изучению и оценке надежности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описание особенностей изучения и оценки систем бухгалтерского учета и внутреннего контроля в субъектах малого предпринимательства.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Требования данного Правила (Стандарта) являются обязательными для всех аудиторских организаций при осуществлении аудита, предусматривающего подготовку официального аудиторского заключения, за исключением тех его положений, где прямо указано, что они носят рекомендательный характер.</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своем реферате я коснусь лишь тех положений, которые регламентируют оценку системы внутреннего контроля.</w:t>
      </w: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E315D">
      <w:pPr>
        <w:pStyle w:val="a3"/>
        <w:spacing w:line="360" w:lineRule="auto"/>
        <w:jc w:val="center"/>
        <w:rPr>
          <w:rFonts w:ascii="Times New Roman" w:hAnsi="Times New Roman"/>
          <w:b/>
          <w:sz w:val="24"/>
        </w:rPr>
      </w:pPr>
      <w:r>
        <w:rPr>
          <w:rFonts w:ascii="Times New Roman" w:hAnsi="Times New Roman"/>
          <w:b/>
          <w:sz w:val="24"/>
        </w:rPr>
        <w:t>ОЦЕНКА СИСТЕМЫ</w:t>
      </w:r>
    </w:p>
    <w:p w:rsidR="00F317D9" w:rsidRDefault="00FE315D">
      <w:pPr>
        <w:pStyle w:val="a3"/>
        <w:spacing w:line="360" w:lineRule="auto"/>
        <w:jc w:val="center"/>
        <w:rPr>
          <w:rFonts w:ascii="Times New Roman" w:hAnsi="Times New Roman"/>
          <w:b/>
          <w:sz w:val="24"/>
        </w:rPr>
      </w:pPr>
      <w:r>
        <w:rPr>
          <w:rFonts w:ascii="Times New Roman" w:hAnsi="Times New Roman"/>
          <w:b/>
          <w:sz w:val="24"/>
        </w:rPr>
        <w:t>ВНУТРЕННЕГО КОНТРОЛЯ В ХОДЕ АУДИТА</w:t>
      </w:r>
    </w:p>
    <w:p w:rsidR="00F317D9" w:rsidRDefault="00F317D9">
      <w:pPr>
        <w:pStyle w:val="a3"/>
        <w:spacing w:line="360" w:lineRule="auto"/>
        <w:ind w:firstLine="851"/>
        <w:jc w:val="both"/>
        <w:rPr>
          <w:rFonts w:ascii="Times New Roman" w:hAnsi="Times New Roman"/>
          <w:sz w:val="24"/>
        </w:rPr>
      </w:pP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ходе аудиторской проверки аудитор обязан изучить и оценить те средства контроля, на основе которых он собирается определить суть, масштаб и временные затраты предполагаемых аудиторских процедур. Масштаб и особенности системы внутреннего контроля, а также степень их формализации должны соответствовать размерам экономического субъекта и особенностям его деятельности.</w:t>
      </w:r>
    </w:p>
    <w:p w:rsidR="00F317D9" w:rsidRDefault="00FE315D">
      <w:pPr>
        <w:pStyle w:val="1"/>
        <w:spacing w:line="360" w:lineRule="auto"/>
        <w:ind w:firstLine="851"/>
        <w:jc w:val="both"/>
        <w:rPr>
          <w:sz w:val="24"/>
        </w:rPr>
      </w:pPr>
      <w:r>
        <w:rPr>
          <w:sz w:val="24"/>
        </w:rPr>
        <w:t>Оценивая эффективность построения и функционирования внутрихозяйственного контроля, аудитор должен установить эффективность организационной структуры, роль руководства и место внутреннего контроля в данной организации. Так, если внутрихозяйственный контроль возложен на ревизионную ко</w:t>
      </w:r>
      <w:r>
        <w:rPr>
          <w:sz w:val="24"/>
        </w:rPr>
        <w:softHyphen/>
        <w:t>миссию организации на общественных началах, то, как показы</w:t>
      </w:r>
      <w:r>
        <w:rPr>
          <w:sz w:val="24"/>
        </w:rPr>
        <w:softHyphen/>
        <w:t>вает практика многих лет, руководство может игнорировать систему контроля или преднамеренно привести ложные сведе</w:t>
      </w:r>
      <w:r>
        <w:rPr>
          <w:sz w:val="24"/>
        </w:rPr>
        <w:softHyphen/>
        <w:t>ния в финансовой отчетности. Другое дело, когда внутрихозяй</w:t>
      </w:r>
      <w:r>
        <w:rPr>
          <w:sz w:val="24"/>
        </w:rPr>
        <w:softHyphen/>
        <w:t>ственный контроль в организации осуществляется службой (специальным отделом) внутреннего аудита, являющейся само</w:t>
      </w:r>
      <w:r>
        <w:rPr>
          <w:sz w:val="24"/>
        </w:rPr>
        <w:softHyphen/>
        <w:t>стоятельным подразделением аппарата управления и созданной с целью обеспечения эффективности деятельности всех служб по защите законных имущественных интересов собственников.</w:t>
      </w:r>
    </w:p>
    <w:p w:rsidR="00F317D9" w:rsidRDefault="00FE315D">
      <w:pPr>
        <w:spacing w:line="360" w:lineRule="auto"/>
        <w:ind w:firstLine="851"/>
        <w:jc w:val="both"/>
        <w:rPr>
          <w:sz w:val="24"/>
        </w:rPr>
      </w:pPr>
      <w:r>
        <w:rPr>
          <w:sz w:val="24"/>
        </w:rPr>
        <w:t>Важное значение для определения эффективности системы внутрихозяйственного контроля имеет оценка того, насколько обоснованно составлены планы ревизии внутреннего контроля и четко выполняются все запланированные работы по отноше</w:t>
      </w:r>
      <w:r>
        <w:rPr>
          <w:sz w:val="24"/>
        </w:rPr>
        <w:softHyphen/>
        <w:t>нию к отдельным объектам контроля во времени; какие при этом процедуры проверки использованы и насколько они были эффективны; насколько можно доверять надежности информа</w:t>
      </w:r>
      <w:r>
        <w:rPr>
          <w:sz w:val="24"/>
        </w:rPr>
        <w:softHyphen/>
        <w:t>ции по результатам внутрихозяйственного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Система внутрихозяйственного контроля требует: наличия компетентного, заслуживающего доверия персонала с четко определенными правами и обязанностями; разделения обязан</w:t>
      </w:r>
      <w:r>
        <w:rPr>
          <w:rFonts w:ascii="Times New Roman" w:hAnsi="Times New Roman"/>
          <w:sz w:val="24"/>
        </w:rPr>
        <w:softHyphen/>
        <w:t>ностей; создания необходимых условий для работы службы внутреннего аудита (выделение помещения, специалистов, транспорта, наличие укомплектованной или программной, нор</w:t>
      </w:r>
      <w:r>
        <w:rPr>
          <w:rFonts w:ascii="Times New Roman" w:hAnsi="Times New Roman"/>
          <w:sz w:val="24"/>
        </w:rPr>
        <w:softHyphen/>
        <w:t>мативной и справочной базы данных и т.</w:t>
      </w:r>
      <w:r>
        <w:rPr>
          <w:rFonts w:ascii="Times New Roman" w:hAnsi="Times New Roman"/>
          <w:noProof/>
          <w:sz w:val="24"/>
        </w:rPr>
        <w:t xml:space="preserve"> </w:t>
      </w:r>
      <w:r>
        <w:rPr>
          <w:rFonts w:ascii="Times New Roman" w:hAnsi="Times New Roman"/>
          <w:sz w:val="24"/>
        </w:rPr>
        <w:t>п.); организации ох</w:t>
      </w:r>
      <w:r>
        <w:rPr>
          <w:rFonts w:ascii="Times New Roman" w:hAnsi="Times New Roman"/>
          <w:sz w:val="24"/>
        </w:rPr>
        <w:softHyphen/>
        <w:t>раны труда, повышения квалификации членов штатного аппа</w:t>
      </w:r>
      <w:r>
        <w:rPr>
          <w:rFonts w:ascii="Times New Roman" w:hAnsi="Times New Roman"/>
          <w:sz w:val="24"/>
        </w:rPr>
        <w:softHyphen/>
        <w:t>рата службы; определения уровня оплаты труда работников службы внутреннего контроля в штатном расписании; иметь следующие права: проверять первичные документы, бухгалтер</w:t>
      </w:r>
      <w:r>
        <w:rPr>
          <w:rFonts w:ascii="Times New Roman" w:hAnsi="Times New Roman"/>
          <w:sz w:val="24"/>
        </w:rPr>
        <w:softHyphen/>
        <w:t>ские регистры, наличие денег, ценностей и ценных бумаг в кассе, проверять сметы, планы и другие документы финансово-хозяйственной деятельности; знакомиться с приказами, поста</w:t>
      </w:r>
      <w:r>
        <w:rPr>
          <w:rFonts w:ascii="Times New Roman" w:hAnsi="Times New Roman"/>
          <w:sz w:val="24"/>
        </w:rPr>
        <w:softHyphen/>
        <w:t>новлениями собрания акционеров, учредителей, распоряжения</w:t>
      </w:r>
      <w:r>
        <w:rPr>
          <w:rFonts w:ascii="Times New Roman" w:hAnsi="Times New Roman"/>
          <w:sz w:val="24"/>
        </w:rPr>
        <w:softHyphen/>
        <w:t>ми правления и должностных лиц, проектами и уже заклю</w:t>
      </w:r>
      <w:r>
        <w:rPr>
          <w:rFonts w:ascii="Times New Roman" w:hAnsi="Times New Roman"/>
          <w:sz w:val="24"/>
        </w:rPr>
        <w:softHyphen/>
        <w:t>ченными с другими организациями договорами; обследовать объекты строительства, территорию, склады, мастерские и дру</w:t>
      </w:r>
      <w:r>
        <w:rPr>
          <w:rFonts w:ascii="Times New Roman" w:hAnsi="Times New Roman"/>
          <w:sz w:val="24"/>
        </w:rPr>
        <w:softHyphen/>
        <w:t>гие производственные, хозяйственные и служебные помещения, места хранения товарно-материальных ценностей; проверять наличие, состояние и сохранность имущества у материально-ответственных лиц; требовать проведения или проводить пол</w:t>
      </w:r>
      <w:r>
        <w:rPr>
          <w:rFonts w:ascii="Times New Roman" w:hAnsi="Times New Roman"/>
          <w:sz w:val="24"/>
        </w:rPr>
        <w:softHyphen/>
        <w:t>ную или частичную инвентаризацию имущества и обязательств организации, в необходимых случаях опечатывать сейфы, кас</w:t>
      </w:r>
      <w:r>
        <w:rPr>
          <w:rFonts w:ascii="Times New Roman" w:hAnsi="Times New Roman"/>
          <w:sz w:val="24"/>
        </w:rPr>
        <w:softHyphen/>
        <w:t>сы, склады, кладовые, архивы и др.; требовать от руководителей структурных подразделений, специалистов организации необхо</w:t>
      </w:r>
      <w:r>
        <w:rPr>
          <w:rFonts w:ascii="Times New Roman" w:hAnsi="Times New Roman"/>
          <w:sz w:val="24"/>
        </w:rPr>
        <w:softHyphen/>
        <w:t>димые справки, расчеты, заверенные копии документов для приложения к акту, устные и письменные объяснения по воп</w:t>
      </w:r>
      <w:r>
        <w:rPr>
          <w:rFonts w:ascii="Times New Roman" w:hAnsi="Times New Roman"/>
          <w:sz w:val="24"/>
        </w:rPr>
        <w:softHyphen/>
        <w:t>росам, возникающим в ходе проверки; организовывать подго</w:t>
      </w:r>
      <w:r>
        <w:rPr>
          <w:rFonts w:ascii="Times New Roman" w:hAnsi="Times New Roman"/>
          <w:sz w:val="24"/>
        </w:rPr>
        <w:softHyphen/>
        <w:t>товку к проверкам внешнего аудита и налоговой инспекции; проводить проверки выполнения обязанностей.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том случае, если аудитор убеждается, что он может опереться на соответствующие средства контроля, он получает возможность проводить аудиторские процедуры менее детально или более выборочно, чем он делал бы в противном случае. А также он может внести изменения в суть применяемых аудиторских процедур и в предполагаемые затраты времени на их осуществление.</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При оценке эффективности и надежности системы внутреннего контроля в целом, контрольной среды и отдельных средств контроля аудиторская организация обязана использовать не менее трех следующих градаций: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высокая;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средняя;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низкая.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Аудиторские организации могут принять решение о применении в своей деятельности большего количества градаций при оценках эффективности и надежности, чем три вышеупомянутые.</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Изучение и оценка системы внутреннего контроля должны в обязательном порядке документироваться аудиторскими организациями в ходе аудиторской проверки. При проведении и документировании этой работы рекомендуется использовать следующие типовые формы: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специально разработанные тестовые процедуры;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перечни типовых вопросов для выяснения мнения руководящего персонала и работников бухгалтерии;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специальные бланки и проверочные листы;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блок - схемы и графики;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 перечни замечаний, протоколы или акты.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С учетом данных и иных требований аудиторские организации самостоятельно разрабатывают методики и порядок изучения и оценки системы внутреннего контроля, а также планируют процедуры аудиторской проверки в зависимости от результатов такого изучения и оценки. Снижение объема и детальности отдельных аудиторских процедур, произведенное в результате изучения особенности средств контроля экономического субъекта, должно быть во всех таких случаях надлежащим образом аргументировано.</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Поскольку мнение аудитора об эффективности системы внутреннего контроля является основанием для планирования степени детальности и выборочности проведения аудиторских процедур, то соответственно отсутствие документирования или ненадлежащее документирование результатов изучения и оценки системы внутреннего контроля этого экономического субъекта может служить в случае предъявления претензий к аудитору доказательством низкого качества оказываемых им услуг.</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Серьезные недостатки системы внутреннего контроля, отмеченные в ходе аудиторской проверки, а также рекомендации по их устранению следует отражать в письменной информации (отчете) аудитора руководству проверяемого экономического субъекта.</w:t>
      </w:r>
    </w:p>
    <w:p w:rsidR="00F317D9" w:rsidRDefault="00FE315D">
      <w:pPr>
        <w:pStyle w:val="a3"/>
        <w:spacing w:line="360" w:lineRule="auto"/>
        <w:ind w:firstLine="851"/>
        <w:jc w:val="both"/>
        <w:rPr>
          <w:rFonts w:ascii="Times New Roman" w:hAnsi="Times New Roman"/>
          <w:b/>
          <w:sz w:val="24"/>
        </w:rPr>
      </w:pPr>
      <w:r>
        <w:rPr>
          <w:rFonts w:ascii="Times New Roman" w:hAnsi="Times New Roman"/>
          <w:b/>
          <w:sz w:val="24"/>
        </w:rPr>
        <w:t>Требования, предъявляемые к изучению и оценке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 в ходе аудиторской проверки должен принимать во внимание, что система внутреннего контроля экономического субъекта должна включать в себя: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надлежащую систему бухгалтерского учета;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контрольную среду;</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отдельные средства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Контрольная среда, под которой понимаются осведомленность и практические действия руководства экономического субъекта, направленные на установление и поддержание системы внутреннего контроля, включает в себя: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стиль и основные принципы управления данным экономическим субъектом;</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организационную структуру экономического субъекта;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распределение ответственности и полномочий;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осуществляемую кадровую политику;</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 порядок подготовки бухгалтерской отчетности для внешних пользователей;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е) порядок осуществления внутреннего управленческого учета и подготовки отчетности для внутренних целей;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ж) соответствие хозяйственной деятельности экономического субъекта в целом требованиям действующего законодательства.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Руководство экономического субъекта несет ответственность за разработку и фактическое воплощение системы внутреннего контроля. От него зависит, чтобы система внутреннего контроля отвечала размерам и специфике деятельности экономического субъекта, функционировала регулярно и эффективно. В экономическом субъекте в соответствии с его учредительными документами или правилами внутреннего распорядка может быть назначен ревизор, создана ревизионная комиссия или организован отдел "внутреннего аудита", которым может быть передана часть функций по поддержанию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Эффективная организационная структура экономического субъекта предполагает оправданное разделение ответственности и полномочий сотрудников. Она должна по возможности препятствовать попыткам отдельных лиц нарушать требования контроля и обеспечивать разделение несовместимых функций. Функции данного сотрудника являются несовместимыми, если их сосредоточение у одного лица может способствовать совершению случайных или умышленных ошибок и нарушений и затруднять обнаружение таких ошибок и нарушений. Обычно подлежат распределению между различными лицами такие функции, как:</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непосредственный доступ к активам экономического субъекта;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разрешение на осуществление операций с активами;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непосредственное осуществление хозяйственных операций;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отражение хозяйственных операций в бухгалтерском учете.</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Надлежащее функционирование системы внутреннего контроля зависит также от сотрудников, которым поручена соответствующая деятельность. Система отбора, найма, продвижения по службе, обучения и подготовки кадров должна обеспечивать высокую квалификацию и честность соответствующего персонала.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 обязан принимать во внимание, что система внутреннего контроля может не с абсолютной уверенностью, а лишь с определенной степенью вероятности подтвердить, что цели, ради которых она была создана, достигнуты. Причиной этого являются следующие неизбежные ограничения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естественное требование руководством экономического субъекта того, чтобы затраты на осуществление контрольных мероприятий были меньше тех экономических выгод, которые дает применение таких мероприятий;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тот факт, что большинство средств контроля имеет своей целью выявление нежелательных хозяйственных операций, а не тех, которые являются необычными;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свойство человека делать ошибки по небрежности, из-за рассеянности, неверных суждений или недопонимания инструктивных материалов;</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умышленное нарушение системы контроля в результате сговора сотрудников экономического субъекта как с другими сотрудниками данного экономического субъекта, так и с третьими лицами;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 нарушение системы контроля вследствие злоупотреблений со стороны представителей руководства, ответственных за функционирование данных аспектов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е) распространенная практика существенного изменения условий ведения хозяйственной деятельности или правил учета, в результате чего принятые контрольные процедуры могут перестать выполнять свои функции.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 должен убедиться в том, что средства контроля проверяемого экономического субъекта достигают следующих целей: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хозяйственные операции выполняются с одобрения руководства как в целом, так и в конкретных случаях;</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все операции фиксируются в бухгалтерском учете в правильных суммах, на надлежащих счетах бухгалтерского учета, в правильном периоде времени, в соответствии с принятой в экономическом субъекте учетной политикой и обеспечивают возможность подготовки достоверной бухгалтерской отчетности;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доступ к активам возможен только с разрешения соответствующего руководства;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соответствие зафиксированных в бухгалтерском учете и фактически имеющихся в наличии активов определяется руководством с установленной периодичностью, и в случае расхождений руководством предпринимаются надлежащие действия.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Аудитору следует убедиться в применении на проверяемом им экономическом субъекте таких процедур внутреннего контроля, как:</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арифметическая проверка правильности бухгалтерских записей;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проведение сверок расчетов;</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проверка правильности осуществления документооборота и наличия разрешительных записей руководящего персонала;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г) проведение в соответствии с установленным порядком периодических плановых и внезапных инвентаризаций кассовой наличности, бланков строгой отчетности, ценных бумаг и товарно - материальных ценностей на предмет выяснения соответствия данных бухгалтерского учета фактическому наличию;</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 использование для целей контроля информации из источников, расположенных вне данного экономического субъекта;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е) осуществление мер, направленных на физическое ограничение доступа несанкционированных лиц к активам предприятия, к системе ведения документации и записей по бухгалтерским счетам;</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ж) исследование динамики хозяйственных показателей, сравнение плановых и сметных хозяйственных показателей с фактически имевшими место и выяснение причин существенных расхождений.</w:t>
      </w:r>
    </w:p>
    <w:p w:rsidR="00F317D9" w:rsidRDefault="00FE315D">
      <w:pPr>
        <w:pStyle w:val="a3"/>
        <w:spacing w:line="360" w:lineRule="auto"/>
        <w:ind w:firstLine="851"/>
        <w:jc w:val="both"/>
        <w:rPr>
          <w:rFonts w:ascii="Times New Roman" w:hAnsi="Times New Roman"/>
          <w:b/>
          <w:sz w:val="24"/>
        </w:rPr>
      </w:pPr>
      <w:r>
        <w:rPr>
          <w:rFonts w:ascii="Times New Roman" w:hAnsi="Times New Roman"/>
          <w:b/>
          <w:sz w:val="24"/>
        </w:rPr>
        <w:t>Порядок оценки системы внутреннего контроля в ходе аудита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 обязан оценивать систему внутреннего контроля экономического субъекта не менее чем в следующие три этапа: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общее знакомство с системой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первичная оценка надежности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подтверждение достоверности оценки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Аудиторские организации могут принять решение о применении в своей деятельности большего количества этапов оценки системы внутреннего контроля, чем три вышеупомянутые, проводить оценку более детально и тщательно, чем предписывается в данном разделе.</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Аудиторской организации в начале работы следует получить общее представление о специфике и масштабе деятельности экономического субъекта и системе его бухгалтерского учета. По итогам первоначального знакомства аудиторская организация должна принять решение о том, может ли она в своей работе вообще полагаться на систему внутреннего контроля экономического субъекта, подлежащего проверке.</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случае, если аудиторская организация примет решение о том, что она не может полагаться в своей работе на систему внутреннего контроля экономического субъекта, она должна планировать аудит таким образом, чтобы аудиторское мнение не основывалось на доверии к этой системе. Это может быть сделано, когда надежность системы внутреннего контроля оценивается аудитором как "низкая" или когда аудитору более удобно или экономически оправдано не полагаться на эту систему.</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том случае, если по итогам общего знакомства с системой внутреннего контроля экономического субъекта аудиторская организация примет решение о том, что она может сделать попытку полагаться в своей работе на систему внутреннего контроля, ей следует осуществить первичную оценку надежности системы внутреннего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Процедура первичной оценки надежности системы внутреннего контроля осуществляется на основе методики и приемов, которые аудиторские организации разрабатывают самостоятельно с учетом требований правила аудиторской деятельности.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ходе процедуры первичной оценки надежности системы внутреннего контроля аудитор обязан принимать во внимание, что:</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 следует проверять на предмет надежности средств контроля бухгалтерскую и хозяйственную документацию экономического субъекта всего отчетного периода, а не только избранных периодов времени;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б) при проверке необходимо уделить большее внимание тем периодам, деятельность в которых имела особенности или различия по сравнению с деятельностью, типичной для всего периода в целом;</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оценка надежности всей системы внутреннего контроля и (или) отдельных средств контроля как "низкой" не исключает возможности оценки надежности других отдельных средств контроля как "средней" или "высокой".</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По итогам процедуры первичной оценки надежности аудиторская организация может оценить надежность всей системы внутреннего контроля и (или) отдельных средств контроля как "среднюю" или как "высокую". В этом случае аудиторская организация должна планировать аудиторские процедуры исходя из этого предположения, но не должна доверять данной системе абсолютно.</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том случае, если по итогам процедуры первичной оценки аудиторская организация оценит надежность системы внутреннего контроля в целом и (или) отдельных средств контроля как "низкую", она обязана констатировать это и в дальнейшем планировать аудиторские процедуры соответствующим образом.</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Аудиторская организация, принявшая по итогам процедуры первичной оценки решение о доверии системе внутреннего контроля и (или) отдельным средствам контроля, обязана в ходе аудиторской проверки осуществлять процедуры подтверждения достоверности этой системы.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Процедуры подтверждения достоверности системы внутреннего контроля и (или) отдельных средств контроля осуществляются на основе методики и приемов, которые разрабатываются аудиторской организацией самостоятельно с учетом требований правила аудиторской деятельности.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том случае, если аудиторская организация в ходе процедур подтверждения надежности придет к выводу о том, что оценка надежности системы внутреннего контроля в целом и (или) каких-либо отдельных средств внутреннего контроля окажется ниже той, которая была получена в ходе первичной оценки, она обязана соответствующим образом скорректировать порядок осуществления других аудиторских процедур, чтобы в целом повысить достоверность своих выводов по результатам проведения аудита.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Аудиторские процедуры, проводимые для проверки работоспособности и надежности системы внутреннего контроля и отдельных средств контроля, называются тестами средств контроля.</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Все этапы оценки системы внутреннего контроля должны надлежащим образом документироваться с указанием аргументов, которыми руководствовалась аудиторская организация, давая соответствующую оценку надежности всей системе или отдельным средствам контроля или принимая решение, оказывающее влияние на планирование аудиторских процедур.</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При аудите экономических субъектов, относящихся к субъектам малого предпринимательства, аудиторские организации также обязаны изучать и давать оценку системе внутреннего контроля, однако при этом следует учитывать специфические особенности таких субъектов.</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субъектах малого предпринимательства доверие аудитора к эффективности системы внутреннего контроля обычно должно быть ниже, чем для средних и крупных экономических субъектов, и по этой причине мнение аудитора о достоверности бухгалтерской отчетности должно в большей мере определяться аудиторскими процедурами по существу. Аудиторская организация самостоятельно принимает решение о том, применять или не применять при аудите данного экономического субъекта методики аудита, характерные для субъектов малого предпринимательства, но обязана отразить свой выбор и соответствующую аргументацию в своей рабочей документации.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Для целей оценки системы внутреннего контроля и при планировании соответствующих аудиторских процедур аудиторским организациям следует выбирать методику аудита, руководствуясь в первую очередь соображениями возможности разделения ответственности и полномочий сотрудников, а не только критериями отнесения организации к субъектам малого предпринимательства, основанными на виде деятельности, структуре уставного капитала и средней численности работников, предусмотренными другими нормативными актами Российской Федерации.</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Документирование изучения и оценки системы внутреннего контроля должно соответствовать масштабу проверяемого экономического субъекта и для субъектов малого предпринимательства может проводиться в упрощенном виде по сравнению с документированием крупных и средних экономических субъектов.</w:t>
      </w:r>
    </w:p>
    <w:p w:rsidR="00F317D9" w:rsidRDefault="00F317D9">
      <w:pPr>
        <w:pStyle w:val="a3"/>
        <w:spacing w:line="360" w:lineRule="auto"/>
        <w:ind w:firstLine="851"/>
        <w:jc w:val="both"/>
        <w:rPr>
          <w:rFonts w:ascii="Times New Roman" w:hAnsi="Times New Roman"/>
          <w:sz w:val="24"/>
        </w:rPr>
      </w:pPr>
    </w:p>
    <w:p w:rsidR="00F317D9" w:rsidRDefault="00FE315D">
      <w:pPr>
        <w:pStyle w:val="a3"/>
        <w:spacing w:line="360" w:lineRule="auto"/>
        <w:ind w:firstLine="851"/>
        <w:jc w:val="center"/>
        <w:rPr>
          <w:rFonts w:ascii="Times New Roman" w:hAnsi="Times New Roman"/>
          <w:b/>
          <w:sz w:val="28"/>
        </w:rPr>
      </w:pPr>
      <w:r>
        <w:rPr>
          <w:rFonts w:ascii="Times New Roman" w:hAnsi="Times New Roman"/>
          <w:sz w:val="24"/>
        </w:rPr>
        <w:br w:type="page"/>
      </w:r>
      <w:r>
        <w:rPr>
          <w:rFonts w:ascii="Times New Roman" w:hAnsi="Times New Roman"/>
          <w:b/>
          <w:sz w:val="28"/>
        </w:rPr>
        <w:t>Заключение.</w:t>
      </w:r>
    </w:p>
    <w:p w:rsidR="00F317D9" w:rsidRDefault="00F317D9">
      <w:pPr>
        <w:pStyle w:val="a3"/>
        <w:spacing w:line="360" w:lineRule="auto"/>
        <w:ind w:firstLine="851"/>
        <w:jc w:val="center"/>
        <w:rPr>
          <w:rFonts w:ascii="Times New Roman" w:hAnsi="Times New Roman"/>
          <w:b/>
          <w:sz w:val="28"/>
        </w:rPr>
      </w:pP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 xml:space="preserve">Отметим основные положения, выявленные в ходе работы. </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Аудиторские организации самостоятельно разрабатывают методики и порядок изучения и оценки системы внутреннего контроля, а также планируют процедуры аудиторской проверки в зависимости от результатов такого изучения и оценки. Снижение объема и детальности отдельных аудиторских процедур, произведенное в результате изучения особенности средств контроля экономического субъекта, должно быть во всех таких случаях надлежащим образом аргументировано.</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Серьезные недостатки системы внутреннего контроля, отмеченные в ходе аудиторской проверки, а также рекомендации по их устранению следует отражать в письменной информации (отчете) аудитора руководству проверяемого экономического субъекта.</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Аудитор обязан принимать во внимание, что система внутреннего контроля может не с абсолютной уверенностью, а лишь с определенной степенью вероятности подтвердить, что цели, ради которых она была создана, достигнуты.</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Все этапы оценки системы внутреннего контроля должны надлежащим образом документироваться с указанием аргументов, которыми руководствовалась аудиторская организация, давая соответствующую оценку надежности всей системе или отдельным средствам контроля или принимая решение, оказывающее влияние на планирование аудиторских процедур.</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Документирование изучения и оценки системы внутреннего контроля должно соответствовать масштабу проверяемого экономического субъекта и для субъектов малого предпринимательства может проводиться в упрощенном виде по сравнению с документированием крупных и средних экономических субъектов.</w:t>
      </w:r>
    </w:p>
    <w:p w:rsidR="00F317D9" w:rsidRDefault="00FE315D">
      <w:pPr>
        <w:pStyle w:val="a3"/>
        <w:spacing w:line="360" w:lineRule="auto"/>
        <w:ind w:firstLine="851"/>
        <w:jc w:val="both"/>
        <w:rPr>
          <w:rFonts w:ascii="Times New Roman" w:hAnsi="Times New Roman"/>
          <w:sz w:val="24"/>
        </w:rPr>
      </w:pPr>
      <w:r>
        <w:rPr>
          <w:rFonts w:ascii="Times New Roman" w:hAnsi="Times New Roman"/>
          <w:sz w:val="24"/>
        </w:rPr>
        <w:t>В заключении хотелось бы подчеркнуть значение вышеописанного правила (стандарта) аудиторской деятельности, так как при грамотном его использовании существенно облегчается оценка работы системы внутреннего контроля, а вместе с тем и сама аудиторская проверка.</w:t>
      </w: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317D9">
      <w:pPr>
        <w:pStyle w:val="a3"/>
        <w:spacing w:line="360" w:lineRule="auto"/>
        <w:ind w:firstLine="851"/>
        <w:jc w:val="both"/>
        <w:rPr>
          <w:rFonts w:ascii="Times New Roman" w:hAnsi="Times New Roman"/>
          <w:sz w:val="24"/>
        </w:rPr>
      </w:pPr>
    </w:p>
    <w:p w:rsidR="00F317D9" w:rsidRDefault="00FE315D">
      <w:pPr>
        <w:pStyle w:val="a3"/>
        <w:spacing w:line="360" w:lineRule="auto"/>
        <w:ind w:firstLine="851"/>
        <w:jc w:val="center"/>
        <w:rPr>
          <w:rFonts w:ascii="Times New Roman" w:hAnsi="Times New Roman"/>
          <w:b/>
          <w:sz w:val="28"/>
        </w:rPr>
      </w:pPr>
      <w:r>
        <w:rPr>
          <w:rFonts w:ascii="Times New Roman" w:hAnsi="Times New Roman"/>
          <w:b/>
          <w:sz w:val="28"/>
        </w:rPr>
        <w:t>Список литературы.</w:t>
      </w:r>
    </w:p>
    <w:p w:rsidR="00F317D9" w:rsidRDefault="00FE315D">
      <w:pPr>
        <w:pStyle w:val="a3"/>
        <w:numPr>
          <w:ilvl w:val="0"/>
          <w:numId w:val="1"/>
        </w:numPr>
        <w:spacing w:line="360" w:lineRule="auto"/>
        <w:jc w:val="both"/>
        <w:rPr>
          <w:rFonts w:ascii="Times New Roman" w:hAnsi="Times New Roman"/>
          <w:sz w:val="28"/>
        </w:rPr>
      </w:pPr>
      <w:r>
        <w:rPr>
          <w:rFonts w:ascii="Times New Roman" w:hAnsi="Times New Roman"/>
          <w:sz w:val="28"/>
        </w:rPr>
        <w:t>Правило аудиторской деятельности «Изучение и оценка систем бухгалтерского учета и внутреннего контроля в ходе аудита»              № 6 от 25.12.96.</w:t>
      </w:r>
    </w:p>
    <w:p w:rsidR="00F317D9" w:rsidRDefault="00FE315D">
      <w:pPr>
        <w:pStyle w:val="a3"/>
        <w:numPr>
          <w:ilvl w:val="0"/>
          <w:numId w:val="1"/>
        </w:numPr>
        <w:spacing w:line="360" w:lineRule="auto"/>
        <w:jc w:val="both"/>
        <w:rPr>
          <w:rFonts w:ascii="Times New Roman" w:hAnsi="Times New Roman"/>
          <w:sz w:val="28"/>
        </w:rPr>
      </w:pPr>
      <w:r>
        <w:rPr>
          <w:rFonts w:ascii="Times New Roman" w:hAnsi="Times New Roman"/>
          <w:sz w:val="28"/>
        </w:rPr>
        <w:t>Алборов Р.А. Аудит в организациях промышленности, торговли и АПК.  М., 1998.</w:t>
      </w:r>
    </w:p>
    <w:p w:rsidR="00F317D9" w:rsidRDefault="00FE315D">
      <w:pPr>
        <w:pStyle w:val="a3"/>
        <w:numPr>
          <w:ilvl w:val="0"/>
          <w:numId w:val="1"/>
        </w:numPr>
        <w:spacing w:line="360" w:lineRule="auto"/>
        <w:jc w:val="both"/>
        <w:rPr>
          <w:rFonts w:ascii="Times New Roman" w:hAnsi="Times New Roman"/>
          <w:sz w:val="28"/>
        </w:rPr>
      </w:pPr>
      <w:r>
        <w:rPr>
          <w:rFonts w:ascii="Times New Roman" w:hAnsi="Times New Roman"/>
          <w:sz w:val="28"/>
        </w:rPr>
        <w:t>Андреев В.Д. Практический аудит. М., 1994.</w:t>
      </w:r>
      <w:bookmarkStart w:id="0" w:name="_GoBack"/>
      <w:bookmarkEnd w:id="0"/>
    </w:p>
    <w:sectPr w:rsidR="00F317D9">
      <w:headerReference w:type="even" r:id="rId7"/>
      <w:headerReference w:type="default" r:id="rId8"/>
      <w:pgSz w:w="11906" w:h="16838"/>
      <w:pgMar w:top="1440" w:right="1152" w:bottom="1440"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D9" w:rsidRDefault="00FE315D">
      <w:r>
        <w:separator/>
      </w:r>
    </w:p>
  </w:endnote>
  <w:endnote w:type="continuationSeparator" w:id="0">
    <w:p w:rsidR="00F317D9" w:rsidRDefault="00FE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D9" w:rsidRDefault="00FE315D">
      <w:r>
        <w:separator/>
      </w:r>
    </w:p>
  </w:footnote>
  <w:footnote w:type="continuationSeparator" w:id="0">
    <w:p w:rsidR="00F317D9" w:rsidRDefault="00FE3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7D9" w:rsidRDefault="00FE315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17D9" w:rsidRDefault="00F317D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7D9" w:rsidRDefault="00FE315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F317D9" w:rsidRDefault="00F317D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E616D5"/>
    <w:multiLevelType w:val="singleLevel"/>
    <w:tmpl w:val="41D29E54"/>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15D"/>
    <w:rsid w:val="0098427E"/>
    <w:rsid w:val="00F317D9"/>
    <w:rsid w:val="00FE3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1B1387-E6A4-4104-998D-02C17FE8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
    <w:name w:val="Звичайний1"/>
    <w:rPr>
      <w:snapToGrid w:val="0"/>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ОЦЕНКА СИСТЕМ БУХГАЛТЕРСКОГО УЧЕТА                                                                    И ВНУТРЕННЕГО КОНТРОЛЯ В ХОДЕ АУДИТА</vt:lpstr>
    </vt:vector>
  </TitlesOfParts>
  <Company>Мой дом родной</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СИСТЕМ БУХГАЛТЕРСКОГО УЧЕТА                                                                    И ВНУТРЕННЕГО КОНТРОЛЯ В ХОДЕ АУДИТА</dc:title>
  <dc:subject/>
  <dc:creator>Утц Александр Эдмундович</dc:creator>
  <cp:keywords/>
  <cp:lastModifiedBy>Irina</cp:lastModifiedBy>
  <cp:revision>2</cp:revision>
  <cp:lastPrinted>1998-12-18T20:46:00Z</cp:lastPrinted>
  <dcterms:created xsi:type="dcterms:W3CDTF">2014-09-05T15:03:00Z</dcterms:created>
  <dcterms:modified xsi:type="dcterms:W3CDTF">2014-09-05T15:03:00Z</dcterms:modified>
</cp:coreProperties>
</file>