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4E2" w:rsidRPr="00A3133C" w:rsidRDefault="009024E2" w:rsidP="00A3133C">
      <w:pPr>
        <w:widowControl w:val="0"/>
        <w:shd w:val="clear" w:color="000000" w:fill="auto"/>
        <w:spacing w:after="0" w:line="360" w:lineRule="auto"/>
        <w:ind w:firstLine="709"/>
        <w:jc w:val="both"/>
        <w:rPr>
          <w:rFonts w:ascii="Times New Roman" w:hAnsi="Times New Roman"/>
          <w:b/>
          <w:sz w:val="28"/>
          <w:szCs w:val="28"/>
        </w:rPr>
      </w:pPr>
      <w:r w:rsidRPr="00A3133C">
        <w:rPr>
          <w:rFonts w:ascii="Times New Roman" w:hAnsi="Times New Roman"/>
          <w:b/>
          <w:sz w:val="28"/>
          <w:szCs w:val="28"/>
        </w:rPr>
        <w:t>Содержание</w:t>
      </w:r>
    </w:p>
    <w:p w:rsidR="00A3133C" w:rsidRDefault="00A3133C" w:rsidP="00A3133C">
      <w:pPr>
        <w:widowControl w:val="0"/>
        <w:shd w:val="clear" w:color="000000" w:fill="auto"/>
        <w:spacing w:after="0" w:line="360" w:lineRule="auto"/>
        <w:ind w:firstLine="709"/>
        <w:jc w:val="both"/>
        <w:rPr>
          <w:rFonts w:ascii="Times New Roman" w:hAnsi="Times New Roman"/>
          <w:sz w:val="28"/>
          <w:szCs w:val="28"/>
        </w:rPr>
      </w:pPr>
    </w:p>
    <w:p w:rsidR="00A3133C" w:rsidRDefault="009024E2" w:rsidP="00A3133C">
      <w:pPr>
        <w:widowControl w:val="0"/>
        <w:shd w:val="clear" w:color="000000" w:fill="auto"/>
        <w:spacing w:after="0" w:line="360" w:lineRule="auto"/>
        <w:rPr>
          <w:rFonts w:ascii="Times New Roman" w:hAnsi="Times New Roman"/>
          <w:sz w:val="28"/>
          <w:szCs w:val="28"/>
        </w:rPr>
      </w:pPr>
      <w:r w:rsidRPr="00A3133C">
        <w:rPr>
          <w:rFonts w:ascii="Times New Roman" w:hAnsi="Times New Roman"/>
          <w:sz w:val="28"/>
          <w:szCs w:val="28"/>
        </w:rPr>
        <w:t>1.</w:t>
      </w:r>
      <w:r w:rsidRPr="00A3133C">
        <w:rPr>
          <w:rFonts w:ascii="Times New Roman" w:hAnsi="Times New Roman"/>
          <w:b/>
          <w:sz w:val="28"/>
          <w:szCs w:val="28"/>
        </w:rPr>
        <w:t xml:space="preserve"> </w:t>
      </w:r>
      <w:r w:rsidRPr="00A3133C">
        <w:rPr>
          <w:rFonts w:ascii="Times New Roman" w:hAnsi="Times New Roman"/>
          <w:sz w:val="28"/>
          <w:szCs w:val="28"/>
        </w:rPr>
        <w:t>Этапы разработки и развития инвестиционной стратегии</w:t>
      </w:r>
    </w:p>
    <w:p w:rsidR="00A3133C" w:rsidRDefault="009024E2" w:rsidP="00A3133C">
      <w:pPr>
        <w:widowControl w:val="0"/>
        <w:shd w:val="clear" w:color="000000" w:fill="auto"/>
        <w:spacing w:after="0" w:line="360" w:lineRule="auto"/>
        <w:rPr>
          <w:rFonts w:ascii="Times New Roman" w:hAnsi="Times New Roman"/>
          <w:sz w:val="28"/>
          <w:szCs w:val="28"/>
        </w:rPr>
      </w:pPr>
      <w:r w:rsidRPr="00A3133C">
        <w:rPr>
          <w:rFonts w:ascii="Times New Roman" w:hAnsi="Times New Roman"/>
          <w:sz w:val="28"/>
          <w:szCs w:val="28"/>
        </w:rPr>
        <w:t>2. Классификация инструментов рынка ценных бумаг. Их характеристика.</w:t>
      </w:r>
    </w:p>
    <w:p w:rsidR="00A3133C" w:rsidRDefault="009024E2" w:rsidP="00A3133C">
      <w:pPr>
        <w:widowControl w:val="0"/>
        <w:shd w:val="clear" w:color="000000" w:fill="auto"/>
        <w:spacing w:after="0" w:line="360" w:lineRule="auto"/>
        <w:rPr>
          <w:rFonts w:ascii="Times New Roman" w:hAnsi="Times New Roman"/>
          <w:sz w:val="28"/>
          <w:szCs w:val="28"/>
        </w:rPr>
      </w:pPr>
      <w:r w:rsidRPr="00A3133C">
        <w:rPr>
          <w:rFonts w:ascii="Times New Roman" w:hAnsi="Times New Roman"/>
          <w:sz w:val="28"/>
          <w:szCs w:val="28"/>
        </w:rPr>
        <w:t>3.</w:t>
      </w:r>
      <w:r w:rsidRPr="00A3133C">
        <w:rPr>
          <w:rFonts w:ascii="Times New Roman" w:hAnsi="Times New Roman"/>
          <w:b/>
          <w:sz w:val="28"/>
          <w:szCs w:val="28"/>
        </w:rPr>
        <w:t xml:space="preserve"> </w:t>
      </w:r>
      <w:r w:rsidRPr="00A3133C">
        <w:rPr>
          <w:rFonts w:ascii="Times New Roman" w:hAnsi="Times New Roman"/>
          <w:sz w:val="28"/>
          <w:szCs w:val="28"/>
        </w:rPr>
        <w:t>Показатели инвестиционной привлекательности региона</w:t>
      </w:r>
    </w:p>
    <w:p w:rsidR="00A3133C" w:rsidRDefault="00A3133C" w:rsidP="00A3133C">
      <w:pPr>
        <w:widowControl w:val="0"/>
        <w:shd w:val="clear" w:color="000000" w:fill="auto"/>
        <w:spacing w:after="0" w:line="360" w:lineRule="auto"/>
        <w:rPr>
          <w:rFonts w:ascii="Times New Roman" w:hAnsi="Times New Roman"/>
          <w:sz w:val="28"/>
          <w:szCs w:val="28"/>
        </w:rPr>
      </w:pPr>
      <w:r>
        <w:rPr>
          <w:rFonts w:ascii="Times New Roman" w:hAnsi="Times New Roman"/>
          <w:sz w:val="28"/>
          <w:szCs w:val="28"/>
        </w:rPr>
        <w:t>4. Задача</w:t>
      </w:r>
    </w:p>
    <w:p w:rsidR="00A3133C" w:rsidRDefault="009024E2" w:rsidP="00A3133C">
      <w:pPr>
        <w:widowControl w:val="0"/>
        <w:shd w:val="clear" w:color="000000" w:fill="auto"/>
        <w:spacing w:after="0" w:line="360" w:lineRule="auto"/>
        <w:rPr>
          <w:rFonts w:ascii="Times New Roman" w:hAnsi="Times New Roman"/>
          <w:sz w:val="28"/>
          <w:szCs w:val="28"/>
        </w:rPr>
      </w:pPr>
      <w:r w:rsidRPr="00A3133C">
        <w:rPr>
          <w:rFonts w:ascii="Times New Roman" w:hAnsi="Times New Roman"/>
          <w:sz w:val="28"/>
          <w:szCs w:val="28"/>
        </w:rPr>
        <w:t>Литература</w:t>
      </w:r>
    </w:p>
    <w:p w:rsidR="00B226FC" w:rsidRPr="00A3133C" w:rsidRDefault="00B226FC" w:rsidP="00A3133C">
      <w:pPr>
        <w:widowControl w:val="0"/>
        <w:shd w:val="clear" w:color="000000" w:fill="auto"/>
        <w:spacing w:after="0" w:line="360" w:lineRule="auto"/>
        <w:ind w:firstLine="709"/>
        <w:jc w:val="both"/>
        <w:rPr>
          <w:rFonts w:ascii="Times New Roman" w:hAnsi="Times New Roman"/>
          <w:b/>
          <w:sz w:val="28"/>
          <w:szCs w:val="28"/>
        </w:rPr>
      </w:pPr>
    </w:p>
    <w:p w:rsidR="00B226FC" w:rsidRPr="00A3133C" w:rsidRDefault="00B226FC" w:rsidP="00A3133C">
      <w:pPr>
        <w:widowControl w:val="0"/>
        <w:shd w:val="clear" w:color="000000" w:fill="auto"/>
        <w:spacing w:after="0" w:line="360" w:lineRule="auto"/>
        <w:ind w:firstLine="709"/>
        <w:jc w:val="both"/>
        <w:rPr>
          <w:rFonts w:ascii="Times New Roman" w:hAnsi="Times New Roman"/>
          <w:b/>
          <w:sz w:val="28"/>
          <w:szCs w:val="28"/>
        </w:rPr>
      </w:pPr>
      <w:r w:rsidRPr="00A3133C">
        <w:rPr>
          <w:rFonts w:ascii="Times New Roman" w:hAnsi="Times New Roman"/>
          <w:b/>
          <w:sz w:val="28"/>
          <w:szCs w:val="28"/>
        </w:rPr>
        <w:br w:type="page"/>
      </w:r>
    </w:p>
    <w:p w:rsidR="0012089F" w:rsidRPr="00A3133C" w:rsidRDefault="00A3133C" w:rsidP="00A3133C">
      <w:pPr>
        <w:widowControl w:val="0"/>
        <w:shd w:val="clear" w:color="000000" w:fill="auto"/>
        <w:spacing w:after="0" w:line="360" w:lineRule="auto"/>
        <w:ind w:firstLine="709"/>
        <w:jc w:val="both"/>
        <w:rPr>
          <w:rFonts w:ascii="Times New Roman" w:hAnsi="Times New Roman"/>
          <w:b/>
          <w:sz w:val="28"/>
          <w:szCs w:val="28"/>
        </w:rPr>
      </w:pPr>
      <w:r>
        <w:rPr>
          <w:rFonts w:ascii="Times New Roman" w:hAnsi="Times New Roman"/>
          <w:b/>
          <w:sz w:val="28"/>
          <w:szCs w:val="28"/>
        </w:rPr>
        <w:t xml:space="preserve">1. </w:t>
      </w:r>
      <w:r w:rsidR="0054223D" w:rsidRPr="00A3133C">
        <w:rPr>
          <w:rFonts w:ascii="Times New Roman" w:hAnsi="Times New Roman"/>
          <w:b/>
          <w:sz w:val="28"/>
          <w:szCs w:val="28"/>
        </w:rPr>
        <w:t>Этапы разработки и развития инвестиционной стратегии</w:t>
      </w:r>
    </w:p>
    <w:p w:rsidR="00A3133C" w:rsidRDefault="00A3133C" w:rsidP="00A3133C">
      <w:pPr>
        <w:widowControl w:val="0"/>
        <w:shd w:val="clear" w:color="000000" w:fill="auto"/>
        <w:spacing w:after="0" w:line="360" w:lineRule="auto"/>
        <w:ind w:firstLine="709"/>
        <w:jc w:val="both"/>
        <w:rPr>
          <w:rFonts w:ascii="Times New Roman" w:hAnsi="Times New Roman"/>
          <w:sz w:val="28"/>
          <w:szCs w:val="28"/>
        </w:rPr>
      </w:pPr>
    </w:p>
    <w:p w:rsidR="0054223D" w:rsidRPr="00A3133C" w:rsidRDefault="00A84541"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sz w:val="28"/>
          <w:szCs w:val="28"/>
        </w:rPr>
        <w:t>Инвестиционная стратегия - это формирование системы долгосрочных целей инвестиционной деятельности и выбор наиболее эффективных путей их достижения.</w:t>
      </w:r>
    </w:p>
    <w:p w:rsidR="00A84541" w:rsidRPr="00A3133C" w:rsidRDefault="00A84541"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sz w:val="28"/>
          <w:szCs w:val="28"/>
        </w:rPr>
        <w:t xml:space="preserve">Начальным этапом разработки инвестиционной стратегии компании (фирмы) является </w:t>
      </w:r>
      <w:r w:rsidRPr="00A3133C">
        <w:rPr>
          <w:rFonts w:ascii="Times New Roman" w:hAnsi="Times New Roman"/>
          <w:b/>
          <w:i/>
          <w:sz w:val="28"/>
          <w:szCs w:val="28"/>
        </w:rPr>
        <w:t>определение общего периода ее формирования</w:t>
      </w:r>
      <w:r w:rsidRPr="00A3133C">
        <w:rPr>
          <w:rFonts w:ascii="Times New Roman" w:hAnsi="Times New Roman"/>
          <w:sz w:val="28"/>
          <w:szCs w:val="28"/>
        </w:rPr>
        <w:t>. Этот период зависит от ряда условий.</w:t>
      </w:r>
    </w:p>
    <w:p w:rsidR="00A84541" w:rsidRPr="00A3133C" w:rsidRDefault="00A84541"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sz w:val="28"/>
          <w:szCs w:val="28"/>
        </w:rPr>
        <w:t xml:space="preserve">Главным условием определения периода формирования инвестиционной стратегии является предсказуемость развития экономики в целом и инвестиционного рынка, в частности. </w:t>
      </w:r>
      <w:r w:rsidR="003572EA" w:rsidRPr="00A3133C">
        <w:rPr>
          <w:rFonts w:ascii="Times New Roman" w:hAnsi="Times New Roman"/>
          <w:sz w:val="28"/>
          <w:szCs w:val="28"/>
        </w:rPr>
        <w:t>Одним из условий определения периода формирования инвестиционной стратегии компании является и ее отраслевая принадлежность.</w:t>
      </w:r>
    </w:p>
    <w:p w:rsidR="00D54279" w:rsidRPr="00A3133C" w:rsidRDefault="00496EB2"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sz w:val="28"/>
          <w:szCs w:val="28"/>
        </w:rPr>
        <w:t>Важным условием определения периода формирования инвестиционной стратегии является продолжительность периода, принятого для формирования общей экономической стратегии компании.</w:t>
      </w:r>
      <w:r w:rsidR="003572EA" w:rsidRPr="00A3133C">
        <w:rPr>
          <w:rFonts w:ascii="Times New Roman" w:hAnsi="Times New Roman"/>
          <w:sz w:val="28"/>
          <w:szCs w:val="28"/>
        </w:rPr>
        <w:t xml:space="preserve"> </w:t>
      </w:r>
      <w:r w:rsidR="00D54279" w:rsidRPr="00A3133C">
        <w:rPr>
          <w:rFonts w:ascii="Times New Roman" w:hAnsi="Times New Roman"/>
          <w:sz w:val="28"/>
          <w:szCs w:val="28"/>
        </w:rPr>
        <w:t>Так как инвестиционная стратегия носит по отношению к ней подчиненный характер, она не может выходить за пределы этого период периода (более короткий период формирования инвестиционной стратегии допустим, т.к. заключительные этапы экономической стратегии компании могут не требовать изменений инвестиционной деятельности).</w:t>
      </w:r>
    </w:p>
    <w:p w:rsidR="00D54279" w:rsidRPr="00A3133C" w:rsidRDefault="0091292B"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sz w:val="28"/>
          <w:szCs w:val="28"/>
        </w:rPr>
        <w:t>И, наконец, одним из условий определения период периода формирования инвестиционной стратегии является размер компании. Инвестиционная деятельность крупных компаний обычно прогнозируется на более длительный период.</w:t>
      </w:r>
    </w:p>
    <w:p w:rsidR="001D55D5" w:rsidRPr="00A3133C" w:rsidRDefault="00DD3329"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b/>
          <w:i/>
          <w:sz w:val="28"/>
          <w:szCs w:val="28"/>
        </w:rPr>
        <w:t>Формирование стратегических целей инвестиционной деятельности</w:t>
      </w:r>
      <w:r w:rsidRPr="00A3133C">
        <w:rPr>
          <w:rFonts w:ascii="Times New Roman" w:hAnsi="Times New Roman"/>
          <w:sz w:val="28"/>
          <w:szCs w:val="28"/>
        </w:rPr>
        <w:t xml:space="preserve"> должно исходить прежде всего из системы целей общей стратегии экономического развития. Эти цели могут быть сформированы в виде обеспечения прироста капитала; роста уровня прибыльности инвестиций и суммы дохода от инвестиционной деятельности, изменения пропорций в формах реального и финансового инвестирования; изменения технологической и воспроизводственной структуры капитальных вложений; изменения отраслевой и региональной направленности инвестиционных программ и т.п.</w:t>
      </w:r>
    </w:p>
    <w:p w:rsidR="00DD3329" w:rsidRPr="00A3133C" w:rsidRDefault="00D72A09"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sz w:val="28"/>
          <w:szCs w:val="28"/>
        </w:rPr>
        <w:t>При этом формирование стратегических целей инвестиционной деятельности должно увязываться со стадиями жизненного цикла и целями хозяйственной деятельности компании (фирмы). Разработка наиболее эффективных путей реализации стратегических целей инвестиционной деятельности осуществляется по двум направлениям. Одно из них охватывает разработку стратегических направлений инвестиционной деятельности, другое – разработку стратегии формирования инвестиционных ресурсов. Этот этап является наиболее ответственным и сложным.</w:t>
      </w:r>
    </w:p>
    <w:p w:rsidR="00D72A09" w:rsidRPr="00A3133C" w:rsidRDefault="00D72A09"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b/>
          <w:i/>
          <w:sz w:val="28"/>
          <w:szCs w:val="28"/>
        </w:rPr>
        <w:t>Конкретизация инвестиционной стратегии по периодам ее реализации</w:t>
      </w:r>
      <w:r w:rsidRPr="00A3133C">
        <w:rPr>
          <w:rFonts w:ascii="Times New Roman" w:hAnsi="Times New Roman"/>
          <w:sz w:val="28"/>
          <w:szCs w:val="28"/>
        </w:rPr>
        <w:t xml:space="preserve"> предусматривает установление последовательности и сроков достижения отдельных целей и стратегических задач. В процессе этой конкретизации обеспечивается внешняя и внутренняя синхронизация во времени. Внешняя синхронизация предусматривает согласование во времени реализации инвестиционной стратегии с общей стратегией экономического развития компании, а также с прогнозируемыми изменениями конъюнктуры инвестиционного рынка. Внутренняя синхронизация предусматривает согласование во времени реализации отдельных направлений инвестирования между собой, а также с формированием необходимых для этого инвестиционных ресурсов.</w:t>
      </w:r>
    </w:p>
    <w:p w:rsidR="00904723" w:rsidRPr="00A3133C" w:rsidRDefault="00904723"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b/>
          <w:i/>
          <w:sz w:val="28"/>
          <w:szCs w:val="28"/>
        </w:rPr>
        <w:t>Разработка стратегических направлений инвестиционной деятельности</w:t>
      </w:r>
      <w:r w:rsidRPr="00A3133C">
        <w:rPr>
          <w:rFonts w:ascii="Times New Roman" w:hAnsi="Times New Roman"/>
          <w:sz w:val="28"/>
          <w:szCs w:val="28"/>
        </w:rPr>
        <w:t xml:space="preserve"> базируется на системе целей этой деятельности. В процессе разработки последовательно решаются следующие задачи:</w:t>
      </w:r>
    </w:p>
    <w:p w:rsidR="00904723" w:rsidRPr="00A3133C" w:rsidRDefault="00904723"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sz w:val="28"/>
          <w:szCs w:val="28"/>
        </w:rPr>
        <w:t>1. Определение соотношения различных форм инвестирования на отдельны</w:t>
      </w:r>
      <w:r w:rsidR="00716721" w:rsidRPr="00A3133C">
        <w:rPr>
          <w:rFonts w:ascii="Times New Roman" w:hAnsi="Times New Roman"/>
          <w:sz w:val="28"/>
          <w:szCs w:val="28"/>
        </w:rPr>
        <w:t>х этапах перспективного периода;</w:t>
      </w:r>
    </w:p>
    <w:p w:rsidR="00904723" w:rsidRPr="00A3133C" w:rsidRDefault="00904723"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sz w:val="28"/>
          <w:szCs w:val="28"/>
        </w:rPr>
        <w:t>2. Определение отраслевой направленности инвестиционной деятельности</w:t>
      </w:r>
      <w:r w:rsidR="00716721" w:rsidRPr="00A3133C">
        <w:rPr>
          <w:rFonts w:ascii="Times New Roman" w:hAnsi="Times New Roman"/>
          <w:sz w:val="28"/>
          <w:szCs w:val="28"/>
        </w:rPr>
        <w:t>;</w:t>
      </w:r>
    </w:p>
    <w:p w:rsidR="00904723" w:rsidRPr="00A3133C" w:rsidRDefault="00904723"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sz w:val="28"/>
          <w:szCs w:val="28"/>
        </w:rPr>
        <w:t>3. Определение региональной направленности инвестиционной деятельности.</w:t>
      </w:r>
    </w:p>
    <w:p w:rsidR="00904723" w:rsidRPr="00A3133C" w:rsidRDefault="00904723"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sz w:val="28"/>
          <w:szCs w:val="28"/>
        </w:rPr>
        <w:t xml:space="preserve">Определение соотношения различных форм инвестирования на отдельных этапах перспективного периода связано, прежде всего, с функциональной направленностью деятельности компании (фирмы). </w:t>
      </w:r>
    </w:p>
    <w:p w:rsidR="00904723" w:rsidRPr="00A3133C" w:rsidRDefault="007B4799"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sz w:val="28"/>
          <w:szCs w:val="28"/>
        </w:rPr>
        <w:t>Соотношение различных форм инвестирования в длительной перспективе существенно колеблется в зависимости от стадий жизненного цикла компании или фирмы (за исключением институциональных инвесторов, для которых установлены пределы этого соотношения). Так, на стадиях «рождения» и «детства» подавляющая доля инвестиций носит реальную форму; на стадии «юности» эти инвестиции также преобладают, и лишь на более поздних стадиях жизненного цикла компании (фирмы) могут позволить себе существенное расширение удельного веса финансовых инвестиций.</w:t>
      </w:r>
    </w:p>
    <w:p w:rsidR="007B0EDE" w:rsidRPr="00A3133C" w:rsidRDefault="003F116B"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sz w:val="28"/>
          <w:szCs w:val="28"/>
        </w:rPr>
        <w:t>Определение отраслевой направленности инвестиционной деятельности является наиболее сложной задачей разработки инвестиционной стратегии. Она требует поэтапного подхода к прогнозированию инвестиционной деятельности в увязке с общей стратегией экономического развития компании.</w:t>
      </w:r>
    </w:p>
    <w:p w:rsidR="00E11C44" w:rsidRPr="00A3133C" w:rsidRDefault="00667545"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b/>
          <w:i/>
          <w:sz w:val="28"/>
          <w:szCs w:val="28"/>
        </w:rPr>
        <w:t>Разработка стратегии</w:t>
      </w:r>
      <w:r w:rsidR="00E11C44" w:rsidRPr="00A3133C">
        <w:rPr>
          <w:rFonts w:ascii="Times New Roman" w:hAnsi="Times New Roman"/>
          <w:b/>
          <w:i/>
          <w:sz w:val="28"/>
          <w:szCs w:val="28"/>
        </w:rPr>
        <w:t xml:space="preserve"> формир</w:t>
      </w:r>
      <w:r w:rsidRPr="00A3133C">
        <w:rPr>
          <w:rFonts w:ascii="Times New Roman" w:hAnsi="Times New Roman"/>
          <w:b/>
          <w:i/>
          <w:sz w:val="28"/>
          <w:szCs w:val="28"/>
        </w:rPr>
        <w:t>ования инвестиционных ресурсов</w:t>
      </w:r>
      <w:r w:rsidRPr="00A3133C">
        <w:rPr>
          <w:rFonts w:ascii="Times New Roman" w:hAnsi="Times New Roman"/>
          <w:sz w:val="28"/>
          <w:szCs w:val="28"/>
        </w:rPr>
        <w:t xml:space="preserve">. </w:t>
      </w:r>
      <w:r w:rsidR="00E11C44" w:rsidRPr="00A3133C">
        <w:rPr>
          <w:rFonts w:ascii="Times New Roman" w:hAnsi="Times New Roman"/>
          <w:sz w:val="28"/>
          <w:szCs w:val="28"/>
        </w:rPr>
        <w:t>Все направления и формы инвестиционной</w:t>
      </w:r>
      <w:r w:rsidRPr="00A3133C">
        <w:rPr>
          <w:rFonts w:ascii="Times New Roman" w:hAnsi="Times New Roman"/>
          <w:sz w:val="28"/>
          <w:szCs w:val="28"/>
        </w:rPr>
        <w:t xml:space="preserve"> деятельности компании (фирмы) </w:t>
      </w:r>
      <w:r w:rsidR="00E11C44" w:rsidRPr="00A3133C">
        <w:rPr>
          <w:rFonts w:ascii="Times New Roman" w:hAnsi="Times New Roman"/>
          <w:sz w:val="28"/>
          <w:szCs w:val="28"/>
        </w:rPr>
        <w:t>осуществляются за счет формируем</w:t>
      </w:r>
      <w:r w:rsidRPr="00A3133C">
        <w:rPr>
          <w:rFonts w:ascii="Times New Roman" w:hAnsi="Times New Roman"/>
          <w:sz w:val="28"/>
          <w:szCs w:val="28"/>
        </w:rPr>
        <w:t xml:space="preserve">ых ею инвестиционных ресурсов. </w:t>
      </w:r>
      <w:r w:rsidR="00E11C44" w:rsidRPr="00A3133C">
        <w:rPr>
          <w:rFonts w:ascii="Times New Roman" w:hAnsi="Times New Roman"/>
          <w:sz w:val="28"/>
          <w:szCs w:val="28"/>
        </w:rPr>
        <w:t xml:space="preserve">Инвестиционные ресурсы представляют </w:t>
      </w:r>
      <w:r w:rsidRPr="00A3133C">
        <w:rPr>
          <w:rFonts w:ascii="Times New Roman" w:hAnsi="Times New Roman"/>
          <w:sz w:val="28"/>
          <w:szCs w:val="28"/>
        </w:rPr>
        <w:t xml:space="preserve">собой все виды денежных и иных </w:t>
      </w:r>
      <w:r w:rsidR="00E11C44" w:rsidRPr="00A3133C">
        <w:rPr>
          <w:rFonts w:ascii="Times New Roman" w:hAnsi="Times New Roman"/>
          <w:sz w:val="28"/>
          <w:szCs w:val="28"/>
        </w:rPr>
        <w:t>активов, привлекаемых для осуществления вложений в объекты инвестирования.</w:t>
      </w:r>
    </w:p>
    <w:p w:rsidR="00E11C44" w:rsidRPr="00A3133C" w:rsidRDefault="00E11C44"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sz w:val="28"/>
          <w:szCs w:val="28"/>
        </w:rPr>
        <w:t>Стратегия формирования инвестиционных ресу</w:t>
      </w:r>
      <w:r w:rsidR="00667545" w:rsidRPr="00A3133C">
        <w:rPr>
          <w:rFonts w:ascii="Times New Roman" w:hAnsi="Times New Roman"/>
          <w:sz w:val="28"/>
          <w:szCs w:val="28"/>
        </w:rPr>
        <w:t xml:space="preserve">рсов является важным составным </w:t>
      </w:r>
      <w:r w:rsidRPr="00A3133C">
        <w:rPr>
          <w:rFonts w:ascii="Times New Roman" w:hAnsi="Times New Roman"/>
          <w:sz w:val="28"/>
          <w:szCs w:val="28"/>
        </w:rPr>
        <w:t>элементом не только инвестиционной, но и</w:t>
      </w:r>
      <w:r w:rsidR="00667545" w:rsidRPr="00A3133C">
        <w:rPr>
          <w:rFonts w:ascii="Times New Roman" w:hAnsi="Times New Roman"/>
          <w:sz w:val="28"/>
          <w:szCs w:val="28"/>
        </w:rPr>
        <w:t xml:space="preserve"> финансовой стратегии компании</w:t>
      </w:r>
      <w:r w:rsidR="00A3133C" w:rsidRPr="00A3133C">
        <w:rPr>
          <w:rFonts w:ascii="Times New Roman" w:hAnsi="Times New Roman"/>
          <w:sz w:val="28"/>
          <w:szCs w:val="28"/>
        </w:rPr>
        <w:t xml:space="preserve"> </w:t>
      </w:r>
      <w:r w:rsidRPr="00A3133C">
        <w:rPr>
          <w:rFonts w:ascii="Times New Roman" w:hAnsi="Times New Roman"/>
          <w:sz w:val="28"/>
          <w:szCs w:val="28"/>
        </w:rPr>
        <w:t>(фирмы). Разработка такой стратегии при</w:t>
      </w:r>
      <w:r w:rsidR="00667545" w:rsidRPr="00A3133C">
        <w:rPr>
          <w:rFonts w:ascii="Times New Roman" w:hAnsi="Times New Roman"/>
          <w:sz w:val="28"/>
          <w:szCs w:val="28"/>
        </w:rPr>
        <w:t xml:space="preserve">звана обеспечить бесперебойную </w:t>
      </w:r>
      <w:r w:rsidRPr="00A3133C">
        <w:rPr>
          <w:rFonts w:ascii="Times New Roman" w:hAnsi="Times New Roman"/>
          <w:sz w:val="28"/>
          <w:szCs w:val="28"/>
        </w:rPr>
        <w:t>инвестиционную деятельность в предусмотренных объемах; наиболее эффективное использование собственных финансовых средств, направляемых на эти цели, а также финансовую устойчивость компании (фирмы) в долгосрочной перспективе.</w:t>
      </w:r>
    </w:p>
    <w:p w:rsidR="00083EF2" w:rsidRPr="00A3133C" w:rsidRDefault="00E11C44"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sz w:val="28"/>
          <w:szCs w:val="28"/>
        </w:rPr>
        <w:t>Методические подходы к разработке стратег</w:t>
      </w:r>
      <w:r w:rsidR="00667545" w:rsidRPr="00A3133C">
        <w:rPr>
          <w:rFonts w:ascii="Times New Roman" w:hAnsi="Times New Roman"/>
          <w:sz w:val="28"/>
          <w:szCs w:val="28"/>
        </w:rPr>
        <w:t xml:space="preserve">ии формирования инвестиционных </w:t>
      </w:r>
      <w:r w:rsidRPr="00A3133C">
        <w:rPr>
          <w:rFonts w:ascii="Times New Roman" w:hAnsi="Times New Roman"/>
          <w:sz w:val="28"/>
          <w:szCs w:val="28"/>
        </w:rPr>
        <w:t>ресурсов суще</w:t>
      </w:r>
      <w:r w:rsidR="00667545" w:rsidRPr="00A3133C">
        <w:rPr>
          <w:rFonts w:ascii="Times New Roman" w:hAnsi="Times New Roman"/>
          <w:sz w:val="28"/>
          <w:szCs w:val="28"/>
        </w:rPr>
        <w:t>ственно различаются в компаниях, являющихся институци</w:t>
      </w:r>
      <w:r w:rsidRPr="00A3133C">
        <w:rPr>
          <w:rFonts w:ascii="Times New Roman" w:hAnsi="Times New Roman"/>
          <w:sz w:val="28"/>
          <w:szCs w:val="28"/>
        </w:rPr>
        <w:t>ональными инвесторами, формирующим</w:t>
      </w:r>
      <w:r w:rsidR="00667545" w:rsidRPr="00A3133C">
        <w:rPr>
          <w:rFonts w:ascii="Times New Roman" w:hAnsi="Times New Roman"/>
          <w:sz w:val="28"/>
          <w:szCs w:val="28"/>
        </w:rPr>
        <w:t xml:space="preserve">и эти ресурсы исключительно за </w:t>
      </w:r>
      <w:r w:rsidRPr="00A3133C">
        <w:rPr>
          <w:rFonts w:ascii="Times New Roman" w:hAnsi="Times New Roman"/>
          <w:sz w:val="28"/>
          <w:szCs w:val="28"/>
        </w:rPr>
        <w:t>счет эмиссии собственных акций и ин</w:t>
      </w:r>
      <w:r w:rsidR="00667545" w:rsidRPr="00A3133C">
        <w:rPr>
          <w:rFonts w:ascii="Times New Roman" w:hAnsi="Times New Roman"/>
          <w:sz w:val="28"/>
          <w:szCs w:val="28"/>
        </w:rPr>
        <w:t xml:space="preserve">вестиционных сертификатов, и в </w:t>
      </w:r>
      <w:r w:rsidRPr="00A3133C">
        <w:rPr>
          <w:rFonts w:ascii="Times New Roman" w:hAnsi="Times New Roman"/>
          <w:sz w:val="28"/>
          <w:szCs w:val="28"/>
        </w:rPr>
        <w:t>компаниях, осуществляющих реальную инвестици</w:t>
      </w:r>
      <w:r w:rsidR="00667545" w:rsidRPr="00A3133C">
        <w:rPr>
          <w:rFonts w:ascii="Times New Roman" w:hAnsi="Times New Roman"/>
          <w:sz w:val="28"/>
          <w:szCs w:val="28"/>
        </w:rPr>
        <w:t xml:space="preserve">онную деятельность в различных </w:t>
      </w:r>
      <w:r w:rsidRPr="00A3133C">
        <w:rPr>
          <w:rFonts w:ascii="Times New Roman" w:hAnsi="Times New Roman"/>
          <w:sz w:val="28"/>
          <w:szCs w:val="28"/>
        </w:rPr>
        <w:t>отраслях экономики.</w:t>
      </w:r>
    </w:p>
    <w:p w:rsidR="00667545" w:rsidRPr="00A3133C" w:rsidRDefault="00667545"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sz w:val="28"/>
          <w:szCs w:val="28"/>
        </w:rPr>
        <w:t>Прогнозирование потребности в общем объеме инвестиционных ресурсов осуществляется в такой последовательности:</w:t>
      </w:r>
    </w:p>
    <w:p w:rsidR="00667545" w:rsidRPr="00A3133C" w:rsidRDefault="00667545"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sz w:val="28"/>
          <w:szCs w:val="28"/>
        </w:rPr>
        <w:t>На первой стадии определяется необходимый объем финансовых средств для реального инвестирования. В этих целях в разрезе предусмотренных направлениями инвестиционной стратегии отраслей подбираются необходимые объекты-аналоги, по которым рассчитывается стоимость нового строительства или приобретения.</w:t>
      </w:r>
    </w:p>
    <w:p w:rsidR="00667545" w:rsidRPr="00A3133C" w:rsidRDefault="00667545"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sz w:val="28"/>
          <w:szCs w:val="28"/>
        </w:rPr>
        <w:t>На второй стадии прогнозирования потребности определяется необходимый объём инвестиционных ресурсов для осуществления финансовых инвестиций. Расчет этой потребности основывается на установленных ранее соотношениях различных форм инвестирования в прогнозируемом периоде.</w:t>
      </w:r>
    </w:p>
    <w:p w:rsidR="00667545" w:rsidRPr="00A3133C" w:rsidRDefault="00667545"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sz w:val="28"/>
          <w:szCs w:val="28"/>
        </w:rPr>
        <w:t>Общая потребность в инвестиционных ресурсах для осуществления финансовых инвестиций определяется путем суммирования потребности в них в первом</w:t>
      </w:r>
      <w:r w:rsidR="00A3133C" w:rsidRPr="00A3133C">
        <w:rPr>
          <w:rFonts w:ascii="Times New Roman" w:hAnsi="Times New Roman"/>
          <w:sz w:val="28"/>
          <w:szCs w:val="28"/>
        </w:rPr>
        <w:t xml:space="preserve"> </w:t>
      </w:r>
      <w:r w:rsidRPr="00A3133C">
        <w:rPr>
          <w:rFonts w:ascii="Times New Roman" w:hAnsi="Times New Roman"/>
          <w:sz w:val="28"/>
          <w:szCs w:val="28"/>
        </w:rPr>
        <w:t>(начальном) периоде и размеров прироста этих ресурсов в каждом последующем периоде.</w:t>
      </w:r>
    </w:p>
    <w:p w:rsidR="00667545" w:rsidRPr="00A3133C" w:rsidRDefault="00667545"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sz w:val="28"/>
          <w:szCs w:val="28"/>
        </w:rPr>
        <w:t>На третьей стадии прогнозирования потребности определяется общий объём необходимых инвестиционных ресурсов. Он рассчитывается путем суммирования потребности в инвестиционных ресурсах для реального инвестирования, потребности в этих ресурсах для осуществления финансовых инвестиций и суммы резер</w:t>
      </w:r>
      <w:r w:rsidR="006074E4" w:rsidRPr="00A3133C">
        <w:rPr>
          <w:rFonts w:ascii="Times New Roman" w:hAnsi="Times New Roman"/>
          <w:sz w:val="28"/>
          <w:szCs w:val="28"/>
        </w:rPr>
        <w:t>ва капитала</w:t>
      </w:r>
      <w:r w:rsidRPr="00A3133C">
        <w:rPr>
          <w:rFonts w:ascii="Times New Roman" w:hAnsi="Times New Roman"/>
          <w:sz w:val="28"/>
          <w:szCs w:val="28"/>
        </w:rPr>
        <w:t>.</w:t>
      </w:r>
    </w:p>
    <w:p w:rsidR="00667545" w:rsidRPr="00A3133C" w:rsidRDefault="00667545"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sz w:val="28"/>
          <w:szCs w:val="28"/>
        </w:rPr>
        <w:t>Изучение возможностей формирования инвестиционных ресурсов за сч</w:t>
      </w:r>
      <w:r w:rsidR="006074E4" w:rsidRPr="00A3133C">
        <w:rPr>
          <w:rFonts w:ascii="Times New Roman" w:hAnsi="Times New Roman"/>
          <w:sz w:val="28"/>
          <w:szCs w:val="28"/>
        </w:rPr>
        <w:t xml:space="preserve">ет </w:t>
      </w:r>
      <w:r w:rsidRPr="00A3133C">
        <w:rPr>
          <w:rFonts w:ascii="Times New Roman" w:hAnsi="Times New Roman"/>
          <w:sz w:val="28"/>
          <w:szCs w:val="28"/>
        </w:rPr>
        <w:t xml:space="preserve">различных источников является вторым </w:t>
      </w:r>
      <w:r w:rsidR="006074E4" w:rsidRPr="00A3133C">
        <w:rPr>
          <w:rFonts w:ascii="Times New Roman" w:hAnsi="Times New Roman"/>
          <w:sz w:val="28"/>
          <w:szCs w:val="28"/>
        </w:rPr>
        <w:t xml:space="preserve">этапом разработки стратегии. В </w:t>
      </w:r>
      <w:r w:rsidRPr="00A3133C">
        <w:rPr>
          <w:rFonts w:ascii="Times New Roman" w:hAnsi="Times New Roman"/>
          <w:sz w:val="28"/>
          <w:szCs w:val="28"/>
        </w:rPr>
        <w:t>процессе э</w:t>
      </w:r>
      <w:r w:rsidR="006074E4" w:rsidRPr="00A3133C">
        <w:rPr>
          <w:rFonts w:ascii="Times New Roman" w:hAnsi="Times New Roman"/>
          <w:sz w:val="28"/>
          <w:szCs w:val="28"/>
        </w:rPr>
        <w:t xml:space="preserve">того этапа работ рассматриваются возможные источники </w:t>
      </w:r>
      <w:r w:rsidRPr="00A3133C">
        <w:rPr>
          <w:rFonts w:ascii="Times New Roman" w:hAnsi="Times New Roman"/>
          <w:sz w:val="28"/>
          <w:szCs w:val="28"/>
        </w:rPr>
        <w:t>формирования инвестиционных ресурсов с учетом</w:t>
      </w:r>
      <w:r w:rsidR="006074E4" w:rsidRPr="00A3133C">
        <w:rPr>
          <w:rFonts w:ascii="Times New Roman" w:hAnsi="Times New Roman"/>
          <w:sz w:val="28"/>
          <w:szCs w:val="28"/>
        </w:rPr>
        <w:t xml:space="preserve"> специфики </w:t>
      </w:r>
      <w:r w:rsidRPr="00A3133C">
        <w:rPr>
          <w:rFonts w:ascii="Times New Roman" w:hAnsi="Times New Roman"/>
          <w:sz w:val="28"/>
          <w:szCs w:val="28"/>
        </w:rPr>
        <w:t>деятельности той или иной компании (фирмы).</w:t>
      </w:r>
    </w:p>
    <w:p w:rsidR="006074E4" w:rsidRPr="00A3133C" w:rsidRDefault="006074E4"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sz w:val="28"/>
          <w:szCs w:val="28"/>
        </w:rPr>
        <w:t>Все источники формирования инвестиционных ресурсов подразделяются на три основные группы, - 1)собственные, 2)заёмные 3) привлеченные.</w:t>
      </w:r>
    </w:p>
    <w:p w:rsidR="006074E4" w:rsidRPr="00A3133C" w:rsidRDefault="00B60F9B"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sz w:val="28"/>
          <w:szCs w:val="28"/>
        </w:rPr>
        <w:t>Из всего многообразия источников формирования инвестиционных ресурсов при разработке инвестиционной стратегии компании (фирмы) могут быть учтены лишь основные из них.</w:t>
      </w:r>
    </w:p>
    <w:p w:rsidR="00B60F9B" w:rsidRPr="00A3133C" w:rsidRDefault="00B60F9B"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sz w:val="28"/>
          <w:szCs w:val="28"/>
        </w:rPr>
        <w:t xml:space="preserve">Определение методов финансирования отдельных инвестиционных программ и проектов позволяет рассчитать пропорции в структуре источников инвестиционных ресурсов. </w:t>
      </w:r>
    </w:p>
    <w:p w:rsidR="00B60F9B" w:rsidRPr="00A3133C" w:rsidRDefault="00B60F9B"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sz w:val="28"/>
          <w:szCs w:val="28"/>
        </w:rPr>
        <w:t>Оптимизация структуры источников формирования инвестиционных ресурсов является заключительным этапом разработки стратегии их формирования. Необходимость такой оптимизации определяется тем, что рассчитанное соотношение внутренних и внешних источников формирования инвестиционных ресурсов может не соответствовать требованиям финансовой стратегии компании и существенно снижать уровень ее финансовой устойчивости.</w:t>
      </w:r>
    </w:p>
    <w:p w:rsidR="00B60F9B" w:rsidRPr="00A3133C" w:rsidRDefault="00B60F9B"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sz w:val="28"/>
          <w:szCs w:val="28"/>
        </w:rPr>
        <w:t>Главными критериями оптимизации соотношения внутренних и внешних источников финансирования инвестиционной деятельности выступают:</w:t>
      </w:r>
    </w:p>
    <w:p w:rsidR="00B60F9B" w:rsidRPr="00A3133C" w:rsidRDefault="00B60F9B"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sz w:val="28"/>
          <w:szCs w:val="28"/>
        </w:rPr>
        <w:t>1) необходимость обеспечения высокой финансовой устойчивости компании</w:t>
      </w:r>
      <w:r w:rsidR="00A3133C" w:rsidRPr="00A3133C">
        <w:rPr>
          <w:rFonts w:ascii="Times New Roman" w:hAnsi="Times New Roman"/>
          <w:sz w:val="28"/>
          <w:szCs w:val="28"/>
        </w:rPr>
        <w:t xml:space="preserve"> </w:t>
      </w:r>
      <w:r w:rsidRPr="00A3133C">
        <w:rPr>
          <w:rFonts w:ascii="Times New Roman" w:hAnsi="Times New Roman"/>
          <w:sz w:val="28"/>
          <w:szCs w:val="28"/>
        </w:rPr>
        <w:t>(фирмы);</w:t>
      </w:r>
    </w:p>
    <w:p w:rsidR="00B60F9B" w:rsidRPr="00A3133C" w:rsidRDefault="00B60F9B"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sz w:val="28"/>
          <w:szCs w:val="28"/>
        </w:rPr>
        <w:t>2) максимизация суммы прибыли от инвестиционной деятельности, остающаяся в распоряжении первоначальных учредителей компании (фирмы), при различных соотношениях внутренних и внешних источников финансирования этой деятельности.</w:t>
      </w:r>
    </w:p>
    <w:p w:rsidR="00A3133C" w:rsidRDefault="00A3133C">
      <w:pPr>
        <w:rPr>
          <w:rFonts w:ascii="Times New Roman" w:hAnsi="Times New Roman"/>
          <w:sz w:val="28"/>
          <w:szCs w:val="28"/>
        </w:rPr>
      </w:pPr>
      <w:r>
        <w:rPr>
          <w:rFonts w:ascii="Times New Roman" w:hAnsi="Times New Roman"/>
          <w:sz w:val="28"/>
          <w:szCs w:val="28"/>
        </w:rPr>
        <w:br w:type="page"/>
      </w:r>
    </w:p>
    <w:p w:rsidR="00423FC1" w:rsidRPr="00A3133C" w:rsidRDefault="00A3133C" w:rsidP="00A3133C">
      <w:pPr>
        <w:widowControl w:val="0"/>
        <w:shd w:val="clear" w:color="000000" w:fill="auto"/>
        <w:spacing w:after="0" w:line="360" w:lineRule="auto"/>
        <w:ind w:firstLine="709"/>
        <w:jc w:val="both"/>
        <w:rPr>
          <w:rFonts w:ascii="Times New Roman" w:hAnsi="Times New Roman"/>
          <w:b/>
          <w:sz w:val="28"/>
          <w:szCs w:val="28"/>
        </w:rPr>
      </w:pPr>
      <w:r w:rsidRPr="00A3133C">
        <w:rPr>
          <w:rFonts w:ascii="Times New Roman" w:hAnsi="Times New Roman"/>
          <w:b/>
          <w:sz w:val="28"/>
          <w:szCs w:val="28"/>
        </w:rPr>
        <w:t xml:space="preserve">2. </w:t>
      </w:r>
      <w:r w:rsidR="00423FC1" w:rsidRPr="00A3133C">
        <w:rPr>
          <w:rFonts w:ascii="Times New Roman" w:hAnsi="Times New Roman"/>
          <w:b/>
          <w:sz w:val="28"/>
          <w:szCs w:val="28"/>
        </w:rPr>
        <w:t>Классификация инструментов рынка ценных бумаг. Их характеристика</w:t>
      </w:r>
    </w:p>
    <w:p w:rsidR="00A3133C" w:rsidRDefault="00A3133C" w:rsidP="00A3133C">
      <w:pPr>
        <w:widowControl w:val="0"/>
        <w:shd w:val="clear" w:color="000000" w:fill="auto"/>
        <w:spacing w:after="0" w:line="360" w:lineRule="auto"/>
        <w:ind w:firstLine="709"/>
        <w:jc w:val="both"/>
        <w:rPr>
          <w:rFonts w:ascii="Times New Roman" w:hAnsi="Times New Roman"/>
          <w:b/>
          <w:bCs/>
          <w:i/>
          <w:sz w:val="28"/>
          <w:szCs w:val="28"/>
        </w:rPr>
      </w:pPr>
    </w:p>
    <w:p w:rsidR="00423FC1" w:rsidRPr="00A3133C" w:rsidRDefault="0065371B"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b/>
          <w:bCs/>
          <w:i/>
          <w:sz w:val="28"/>
          <w:szCs w:val="28"/>
        </w:rPr>
        <w:t>Инструменты рынка ценных бумаг</w:t>
      </w:r>
      <w:r w:rsidRPr="00A3133C">
        <w:rPr>
          <w:rFonts w:ascii="Times New Roman" w:hAnsi="Times New Roman"/>
          <w:sz w:val="28"/>
          <w:szCs w:val="28"/>
        </w:rPr>
        <w:t xml:space="preserve"> — это различные формы финансовых обязательств (для краткосрочного и долгосрочного инвестирования), торговля которыми осуществляется на рынке ценных бумаг. </w:t>
      </w:r>
    </w:p>
    <w:p w:rsidR="00966612" w:rsidRPr="00A3133C" w:rsidRDefault="00966612"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b/>
          <w:bCs/>
          <w:sz w:val="28"/>
          <w:szCs w:val="28"/>
        </w:rPr>
        <w:t xml:space="preserve">Ценная бумага </w:t>
      </w:r>
      <w:r w:rsidRPr="00A3133C">
        <w:rPr>
          <w:rFonts w:ascii="Times New Roman" w:hAnsi="Times New Roman"/>
          <w:sz w:val="28"/>
          <w:szCs w:val="28"/>
        </w:rPr>
        <w:t>- документ, удостоверяющий с соблюдением установленной формы и обязательных реквизитов имущественные права, осуществление или передача которых возможны только при его предъявлении.</w:t>
      </w:r>
      <w:r w:rsidRPr="00A3133C">
        <w:rPr>
          <w:rFonts w:ascii="Times New Roman" w:hAnsi="Times New Roman"/>
          <w:sz w:val="28"/>
        </w:rPr>
        <w:t xml:space="preserve"> </w:t>
      </w:r>
      <w:r w:rsidRPr="00A3133C">
        <w:rPr>
          <w:rFonts w:ascii="Times New Roman" w:hAnsi="Times New Roman"/>
          <w:sz w:val="28"/>
          <w:szCs w:val="28"/>
        </w:rPr>
        <w:t>С юридической точки зрения ценная бумага может рассматриваться как титул имущественных прав, а также как движимое имущество. С экономической точки зрения ценная бумага - представитель капитала. Ценные бумаги можно классифицировать по следующим признакам:</w:t>
      </w:r>
    </w:p>
    <w:p w:rsidR="00966612" w:rsidRPr="00A3133C" w:rsidRDefault="00966612"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b/>
          <w:bCs/>
          <w:i/>
          <w:iCs/>
          <w:sz w:val="28"/>
          <w:szCs w:val="28"/>
        </w:rPr>
        <w:t>- срок существования:</w:t>
      </w:r>
      <w:r w:rsidRPr="00A3133C">
        <w:rPr>
          <w:rFonts w:ascii="Times New Roman" w:hAnsi="Times New Roman"/>
          <w:sz w:val="28"/>
          <w:szCs w:val="28"/>
        </w:rPr>
        <w:t xml:space="preserve"> срочные (краткосрочные, среднесрочные, долгосрочные и отзывные) и бессрочные; </w:t>
      </w:r>
    </w:p>
    <w:p w:rsidR="00966612" w:rsidRPr="00A3133C" w:rsidRDefault="00966612"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b/>
          <w:bCs/>
          <w:i/>
          <w:iCs/>
          <w:sz w:val="28"/>
          <w:szCs w:val="28"/>
        </w:rPr>
        <w:t>- форма существования:</w:t>
      </w:r>
      <w:r w:rsidRPr="00A3133C">
        <w:rPr>
          <w:rFonts w:ascii="Times New Roman" w:hAnsi="Times New Roman"/>
          <w:sz w:val="28"/>
          <w:szCs w:val="28"/>
        </w:rPr>
        <w:t xml:space="preserve"> бумажная (документарная) или безбумажная (бездокументарная); </w:t>
      </w:r>
    </w:p>
    <w:p w:rsidR="00966612" w:rsidRPr="00A3133C" w:rsidRDefault="00966612"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b/>
          <w:bCs/>
          <w:i/>
          <w:iCs/>
          <w:sz w:val="28"/>
          <w:szCs w:val="28"/>
        </w:rPr>
        <w:t>- порядок фиксации владельца:</w:t>
      </w:r>
      <w:r w:rsidRPr="00A3133C">
        <w:rPr>
          <w:rFonts w:ascii="Times New Roman" w:hAnsi="Times New Roman"/>
          <w:sz w:val="28"/>
          <w:szCs w:val="28"/>
        </w:rPr>
        <w:t xml:space="preserve"> именные или предъявительские; </w:t>
      </w:r>
    </w:p>
    <w:p w:rsidR="00966612" w:rsidRPr="00A3133C" w:rsidRDefault="00966612"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b/>
          <w:bCs/>
          <w:i/>
          <w:iCs/>
          <w:sz w:val="28"/>
          <w:szCs w:val="28"/>
        </w:rPr>
        <w:t>- форма обращения (порядок передачи):</w:t>
      </w:r>
      <w:r w:rsidRPr="00A3133C">
        <w:rPr>
          <w:rFonts w:ascii="Times New Roman" w:hAnsi="Times New Roman"/>
          <w:sz w:val="28"/>
          <w:szCs w:val="28"/>
        </w:rPr>
        <w:t xml:space="preserve"> передаваемые по соглашению сторон (путем вручения, путем цессии) или ордерные (передаваемые путем приказа владельца - индоссамента);</w:t>
      </w:r>
    </w:p>
    <w:p w:rsidR="00966612" w:rsidRPr="00A3133C" w:rsidRDefault="00966612"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b/>
          <w:bCs/>
          <w:i/>
          <w:iCs/>
          <w:sz w:val="28"/>
          <w:szCs w:val="28"/>
        </w:rPr>
        <w:t>- форма выпуска:</w:t>
      </w:r>
      <w:r w:rsidRPr="00A3133C">
        <w:rPr>
          <w:rFonts w:ascii="Times New Roman" w:hAnsi="Times New Roman"/>
          <w:sz w:val="28"/>
          <w:szCs w:val="28"/>
        </w:rPr>
        <w:t xml:space="preserve"> эмиссионные или неэмиссионные; </w:t>
      </w:r>
    </w:p>
    <w:p w:rsidR="00966612" w:rsidRPr="00A3133C" w:rsidRDefault="00966612"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b/>
          <w:bCs/>
          <w:i/>
          <w:iCs/>
          <w:sz w:val="28"/>
          <w:szCs w:val="28"/>
        </w:rPr>
        <w:t>- регистрируемость:</w:t>
      </w:r>
      <w:r w:rsidRPr="00A3133C">
        <w:rPr>
          <w:rFonts w:ascii="Times New Roman" w:hAnsi="Times New Roman"/>
          <w:sz w:val="28"/>
          <w:szCs w:val="28"/>
        </w:rPr>
        <w:t xml:space="preserve"> регистрируемые (государственная регистрация или регистрация ЦБ РФ) и нерегистрируемые; </w:t>
      </w:r>
    </w:p>
    <w:p w:rsidR="00966612" w:rsidRPr="00A3133C" w:rsidRDefault="00966612"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b/>
          <w:bCs/>
          <w:i/>
          <w:iCs/>
          <w:sz w:val="28"/>
          <w:szCs w:val="28"/>
        </w:rPr>
        <w:t>- национальная принадлежность:</w:t>
      </w:r>
      <w:r w:rsidRPr="00A3133C">
        <w:rPr>
          <w:rFonts w:ascii="Times New Roman" w:hAnsi="Times New Roman"/>
          <w:sz w:val="28"/>
          <w:szCs w:val="28"/>
        </w:rPr>
        <w:t xml:space="preserve"> российские или иностранные; </w:t>
      </w:r>
    </w:p>
    <w:p w:rsidR="00966612" w:rsidRPr="00A3133C" w:rsidRDefault="00966612"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b/>
          <w:bCs/>
          <w:i/>
          <w:iCs/>
          <w:sz w:val="28"/>
          <w:szCs w:val="28"/>
        </w:rPr>
        <w:t>- вид эмитента:</w:t>
      </w:r>
      <w:r w:rsidRPr="00A3133C">
        <w:rPr>
          <w:rFonts w:ascii="Times New Roman" w:hAnsi="Times New Roman"/>
          <w:sz w:val="28"/>
          <w:szCs w:val="28"/>
        </w:rPr>
        <w:t xml:space="preserve"> государственный (федеральный или муниципальный) и негосударственный (корпоративный или частный); </w:t>
      </w:r>
    </w:p>
    <w:p w:rsidR="00966612" w:rsidRPr="00A3133C" w:rsidRDefault="00966612"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b/>
          <w:bCs/>
          <w:i/>
          <w:iCs/>
          <w:sz w:val="28"/>
          <w:szCs w:val="28"/>
        </w:rPr>
        <w:t>- обращаемость:</w:t>
      </w:r>
      <w:r w:rsidRPr="00A3133C">
        <w:rPr>
          <w:rFonts w:ascii="Times New Roman" w:hAnsi="Times New Roman"/>
          <w:sz w:val="28"/>
          <w:szCs w:val="28"/>
        </w:rPr>
        <w:t xml:space="preserve"> рыночные или нерыночные; </w:t>
      </w:r>
    </w:p>
    <w:p w:rsidR="00966612" w:rsidRPr="00A3133C" w:rsidRDefault="00966612"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b/>
          <w:bCs/>
          <w:i/>
          <w:iCs/>
          <w:sz w:val="28"/>
          <w:szCs w:val="28"/>
        </w:rPr>
        <w:t>- цели использования:</w:t>
      </w:r>
      <w:r w:rsidRPr="00A3133C">
        <w:rPr>
          <w:rFonts w:ascii="Times New Roman" w:hAnsi="Times New Roman"/>
          <w:sz w:val="28"/>
          <w:szCs w:val="28"/>
        </w:rPr>
        <w:t xml:space="preserve"> инвестиционные (цель - получение дохода) или неинвестиционные (обслуживают оборот на товарных рынках); </w:t>
      </w:r>
    </w:p>
    <w:p w:rsidR="00966612" w:rsidRPr="00A3133C" w:rsidRDefault="00966612"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b/>
          <w:bCs/>
          <w:i/>
          <w:iCs/>
          <w:sz w:val="28"/>
          <w:szCs w:val="28"/>
        </w:rPr>
        <w:t>- уровень риска:</w:t>
      </w:r>
      <w:r w:rsidRPr="00A3133C">
        <w:rPr>
          <w:rFonts w:ascii="Times New Roman" w:hAnsi="Times New Roman"/>
          <w:sz w:val="28"/>
          <w:szCs w:val="28"/>
        </w:rPr>
        <w:t xml:space="preserve"> безрисковые или рисковые (низкорисковые, среднерисковые или высокорисковые); </w:t>
      </w:r>
    </w:p>
    <w:p w:rsidR="00966612" w:rsidRPr="00A3133C" w:rsidRDefault="00966612"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b/>
          <w:bCs/>
          <w:i/>
          <w:iCs/>
          <w:sz w:val="28"/>
          <w:szCs w:val="28"/>
        </w:rPr>
        <w:t>- наличие начисляемого дохода:</w:t>
      </w:r>
      <w:r w:rsidRPr="00A3133C">
        <w:rPr>
          <w:rFonts w:ascii="Times New Roman" w:hAnsi="Times New Roman"/>
          <w:sz w:val="28"/>
          <w:szCs w:val="28"/>
        </w:rPr>
        <w:t xml:space="preserve"> бездоходные или доходные (процентные, дивидендные, дисконтные); </w:t>
      </w:r>
    </w:p>
    <w:p w:rsidR="00966612" w:rsidRPr="00A3133C" w:rsidRDefault="00966612"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b/>
          <w:bCs/>
          <w:i/>
          <w:iCs/>
          <w:sz w:val="28"/>
          <w:szCs w:val="28"/>
        </w:rPr>
        <w:t>- номинал:</w:t>
      </w:r>
      <w:r w:rsidRPr="00A3133C">
        <w:rPr>
          <w:rFonts w:ascii="Times New Roman" w:hAnsi="Times New Roman"/>
          <w:sz w:val="28"/>
          <w:szCs w:val="28"/>
        </w:rPr>
        <w:t xml:space="preserve"> постоянный или переменный.</w:t>
      </w:r>
    </w:p>
    <w:p w:rsidR="0065371B" w:rsidRPr="00A3133C" w:rsidRDefault="00254AE3"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sz w:val="28"/>
          <w:szCs w:val="28"/>
        </w:rPr>
        <w:t xml:space="preserve">Инструменты рынка ценных бумаг могут быть </w:t>
      </w:r>
      <w:r w:rsidRPr="00A3133C">
        <w:rPr>
          <w:rFonts w:ascii="Times New Roman" w:hAnsi="Times New Roman"/>
          <w:b/>
          <w:sz w:val="28"/>
          <w:szCs w:val="28"/>
        </w:rPr>
        <w:t>основными</w:t>
      </w:r>
      <w:r w:rsidRPr="00A3133C">
        <w:rPr>
          <w:rFonts w:ascii="Times New Roman" w:hAnsi="Times New Roman"/>
          <w:sz w:val="28"/>
          <w:szCs w:val="28"/>
        </w:rPr>
        <w:t xml:space="preserve"> и </w:t>
      </w:r>
      <w:r w:rsidRPr="00A3133C">
        <w:rPr>
          <w:rFonts w:ascii="Times New Roman" w:hAnsi="Times New Roman"/>
          <w:b/>
          <w:sz w:val="28"/>
          <w:szCs w:val="28"/>
        </w:rPr>
        <w:t>производными</w:t>
      </w:r>
      <w:r w:rsidRPr="00A3133C">
        <w:rPr>
          <w:rFonts w:ascii="Times New Roman" w:hAnsi="Times New Roman"/>
          <w:sz w:val="28"/>
          <w:szCs w:val="28"/>
        </w:rPr>
        <w:t>.</w:t>
      </w:r>
    </w:p>
    <w:p w:rsidR="00254AE3" w:rsidRPr="00A3133C" w:rsidRDefault="00254AE3"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sz w:val="28"/>
          <w:szCs w:val="28"/>
        </w:rPr>
        <w:t xml:space="preserve">Основные ценные бумаги — это ценные бумаги, в основе которых лежат имущественные права на какой-либо актив (товар, деньги, капитал, имущество, ресурсы и т.д.). Основные ценные бумаги подразделяются на </w:t>
      </w:r>
      <w:r w:rsidRPr="00A3133C">
        <w:rPr>
          <w:rFonts w:ascii="Times New Roman" w:hAnsi="Times New Roman"/>
          <w:b/>
          <w:sz w:val="28"/>
          <w:szCs w:val="28"/>
        </w:rPr>
        <w:t>первичные</w:t>
      </w:r>
      <w:r w:rsidRPr="00A3133C">
        <w:rPr>
          <w:rFonts w:ascii="Times New Roman" w:hAnsi="Times New Roman"/>
          <w:sz w:val="28"/>
          <w:szCs w:val="28"/>
        </w:rPr>
        <w:t xml:space="preserve"> и </w:t>
      </w:r>
      <w:r w:rsidRPr="00A3133C">
        <w:rPr>
          <w:rFonts w:ascii="Times New Roman" w:hAnsi="Times New Roman"/>
          <w:b/>
          <w:sz w:val="28"/>
          <w:szCs w:val="28"/>
        </w:rPr>
        <w:t>вторичные</w:t>
      </w:r>
      <w:r w:rsidRPr="00A3133C">
        <w:rPr>
          <w:rFonts w:ascii="Times New Roman" w:hAnsi="Times New Roman"/>
          <w:sz w:val="28"/>
          <w:szCs w:val="28"/>
        </w:rPr>
        <w:t>.</w:t>
      </w:r>
    </w:p>
    <w:p w:rsidR="00254AE3" w:rsidRPr="00A3133C" w:rsidRDefault="00254AE3"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sz w:val="28"/>
          <w:szCs w:val="28"/>
        </w:rPr>
        <w:t>Первичные основаны на активах, в число которых не входят сами ценные бумаги. Это акции, облигации, векселя, банковские сертификаты, чеки, закладные, коносаменты и т.д.</w:t>
      </w:r>
    </w:p>
    <w:p w:rsidR="00254AE3" w:rsidRPr="00A3133C" w:rsidRDefault="00254AE3"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sz w:val="28"/>
          <w:szCs w:val="28"/>
        </w:rPr>
        <w:t>Вторичные выпускаются на основе первичных ценных бумаг, то есть это ценные бумаги на сами ценные бумаги. Сюда относятся варранты на ценные бумаги, депозитарные расписки и т.д.</w:t>
      </w:r>
    </w:p>
    <w:p w:rsidR="00254AE3" w:rsidRPr="00A3133C" w:rsidRDefault="00254AE3"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sz w:val="28"/>
          <w:szCs w:val="28"/>
        </w:rPr>
        <w:t>К производным ценным бумагам относятся те, в основе которых лежит какой-либо ценовой актив. Это могут быть цены товаров (обычно биржевых товаров: зерна, мяса, нефти, золота и т.д.), цены основных ценных бумаг (индексы акций, облигаций), цены валютного рынка (валютные курсы), цены кредитного рынка (процентные ставки) и т.д.</w:t>
      </w:r>
    </w:p>
    <w:p w:rsidR="00254AE3" w:rsidRPr="00A3133C" w:rsidRDefault="00254AE3"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sz w:val="28"/>
          <w:szCs w:val="28"/>
        </w:rPr>
        <w:t>Производные ценные бумаги удостоверяют право или обязанность инвестора продать или купить определенное количество базисного актива (валюты, акций, облигаций, золота и т.д.) в определенное время или по определенной цене.</w:t>
      </w:r>
    </w:p>
    <w:p w:rsidR="00254AE3" w:rsidRPr="00A3133C" w:rsidRDefault="00254AE3"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sz w:val="28"/>
          <w:szCs w:val="28"/>
        </w:rPr>
        <w:t>К производным ценным бумагам относятся варрант</w:t>
      </w:r>
      <w:r w:rsidR="00230E90" w:rsidRPr="00A3133C">
        <w:rPr>
          <w:rFonts w:ascii="Times New Roman" w:hAnsi="Times New Roman"/>
          <w:sz w:val="28"/>
          <w:szCs w:val="28"/>
        </w:rPr>
        <w:t>ы, опционы, форварды, фьючерсы и т.д</w:t>
      </w:r>
      <w:r w:rsidRPr="00A3133C">
        <w:rPr>
          <w:rFonts w:ascii="Times New Roman" w:hAnsi="Times New Roman"/>
          <w:sz w:val="28"/>
          <w:szCs w:val="28"/>
        </w:rPr>
        <w:t>.</w:t>
      </w:r>
    </w:p>
    <w:p w:rsidR="00F80A0A" w:rsidRPr="00A3133C" w:rsidRDefault="00F80A0A"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sz w:val="28"/>
          <w:szCs w:val="28"/>
        </w:rPr>
        <w:t>Выделяют следующие виды финансовых инструментов, в соответствие с их функциями:</w:t>
      </w:r>
    </w:p>
    <w:p w:rsidR="00F80A0A" w:rsidRPr="00A3133C" w:rsidRDefault="00F80A0A"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sz w:val="28"/>
          <w:szCs w:val="28"/>
        </w:rPr>
        <w:t>· инструменты займа (облигаций), государственных казначейских обязательств, векселей;</w:t>
      </w:r>
    </w:p>
    <w:p w:rsidR="00F80A0A" w:rsidRPr="00A3133C" w:rsidRDefault="00F80A0A"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sz w:val="28"/>
          <w:szCs w:val="28"/>
        </w:rPr>
        <w:t>· инструменты недвижимости (акции открытых АО, созданных в процессе приватизации);</w:t>
      </w:r>
    </w:p>
    <w:p w:rsidR="00F80A0A" w:rsidRPr="00A3133C" w:rsidRDefault="00F80A0A"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sz w:val="28"/>
          <w:szCs w:val="28"/>
        </w:rPr>
        <w:t>· инструменты инвестиций (акции; инвестиционные, сберегательные, депозитные сертификаты);</w:t>
      </w:r>
    </w:p>
    <w:p w:rsidR="00F80A0A" w:rsidRPr="00A3133C" w:rsidRDefault="00F80A0A"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sz w:val="28"/>
          <w:szCs w:val="28"/>
        </w:rPr>
        <w:t>· производные финансовые инструменты.</w:t>
      </w:r>
    </w:p>
    <w:p w:rsidR="003449E2" w:rsidRPr="00A3133C" w:rsidRDefault="00DC2898"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b/>
          <w:bCs/>
          <w:sz w:val="28"/>
          <w:szCs w:val="28"/>
        </w:rPr>
        <w:t>Акция</w:t>
      </w:r>
      <w:r w:rsidRPr="00A3133C">
        <w:rPr>
          <w:rFonts w:ascii="Times New Roman" w:hAnsi="Times New Roman"/>
          <w:sz w:val="28"/>
          <w:szCs w:val="28"/>
        </w:rPr>
        <w:t xml:space="preserve"> (от лат.</w:t>
      </w:r>
      <w:r w:rsidR="00A3133C" w:rsidRPr="00A3133C">
        <w:rPr>
          <w:rFonts w:ascii="Times New Roman" w:hAnsi="Times New Roman"/>
          <w:sz w:val="28"/>
          <w:szCs w:val="28"/>
        </w:rPr>
        <w:t xml:space="preserve"> </w:t>
      </w:r>
      <w:r w:rsidRPr="00A3133C">
        <w:rPr>
          <w:rFonts w:ascii="Times New Roman" w:hAnsi="Times New Roman"/>
          <w:i/>
          <w:iCs/>
          <w:sz w:val="28"/>
          <w:szCs w:val="28"/>
          <w:lang w:val="la-Latn"/>
        </w:rPr>
        <w:t>actio</w:t>
      </w:r>
      <w:r w:rsidR="00A3133C" w:rsidRPr="00A3133C">
        <w:rPr>
          <w:rFonts w:ascii="Times New Roman" w:hAnsi="Times New Roman"/>
          <w:sz w:val="28"/>
          <w:szCs w:val="28"/>
        </w:rPr>
        <w:t xml:space="preserve"> </w:t>
      </w:r>
      <w:r w:rsidRPr="00A3133C">
        <w:rPr>
          <w:rFonts w:ascii="Times New Roman" w:hAnsi="Times New Roman"/>
          <w:sz w:val="28"/>
          <w:szCs w:val="28"/>
        </w:rPr>
        <w:t>— действие, претензия)</w:t>
      </w:r>
      <w:r w:rsidR="00A3133C" w:rsidRPr="00A3133C">
        <w:rPr>
          <w:rFonts w:ascii="Times New Roman" w:hAnsi="Times New Roman"/>
          <w:sz w:val="28"/>
          <w:szCs w:val="28"/>
        </w:rPr>
        <w:t xml:space="preserve"> </w:t>
      </w:r>
      <w:r w:rsidRPr="00A3133C">
        <w:rPr>
          <w:rFonts w:ascii="Times New Roman" w:hAnsi="Times New Roman"/>
          <w:sz w:val="28"/>
          <w:szCs w:val="28"/>
        </w:rPr>
        <w:t>—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w:t>
      </w:r>
    </w:p>
    <w:p w:rsidR="0096096E" w:rsidRPr="00A3133C" w:rsidRDefault="0096096E"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sz w:val="28"/>
          <w:szCs w:val="28"/>
        </w:rPr>
        <w:t>Акция может быть выпущена как в документарной (бумажной, материальной) форме, так и в бездокументарной форме - в виде соответствующих записей на счетах. При документарной форме выпуска акций возможна замена акции сертификатом, который предоставляет собой свидетельство о владении названным в нем лицом определенного количества акций.</w:t>
      </w:r>
    </w:p>
    <w:p w:rsidR="00941A90" w:rsidRPr="00A3133C" w:rsidRDefault="00F5146F"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sz w:val="28"/>
          <w:szCs w:val="28"/>
        </w:rPr>
        <w:t>Акции акционерного общества можно разделить на размещенные и объявленные. Размещенными считаются акции, уже приобретенные акционерами. Объявленными являются акции, которые акционерное общество может выпустить дополнительно к размещенным акциям.</w:t>
      </w:r>
      <w:r w:rsidRPr="00A3133C">
        <w:rPr>
          <w:rFonts w:ascii="Times New Roman" w:hAnsi="Times New Roman"/>
          <w:sz w:val="28"/>
        </w:rPr>
        <w:t xml:space="preserve"> </w:t>
      </w:r>
      <w:r w:rsidRPr="00A3133C">
        <w:rPr>
          <w:rFonts w:ascii="Times New Roman" w:hAnsi="Times New Roman"/>
          <w:sz w:val="28"/>
          <w:szCs w:val="28"/>
        </w:rPr>
        <w:t>В зависимости от объема прав акции принято делить на обыкновенные и привилегированные.</w:t>
      </w:r>
    </w:p>
    <w:p w:rsidR="00F5146F" w:rsidRPr="00A3133C" w:rsidRDefault="008A6413"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b/>
          <w:bCs/>
          <w:sz w:val="28"/>
          <w:szCs w:val="28"/>
        </w:rPr>
        <w:t>Облигация</w:t>
      </w:r>
      <w:r w:rsidRPr="00A3133C">
        <w:rPr>
          <w:rFonts w:ascii="Times New Roman" w:hAnsi="Times New Roman"/>
          <w:sz w:val="28"/>
          <w:szCs w:val="28"/>
        </w:rPr>
        <w:t xml:space="preserve"> (лат.</w:t>
      </w:r>
      <w:r w:rsidR="00A3133C" w:rsidRPr="00A3133C">
        <w:rPr>
          <w:rFonts w:ascii="Times New Roman" w:hAnsi="Times New Roman"/>
          <w:sz w:val="28"/>
          <w:szCs w:val="28"/>
        </w:rPr>
        <w:t xml:space="preserve"> </w:t>
      </w:r>
      <w:r w:rsidRPr="00A3133C">
        <w:rPr>
          <w:rFonts w:ascii="Times New Roman" w:hAnsi="Times New Roman"/>
          <w:i/>
          <w:iCs/>
          <w:sz w:val="28"/>
          <w:szCs w:val="28"/>
          <w:lang w:val="la-Latn"/>
        </w:rPr>
        <w:t>obligatio</w:t>
      </w:r>
      <w:r w:rsidR="00A3133C" w:rsidRPr="00A3133C">
        <w:rPr>
          <w:rFonts w:ascii="Times New Roman" w:hAnsi="Times New Roman"/>
          <w:sz w:val="28"/>
          <w:szCs w:val="28"/>
        </w:rPr>
        <w:t xml:space="preserve"> </w:t>
      </w:r>
      <w:r w:rsidRPr="00A3133C">
        <w:rPr>
          <w:rFonts w:ascii="Times New Roman" w:hAnsi="Times New Roman"/>
          <w:sz w:val="28"/>
          <w:szCs w:val="28"/>
        </w:rPr>
        <w:t>— обязательство)</w:t>
      </w:r>
      <w:r w:rsidR="00A3133C" w:rsidRPr="00A3133C">
        <w:rPr>
          <w:rFonts w:ascii="Times New Roman" w:hAnsi="Times New Roman"/>
          <w:sz w:val="28"/>
          <w:szCs w:val="28"/>
        </w:rPr>
        <w:t xml:space="preserve"> </w:t>
      </w:r>
      <w:r w:rsidRPr="00A3133C">
        <w:rPr>
          <w:rFonts w:ascii="Times New Roman" w:hAnsi="Times New Roman"/>
          <w:sz w:val="28"/>
          <w:szCs w:val="28"/>
        </w:rPr>
        <w:t>— эмиссионная долговая ценная бумага, закрепляющая право её владельца на получение от эмитента облигации в предусмотренный в ней срок её номинальную стоимость или иного имущественного эквивалента. Облигация может также предусматривать право её владельца на получение фиксированного в ней процента от номинальной стоимости облигации либо иные имущественные права. Доходом по облигации являются процент и/или дисконт.</w:t>
      </w:r>
    </w:p>
    <w:p w:rsidR="00F32FB9" w:rsidRPr="00A3133C" w:rsidRDefault="00F32FB9"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b/>
          <w:bCs/>
          <w:sz w:val="28"/>
          <w:szCs w:val="28"/>
        </w:rPr>
        <w:t>Вексель</w:t>
      </w:r>
      <w:r w:rsidRPr="00A3133C">
        <w:rPr>
          <w:rFonts w:ascii="Times New Roman" w:hAnsi="Times New Roman"/>
          <w:sz w:val="28"/>
          <w:szCs w:val="28"/>
        </w:rPr>
        <w:t xml:space="preserve"> (от нем. </w:t>
      </w:r>
      <w:r w:rsidRPr="00A3133C">
        <w:rPr>
          <w:rFonts w:ascii="Times New Roman" w:hAnsi="Times New Roman"/>
          <w:i/>
          <w:iCs/>
          <w:sz w:val="28"/>
          <w:szCs w:val="28"/>
          <w:lang w:val="de-DE"/>
        </w:rPr>
        <w:t>Wechsel</w:t>
      </w:r>
      <w:r w:rsidRPr="00A3133C">
        <w:rPr>
          <w:rFonts w:ascii="Times New Roman" w:hAnsi="Times New Roman"/>
          <w:sz w:val="28"/>
          <w:szCs w:val="28"/>
        </w:rPr>
        <w:t>)</w:t>
      </w:r>
      <w:r w:rsidR="00A3133C" w:rsidRPr="00A3133C">
        <w:rPr>
          <w:rFonts w:ascii="Times New Roman" w:hAnsi="Times New Roman"/>
          <w:sz w:val="28"/>
          <w:szCs w:val="28"/>
        </w:rPr>
        <w:t xml:space="preserve"> </w:t>
      </w:r>
      <w:r w:rsidRPr="00A3133C">
        <w:rPr>
          <w:rFonts w:ascii="Times New Roman" w:hAnsi="Times New Roman"/>
          <w:sz w:val="28"/>
          <w:szCs w:val="28"/>
        </w:rPr>
        <w:t>— строго установленная форма, удостоверяющая ничем не обусловленное обязательство векселедателя (</w:t>
      </w:r>
      <w:r w:rsidRPr="00A3133C">
        <w:rPr>
          <w:rFonts w:ascii="Times New Roman" w:hAnsi="Times New Roman"/>
          <w:b/>
          <w:bCs/>
          <w:sz w:val="28"/>
          <w:szCs w:val="28"/>
        </w:rPr>
        <w:t>простой вексель</w:t>
      </w:r>
      <w:r w:rsidRPr="00A3133C">
        <w:rPr>
          <w:rFonts w:ascii="Times New Roman" w:hAnsi="Times New Roman"/>
          <w:sz w:val="28"/>
          <w:szCs w:val="28"/>
        </w:rPr>
        <w:t>), либо предложение иному указанному в векселе плательщику (</w:t>
      </w:r>
      <w:r w:rsidRPr="00A3133C">
        <w:rPr>
          <w:rFonts w:ascii="Times New Roman" w:hAnsi="Times New Roman"/>
          <w:b/>
          <w:bCs/>
          <w:sz w:val="28"/>
          <w:szCs w:val="28"/>
        </w:rPr>
        <w:t>переводный вексель</w:t>
      </w:r>
      <w:r w:rsidRPr="00A3133C">
        <w:rPr>
          <w:rFonts w:ascii="Times New Roman" w:hAnsi="Times New Roman"/>
          <w:sz w:val="28"/>
          <w:szCs w:val="28"/>
        </w:rPr>
        <w:t xml:space="preserve">) уплатить по наступлении предусмотренного векселем срока определенную денежную сумму в конкретном месте. Вексель может быть ордерным (на предъявителя) или именным. </w:t>
      </w:r>
    </w:p>
    <w:p w:rsidR="00F32FB9" w:rsidRPr="00A3133C" w:rsidRDefault="00F32FB9"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sz w:val="28"/>
          <w:szCs w:val="28"/>
        </w:rPr>
        <w:t>В векселе, который подлежит оплате по предъявлении или во столько-то времени от предъявления, можно оговорить, что на вексельную сумму будут начисляться проценты. Во всяком другом векселе не допускается начисление процентов. Процентная ставка должна быть указана в векселе. Проценты начисляются со дня составления векселя или с указанной даты.</w:t>
      </w:r>
    </w:p>
    <w:p w:rsidR="00CD691D" w:rsidRPr="00A3133C" w:rsidRDefault="00CD691D"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b/>
          <w:bCs/>
          <w:sz w:val="28"/>
          <w:szCs w:val="28"/>
        </w:rPr>
        <w:t>Чек</w:t>
      </w:r>
      <w:r w:rsidRPr="00A3133C">
        <w:rPr>
          <w:rFonts w:ascii="Times New Roman" w:hAnsi="Times New Roman"/>
          <w:sz w:val="28"/>
          <w:szCs w:val="28"/>
        </w:rPr>
        <w:t xml:space="preserve"> (англ. </w:t>
      </w:r>
      <w:r w:rsidRPr="00A3133C">
        <w:rPr>
          <w:rFonts w:ascii="Times New Roman" w:hAnsi="Times New Roman"/>
          <w:i/>
          <w:iCs/>
          <w:sz w:val="28"/>
          <w:szCs w:val="28"/>
        </w:rPr>
        <w:t>cheque</w:t>
      </w:r>
      <w:r w:rsidRPr="00A3133C">
        <w:rPr>
          <w:rFonts w:ascii="Times New Roman" w:hAnsi="Times New Roman"/>
          <w:sz w:val="28"/>
          <w:szCs w:val="28"/>
        </w:rPr>
        <w:t>)</w:t>
      </w:r>
      <w:r w:rsidR="00A3133C" w:rsidRPr="00A3133C">
        <w:rPr>
          <w:rFonts w:ascii="Times New Roman" w:hAnsi="Times New Roman"/>
          <w:sz w:val="28"/>
          <w:szCs w:val="28"/>
        </w:rPr>
        <w:t xml:space="preserve"> </w:t>
      </w:r>
      <w:r w:rsidRPr="00A3133C">
        <w:rPr>
          <w:rFonts w:ascii="Times New Roman" w:hAnsi="Times New Roman"/>
          <w:sz w:val="28"/>
          <w:szCs w:val="28"/>
        </w:rPr>
        <w:t>— это ценная бумага, содержащая ничем не обусловленное распоряжение чекодателя банку произвести платеж указанной в нем суммы чекодержателю. Чекодателем является лицо, имеющее денежные средства в банке, которыми он вправе распоряжаться путем выставления чеков, чекодержателем</w:t>
      </w:r>
      <w:r w:rsidR="00A3133C" w:rsidRPr="00A3133C">
        <w:rPr>
          <w:rFonts w:ascii="Times New Roman" w:hAnsi="Times New Roman"/>
          <w:sz w:val="28"/>
          <w:szCs w:val="28"/>
        </w:rPr>
        <w:t xml:space="preserve"> </w:t>
      </w:r>
      <w:r w:rsidRPr="00A3133C">
        <w:rPr>
          <w:rFonts w:ascii="Times New Roman" w:hAnsi="Times New Roman"/>
          <w:sz w:val="28"/>
          <w:szCs w:val="28"/>
        </w:rPr>
        <w:t>— лицо, в пользу которого выдан чек, плательщиком</w:t>
      </w:r>
      <w:r w:rsidR="00A3133C" w:rsidRPr="00A3133C">
        <w:rPr>
          <w:rFonts w:ascii="Times New Roman" w:hAnsi="Times New Roman"/>
          <w:sz w:val="28"/>
          <w:szCs w:val="28"/>
        </w:rPr>
        <w:t xml:space="preserve"> </w:t>
      </w:r>
      <w:r w:rsidRPr="00A3133C">
        <w:rPr>
          <w:rFonts w:ascii="Times New Roman" w:hAnsi="Times New Roman"/>
          <w:sz w:val="28"/>
          <w:szCs w:val="28"/>
        </w:rPr>
        <w:t>— банк, в котором находятся денежные средства чекодателя. Чекодатель не вправе отозвать чек до истечения установленного срока для предъявления его к оплате.</w:t>
      </w:r>
    </w:p>
    <w:p w:rsidR="00C82911" w:rsidRPr="00A3133C" w:rsidRDefault="00C82911"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b/>
          <w:bCs/>
          <w:sz w:val="28"/>
          <w:szCs w:val="28"/>
        </w:rPr>
        <w:t>Депозитный сертификат</w:t>
      </w:r>
      <w:r w:rsidRPr="00A3133C">
        <w:rPr>
          <w:rFonts w:ascii="Times New Roman" w:hAnsi="Times New Roman"/>
          <w:sz w:val="28"/>
          <w:szCs w:val="28"/>
        </w:rPr>
        <w:t xml:space="preserve"> - это именная ценная бумага, удостоверяющая сумму депозита, внесенного в банк, и права вкладчика (держателя сертификата) на получение по истечении установленного срока суммы депозита и обусловленных в сертификате процентов.</w:t>
      </w:r>
    </w:p>
    <w:p w:rsidR="00C82911" w:rsidRPr="00A3133C" w:rsidRDefault="00C82911"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b/>
          <w:bCs/>
          <w:sz w:val="28"/>
          <w:szCs w:val="28"/>
        </w:rPr>
        <w:t>Закладная</w:t>
      </w:r>
      <w:r w:rsidRPr="00A3133C">
        <w:rPr>
          <w:rFonts w:ascii="Times New Roman" w:hAnsi="Times New Roman"/>
          <w:sz w:val="28"/>
          <w:szCs w:val="28"/>
        </w:rPr>
        <w:t xml:space="preserve"> — это именная ценная бумага, которая удостоверяет право ее законного владельца на получение исполнения по денежному обязательству, обеспеченному ипотекой, а также право залога на имущество, обремененное ипотекой. Кроме того, наличие закладной, выданной в установленном законом порядке, подтверждает права ее законного владельца без предоставления других доказательств существования этого обязательства.</w:t>
      </w:r>
    </w:p>
    <w:p w:rsidR="00C82911" w:rsidRPr="00A3133C" w:rsidRDefault="00C82911"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b/>
          <w:bCs/>
          <w:sz w:val="28"/>
          <w:szCs w:val="28"/>
        </w:rPr>
        <w:t>Коносамент</w:t>
      </w:r>
      <w:r w:rsidRPr="00A3133C">
        <w:rPr>
          <w:rFonts w:ascii="Times New Roman" w:hAnsi="Times New Roman"/>
          <w:sz w:val="28"/>
          <w:szCs w:val="28"/>
        </w:rPr>
        <w:t xml:space="preserve"> — документ, выдаваемый перевозчиком груза грузовладельцу. Удостоверяет право собственности на отгруженный товар.</w:t>
      </w:r>
    </w:p>
    <w:p w:rsidR="00C82911" w:rsidRPr="00A3133C" w:rsidRDefault="00C82911"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sz w:val="28"/>
          <w:szCs w:val="28"/>
        </w:rPr>
        <w:t>Коносамент выполняет одновременно несколько функций:</w:t>
      </w:r>
    </w:p>
    <w:p w:rsidR="00C82911" w:rsidRPr="00A3133C" w:rsidRDefault="00C82911" w:rsidP="00A3133C">
      <w:pPr>
        <w:widowControl w:val="0"/>
        <w:numPr>
          <w:ilvl w:val="0"/>
          <w:numId w:val="1"/>
        </w:numPr>
        <w:shd w:val="clear" w:color="000000" w:fill="auto"/>
        <w:spacing w:after="0" w:line="360" w:lineRule="auto"/>
        <w:ind w:left="0" w:firstLine="709"/>
        <w:jc w:val="both"/>
        <w:rPr>
          <w:rFonts w:ascii="Times New Roman" w:hAnsi="Times New Roman"/>
          <w:sz w:val="28"/>
          <w:szCs w:val="28"/>
        </w:rPr>
      </w:pPr>
      <w:r w:rsidRPr="00A3133C">
        <w:rPr>
          <w:rFonts w:ascii="Times New Roman" w:hAnsi="Times New Roman"/>
          <w:sz w:val="28"/>
          <w:szCs w:val="28"/>
        </w:rPr>
        <w:t xml:space="preserve">расписка перевозчика в получении груза для перевозки, с одновременным описанием видимого состояния груза </w:t>
      </w:r>
    </w:p>
    <w:p w:rsidR="00C82911" w:rsidRPr="00A3133C" w:rsidRDefault="00C82911" w:rsidP="00A3133C">
      <w:pPr>
        <w:widowControl w:val="0"/>
        <w:numPr>
          <w:ilvl w:val="0"/>
          <w:numId w:val="1"/>
        </w:numPr>
        <w:shd w:val="clear" w:color="000000" w:fill="auto"/>
        <w:spacing w:after="0" w:line="360" w:lineRule="auto"/>
        <w:ind w:left="0" w:firstLine="709"/>
        <w:jc w:val="both"/>
        <w:rPr>
          <w:rFonts w:ascii="Times New Roman" w:hAnsi="Times New Roman"/>
          <w:sz w:val="28"/>
          <w:szCs w:val="28"/>
        </w:rPr>
      </w:pPr>
      <w:r w:rsidRPr="00A3133C">
        <w:rPr>
          <w:rFonts w:ascii="Times New Roman" w:hAnsi="Times New Roman"/>
          <w:sz w:val="28"/>
          <w:szCs w:val="28"/>
        </w:rPr>
        <w:t xml:space="preserve">товарно-транспортная накладная </w:t>
      </w:r>
    </w:p>
    <w:p w:rsidR="00C82911" w:rsidRPr="00A3133C" w:rsidRDefault="00C82911" w:rsidP="00A3133C">
      <w:pPr>
        <w:widowControl w:val="0"/>
        <w:numPr>
          <w:ilvl w:val="0"/>
          <w:numId w:val="1"/>
        </w:numPr>
        <w:shd w:val="clear" w:color="000000" w:fill="auto"/>
        <w:spacing w:after="0" w:line="360" w:lineRule="auto"/>
        <w:ind w:left="0" w:firstLine="709"/>
        <w:jc w:val="both"/>
        <w:rPr>
          <w:rFonts w:ascii="Times New Roman" w:hAnsi="Times New Roman"/>
          <w:sz w:val="28"/>
          <w:szCs w:val="28"/>
        </w:rPr>
      </w:pPr>
      <w:r w:rsidRPr="00A3133C">
        <w:rPr>
          <w:rFonts w:ascii="Times New Roman" w:hAnsi="Times New Roman"/>
          <w:sz w:val="28"/>
          <w:szCs w:val="28"/>
        </w:rPr>
        <w:t xml:space="preserve">подтверждение договора перевозки груза </w:t>
      </w:r>
    </w:p>
    <w:p w:rsidR="00C82911" w:rsidRPr="00A3133C" w:rsidRDefault="00C82911" w:rsidP="00A3133C">
      <w:pPr>
        <w:widowControl w:val="0"/>
        <w:numPr>
          <w:ilvl w:val="0"/>
          <w:numId w:val="1"/>
        </w:numPr>
        <w:shd w:val="clear" w:color="000000" w:fill="auto"/>
        <w:spacing w:after="0" w:line="360" w:lineRule="auto"/>
        <w:ind w:left="0" w:firstLine="709"/>
        <w:jc w:val="both"/>
        <w:rPr>
          <w:rFonts w:ascii="Times New Roman" w:hAnsi="Times New Roman"/>
          <w:sz w:val="28"/>
          <w:szCs w:val="28"/>
        </w:rPr>
      </w:pPr>
      <w:r w:rsidRPr="00A3133C">
        <w:rPr>
          <w:rFonts w:ascii="Times New Roman" w:hAnsi="Times New Roman"/>
          <w:sz w:val="28"/>
          <w:szCs w:val="28"/>
        </w:rPr>
        <w:t xml:space="preserve">товарораспорядительный документ </w:t>
      </w:r>
    </w:p>
    <w:p w:rsidR="00C82911" w:rsidRPr="00A3133C" w:rsidRDefault="00C82911"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sz w:val="28"/>
          <w:szCs w:val="28"/>
        </w:rPr>
        <w:t>Может служить обеспечением кредита под отгруженные товары.</w:t>
      </w:r>
    </w:p>
    <w:p w:rsidR="008A6413" w:rsidRPr="00A3133C" w:rsidRDefault="00421DC2"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b/>
          <w:bCs/>
          <w:sz w:val="28"/>
          <w:szCs w:val="28"/>
        </w:rPr>
        <w:t>Депозитарная расписка</w:t>
      </w:r>
      <w:r w:rsidRPr="00A3133C">
        <w:rPr>
          <w:rFonts w:ascii="Times New Roman" w:hAnsi="Times New Roman"/>
          <w:sz w:val="28"/>
          <w:szCs w:val="28"/>
        </w:rPr>
        <w:t xml:space="preserve"> (англ. </w:t>
      </w:r>
      <w:r w:rsidRPr="00A3133C">
        <w:rPr>
          <w:rFonts w:ascii="Times New Roman" w:hAnsi="Times New Roman"/>
          <w:i/>
          <w:iCs/>
          <w:sz w:val="28"/>
          <w:szCs w:val="28"/>
        </w:rPr>
        <w:t>Depositary Receipt</w:t>
      </w:r>
      <w:r w:rsidRPr="00A3133C">
        <w:rPr>
          <w:rFonts w:ascii="Times New Roman" w:hAnsi="Times New Roman"/>
          <w:sz w:val="28"/>
          <w:szCs w:val="28"/>
        </w:rPr>
        <w:t>) — документ, удостоверяющий, что ценные бумаги помещены на хранение в банке-кастодиане в стране эмитента акций на имя банка-депозитария, и дающий право его владельцу пользоваться выгодами от этих ценных бумаг. За исключением разницы из-за изменения курса валюты цена на эти расписки меняется пункт в пункт с изменением цены на базовые ценные бумаги, кроме тех случаев, когда на местном рынке ограничено участие зарубежных инвесторов.</w:t>
      </w:r>
    </w:p>
    <w:p w:rsidR="00230E90" w:rsidRPr="00A3133C" w:rsidRDefault="00230E90"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b/>
          <w:bCs/>
          <w:sz w:val="28"/>
          <w:szCs w:val="28"/>
        </w:rPr>
        <w:t>Варрант</w:t>
      </w:r>
      <w:r w:rsidRPr="00A3133C">
        <w:rPr>
          <w:rFonts w:ascii="Times New Roman" w:hAnsi="Times New Roman"/>
          <w:sz w:val="28"/>
          <w:szCs w:val="28"/>
        </w:rPr>
        <w:t xml:space="preserve"> (англ. </w:t>
      </w:r>
      <w:r w:rsidRPr="00A3133C">
        <w:rPr>
          <w:rFonts w:ascii="Times New Roman" w:hAnsi="Times New Roman"/>
          <w:i/>
          <w:iCs/>
          <w:sz w:val="28"/>
          <w:szCs w:val="28"/>
        </w:rPr>
        <w:t>warrant</w:t>
      </w:r>
      <w:r w:rsidRPr="00A3133C">
        <w:rPr>
          <w:rFonts w:ascii="Times New Roman" w:hAnsi="Times New Roman"/>
          <w:sz w:val="28"/>
          <w:szCs w:val="28"/>
        </w:rPr>
        <w:t xml:space="preserve"> — полномочие, доверенность) — это:</w:t>
      </w:r>
    </w:p>
    <w:p w:rsidR="00230E90" w:rsidRPr="00A3133C" w:rsidRDefault="00230E90" w:rsidP="00A3133C">
      <w:pPr>
        <w:widowControl w:val="0"/>
        <w:numPr>
          <w:ilvl w:val="0"/>
          <w:numId w:val="2"/>
        </w:numPr>
        <w:shd w:val="clear" w:color="000000" w:fill="auto"/>
        <w:spacing w:after="0" w:line="360" w:lineRule="auto"/>
        <w:ind w:left="0" w:firstLine="709"/>
        <w:jc w:val="both"/>
        <w:rPr>
          <w:rFonts w:ascii="Times New Roman" w:hAnsi="Times New Roman"/>
          <w:sz w:val="28"/>
          <w:szCs w:val="28"/>
        </w:rPr>
      </w:pPr>
      <w:r w:rsidRPr="00A3133C">
        <w:rPr>
          <w:rFonts w:ascii="Times New Roman" w:hAnsi="Times New Roman"/>
          <w:sz w:val="28"/>
          <w:szCs w:val="28"/>
        </w:rPr>
        <w:t xml:space="preserve">сертификат, дающий держателю право покупать ценные бумаги по оговорённой цене в течение определённого промежутка времени; </w:t>
      </w:r>
    </w:p>
    <w:p w:rsidR="00230E90" w:rsidRPr="00A3133C" w:rsidRDefault="00230E90" w:rsidP="00A3133C">
      <w:pPr>
        <w:widowControl w:val="0"/>
        <w:numPr>
          <w:ilvl w:val="0"/>
          <w:numId w:val="2"/>
        </w:numPr>
        <w:shd w:val="clear" w:color="000000" w:fill="auto"/>
        <w:spacing w:after="0" w:line="360" w:lineRule="auto"/>
        <w:ind w:left="0" w:firstLine="709"/>
        <w:jc w:val="both"/>
        <w:rPr>
          <w:rFonts w:ascii="Times New Roman" w:hAnsi="Times New Roman"/>
          <w:sz w:val="28"/>
          <w:szCs w:val="28"/>
        </w:rPr>
      </w:pPr>
      <w:r w:rsidRPr="00A3133C">
        <w:rPr>
          <w:rFonts w:ascii="Times New Roman" w:hAnsi="Times New Roman"/>
          <w:sz w:val="28"/>
          <w:szCs w:val="28"/>
        </w:rPr>
        <w:t>свидетельство товарного склада о приёме на хранение определённого товара, то есть варрант — это товарораспределительный документ, который используется при продаже и залоге товара.</w:t>
      </w:r>
    </w:p>
    <w:p w:rsidR="00230E90" w:rsidRPr="00A3133C" w:rsidRDefault="00230E90" w:rsidP="00A3133C">
      <w:pPr>
        <w:pStyle w:val="a8"/>
        <w:widowControl w:val="0"/>
        <w:shd w:val="clear" w:color="000000" w:fill="auto"/>
        <w:spacing w:after="0" w:line="360" w:lineRule="auto"/>
        <w:ind w:firstLine="709"/>
        <w:jc w:val="both"/>
        <w:rPr>
          <w:sz w:val="28"/>
          <w:szCs w:val="28"/>
        </w:rPr>
      </w:pPr>
      <w:r w:rsidRPr="00A3133C">
        <w:rPr>
          <w:sz w:val="28"/>
          <w:szCs w:val="28"/>
        </w:rPr>
        <w:t>Варрант - ценная бумага, дающая ее владельцу право на покупку некоторого количества акций на определенную будущую дату по определенной цене. Обычно варранты используются при новой эмиссии ценных бумаг. Варрант торгуется как ценная бумага, цена которой отражает стоимость лежащих в его основе ценных бумаг. Варранты приобрели популярность среди биржевых спекулянтов, потому что курс варранта на покупку акции, по которому он котируется на бирже, существенно ниже курса самой акции, поэтому для сохранения заданной позиции нужно меньше денег. Срок действия варрантов достаточно велик, возможен выпуск бессрочного варранта.</w:t>
      </w:r>
    </w:p>
    <w:p w:rsidR="00230E90" w:rsidRPr="00A3133C" w:rsidRDefault="00230E90"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b/>
          <w:bCs/>
          <w:sz w:val="28"/>
          <w:szCs w:val="28"/>
        </w:rPr>
        <w:t>Опцион</w:t>
      </w:r>
      <w:r w:rsidRPr="00A3133C">
        <w:rPr>
          <w:rFonts w:ascii="Times New Roman" w:hAnsi="Times New Roman"/>
          <w:sz w:val="28"/>
          <w:szCs w:val="28"/>
        </w:rPr>
        <w:t xml:space="preserve"> (англ. </w:t>
      </w:r>
      <w:r w:rsidRPr="00A3133C">
        <w:rPr>
          <w:rFonts w:ascii="Times New Roman" w:hAnsi="Times New Roman"/>
          <w:i/>
          <w:iCs/>
          <w:sz w:val="28"/>
          <w:szCs w:val="28"/>
        </w:rPr>
        <w:t>option</w:t>
      </w:r>
      <w:r w:rsidRPr="00A3133C">
        <w:rPr>
          <w:rFonts w:ascii="Times New Roman" w:hAnsi="Times New Roman"/>
          <w:sz w:val="28"/>
          <w:szCs w:val="28"/>
        </w:rPr>
        <w:t xml:space="preserve"> ) — договор, по которому покупатель опциона получает право (но не обязанность) совершить покупку или продажу актива по заранее оговорённой цене в определенный договором момент в будущем или на протяжении определенного отрезка времени.</w:t>
      </w:r>
    </w:p>
    <w:p w:rsidR="00421DC2" w:rsidRPr="00A3133C" w:rsidRDefault="00230E90"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b/>
          <w:bCs/>
          <w:sz w:val="28"/>
          <w:szCs w:val="28"/>
        </w:rPr>
        <w:t>Форвард (форвардный контракт)</w:t>
      </w:r>
      <w:r w:rsidRPr="00A3133C">
        <w:rPr>
          <w:rFonts w:ascii="Times New Roman" w:hAnsi="Times New Roman"/>
          <w:sz w:val="28"/>
          <w:szCs w:val="28"/>
        </w:rPr>
        <w:t xml:space="preserve"> — договор, по которому одна сторона (продавец) обязуется в определенный договором срок передать товар (базовый актив) другой стороне (покупателю) или исполнить альтернативное денежное обязательство, а покупатель обязуется принять и оплатить этот базовый актив, и (или) по условиям которого у сторон возникают встречные денежные обязательства в размере, зависящем от значения показателя базового актива на момент исполнения обязательств, в порядке и в течение срока или в срок, установленный договором.</w:t>
      </w:r>
    </w:p>
    <w:p w:rsidR="00AE0E62" w:rsidRPr="00A3133C" w:rsidRDefault="00AE0E62"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b/>
          <w:bCs/>
          <w:sz w:val="28"/>
          <w:szCs w:val="28"/>
        </w:rPr>
        <w:t>Фью́черс</w:t>
      </w:r>
      <w:r w:rsidRPr="00A3133C">
        <w:rPr>
          <w:rFonts w:ascii="Times New Roman" w:hAnsi="Times New Roman"/>
          <w:sz w:val="28"/>
          <w:szCs w:val="28"/>
        </w:rPr>
        <w:t xml:space="preserve"> (фьючерсный контракт) (от англ. </w:t>
      </w:r>
      <w:r w:rsidRPr="00A3133C">
        <w:rPr>
          <w:rFonts w:ascii="Times New Roman" w:hAnsi="Times New Roman"/>
          <w:i/>
          <w:iCs/>
          <w:sz w:val="28"/>
          <w:szCs w:val="28"/>
        </w:rPr>
        <w:t>futures</w:t>
      </w:r>
      <w:r w:rsidRPr="00A3133C">
        <w:rPr>
          <w:rFonts w:ascii="Times New Roman" w:hAnsi="Times New Roman"/>
          <w:sz w:val="28"/>
          <w:szCs w:val="28"/>
        </w:rPr>
        <w:t>) —стандартный срочный биржевой контракт купли-продажи базового актива, при заключении которого стороны (продавец и покупатель) договариваются только об уровне цены и сроке поставки. Остальные параметры актива (количество, качество, упаковка, маркировка и т.п.) оговорены заранее в спецификации биржевого контракта. Стороны несут обязательства перед биржей вплоть до исполнения фьючерса. Фьючерс можно рассматривать как стандартизированную разновидность форварда, который обращается на организованном рынке и взаимными расчётами, централизованными внутри биржи.</w:t>
      </w:r>
    </w:p>
    <w:p w:rsidR="00A3133C" w:rsidRDefault="00A3133C">
      <w:pPr>
        <w:rPr>
          <w:rFonts w:ascii="Times New Roman" w:hAnsi="Times New Roman"/>
          <w:sz w:val="28"/>
          <w:szCs w:val="28"/>
        </w:rPr>
      </w:pPr>
      <w:r>
        <w:rPr>
          <w:rFonts w:ascii="Times New Roman" w:hAnsi="Times New Roman"/>
          <w:sz w:val="28"/>
          <w:szCs w:val="28"/>
        </w:rPr>
        <w:br w:type="page"/>
      </w:r>
    </w:p>
    <w:p w:rsidR="00E712D6" w:rsidRPr="00A3133C" w:rsidRDefault="00A3133C" w:rsidP="00A3133C">
      <w:pPr>
        <w:widowControl w:val="0"/>
        <w:shd w:val="clear" w:color="000000" w:fill="auto"/>
        <w:spacing w:after="0" w:line="360" w:lineRule="auto"/>
        <w:ind w:firstLine="709"/>
        <w:jc w:val="both"/>
        <w:rPr>
          <w:rFonts w:ascii="Times New Roman" w:hAnsi="Times New Roman"/>
          <w:b/>
          <w:sz w:val="28"/>
          <w:szCs w:val="28"/>
        </w:rPr>
      </w:pPr>
      <w:r w:rsidRPr="00A3133C">
        <w:rPr>
          <w:rFonts w:ascii="Times New Roman" w:hAnsi="Times New Roman"/>
          <w:b/>
          <w:sz w:val="28"/>
          <w:szCs w:val="28"/>
        </w:rPr>
        <w:t xml:space="preserve">3. </w:t>
      </w:r>
      <w:r w:rsidR="002621EA" w:rsidRPr="00A3133C">
        <w:rPr>
          <w:rFonts w:ascii="Times New Roman" w:hAnsi="Times New Roman"/>
          <w:b/>
          <w:sz w:val="28"/>
          <w:szCs w:val="28"/>
        </w:rPr>
        <w:t>Показатели инвестиционной привлекательности региона</w:t>
      </w:r>
    </w:p>
    <w:p w:rsidR="00A3133C" w:rsidRDefault="00A3133C" w:rsidP="00A3133C">
      <w:pPr>
        <w:widowControl w:val="0"/>
        <w:shd w:val="clear" w:color="000000" w:fill="auto"/>
        <w:spacing w:after="0" w:line="360" w:lineRule="auto"/>
        <w:ind w:firstLine="709"/>
        <w:jc w:val="both"/>
        <w:rPr>
          <w:rFonts w:ascii="Times New Roman" w:hAnsi="Times New Roman"/>
          <w:sz w:val="28"/>
          <w:szCs w:val="28"/>
        </w:rPr>
      </w:pPr>
    </w:p>
    <w:p w:rsidR="00903BD9" w:rsidRPr="00A3133C" w:rsidRDefault="00903BD9"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sz w:val="28"/>
          <w:szCs w:val="28"/>
        </w:rPr>
        <w:t xml:space="preserve">Инвестиционная привлекательность региона представляет собой совокупность различных объективных признаков, средств, возможностей и ограничений, обусловливающих интенсивность привлечения инвестиций в основной капитал региона. Инвестиционная привлекательность региона формируется двумя комплексными факторами – инвестиционным потенциалом региона и региональными инвестиционными рисками (уровнем инвестиционной безопасности). Инвестиционный потенциал региона представляет собой совокупность объективных экономических, социальных и природно-географических свойств региона, имеющих высокую значимость для привлечения инвестиций. Региональные инвестиционные риски являются некоммерческими рисками, обусловленными внешними по отношению к инвестиционной деятельности факторами регионального характера. </w:t>
      </w:r>
    </w:p>
    <w:p w:rsidR="00903BD9" w:rsidRPr="00A3133C" w:rsidRDefault="00903BD9"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sz w:val="28"/>
          <w:szCs w:val="28"/>
        </w:rPr>
        <w:t>Комплексная количественная оценка текущей инвестиционной привлекательности регионов может быть произведена с помощью сводного, интегрального показателя, который формируется множеством частных факториальных признаков, измеряемых соответствующими показателями.</w:t>
      </w:r>
      <w:r w:rsidRPr="00A3133C">
        <w:rPr>
          <w:rFonts w:ascii="Times New Roman" w:hAnsi="Times New Roman"/>
          <w:sz w:val="28"/>
          <w:szCs w:val="28"/>
          <w:vertAlign w:val="superscript"/>
        </w:rPr>
        <w:t xml:space="preserve"> </w:t>
      </w:r>
      <w:r w:rsidRPr="00A3133C">
        <w:rPr>
          <w:rFonts w:ascii="Times New Roman" w:hAnsi="Times New Roman"/>
          <w:sz w:val="28"/>
          <w:szCs w:val="28"/>
        </w:rPr>
        <w:t xml:space="preserve">Интегральный показатель определяется путем свода числовых значений отдельных частных показателей инвестиционной привлекательности. Числовое значение интегрального показателя инвестиционной привлекательности по России в целом принимается за единицу, а значения интегральных показателей для регионов РФ определяются по отношению к среднероссийскому уровню. Интегральные уровни инвестиционной привлекательности регионов являются относительными показателями (коэффициентами), следовательно, не зависят от размеров территории или численности населения региона. Все частные признаки инвестиционной привлекательности включаются в расчет интегральных значений с единицами измерения, выраженными относительными величинами (душевыми, темповыми, долевыми). </w:t>
      </w:r>
    </w:p>
    <w:p w:rsidR="002621EA" w:rsidRPr="00A3133C" w:rsidRDefault="00903BD9"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sz w:val="28"/>
          <w:szCs w:val="28"/>
        </w:rPr>
        <w:t xml:space="preserve">Совокупный инвестиционный потенциал региона складывается из шести частных потенциалов: производственно-финансового, трудового, социального, ресурсного, инфраструктурного и потребительского (таблица 1), каждый из которых характеризуется группой показателей. </w:t>
      </w:r>
    </w:p>
    <w:p w:rsidR="00A3133C" w:rsidRDefault="00A3133C" w:rsidP="00A3133C">
      <w:pPr>
        <w:widowControl w:val="0"/>
        <w:shd w:val="clear" w:color="000000" w:fill="auto"/>
        <w:spacing w:after="0" w:line="360" w:lineRule="auto"/>
        <w:ind w:firstLine="709"/>
        <w:jc w:val="both"/>
        <w:rPr>
          <w:rFonts w:ascii="Times New Roman" w:hAnsi="Times New Roman"/>
          <w:sz w:val="28"/>
          <w:szCs w:val="20"/>
        </w:rPr>
      </w:pPr>
    </w:p>
    <w:p w:rsidR="00513A7F" w:rsidRPr="00A3133C" w:rsidRDefault="00513A7F" w:rsidP="00A3133C">
      <w:pPr>
        <w:widowControl w:val="0"/>
        <w:shd w:val="clear" w:color="000000" w:fill="auto"/>
        <w:spacing w:after="0" w:line="360" w:lineRule="auto"/>
        <w:ind w:firstLine="709"/>
        <w:jc w:val="both"/>
        <w:rPr>
          <w:rFonts w:ascii="Times New Roman" w:hAnsi="Times New Roman"/>
          <w:sz w:val="28"/>
          <w:szCs w:val="20"/>
        </w:rPr>
      </w:pPr>
      <w:r w:rsidRPr="00A3133C">
        <w:rPr>
          <w:rFonts w:ascii="Times New Roman" w:hAnsi="Times New Roman"/>
          <w:sz w:val="28"/>
          <w:szCs w:val="20"/>
        </w:rPr>
        <w:t>Таблица 1. Состав инвестиционно-значимых показателей для определения интегрального уровня инвестиционной привлекательности регионов РФ</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2802"/>
        <w:gridCol w:w="4477"/>
      </w:tblGrid>
      <w:tr w:rsidR="00513A7F" w:rsidRPr="00A3483E" w:rsidTr="00A3483E">
        <w:trPr>
          <w:trHeight w:val="23"/>
        </w:trPr>
        <w:tc>
          <w:tcPr>
            <w:tcW w:w="0" w:type="auto"/>
            <w:shd w:val="clear" w:color="auto" w:fill="auto"/>
          </w:tcPr>
          <w:p w:rsidR="00513A7F" w:rsidRPr="00A3483E" w:rsidRDefault="00513A7F" w:rsidP="00A3483E">
            <w:pPr>
              <w:pStyle w:val="Default"/>
              <w:widowControl w:val="0"/>
              <w:shd w:val="clear" w:color="000000" w:fill="auto"/>
              <w:spacing w:line="360" w:lineRule="auto"/>
              <w:rPr>
                <w:color w:val="auto"/>
                <w:sz w:val="20"/>
              </w:rPr>
            </w:pPr>
          </w:p>
          <w:tbl>
            <w:tblPr>
              <w:tblW w:w="0" w:type="auto"/>
              <w:tblLook w:val="0000" w:firstRow="0" w:lastRow="0" w:firstColumn="0" w:lastColumn="0" w:noHBand="0" w:noVBand="0"/>
            </w:tblPr>
            <w:tblGrid>
              <w:gridCol w:w="727"/>
            </w:tblGrid>
            <w:tr w:rsidR="00513A7F" w:rsidRPr="00A3133C">
              <w:trPr>
                <w:trHeight w:val="674"/>
              </w:trPr>
              <w:tc>
                <w:tcPr>
                  <w:tcW w:w="0" w:type="auto"/>
                  <w:tcBorders>
                    <w:top w:val="nil"/>
                    <w:left w:val="nil"/>
                    <w:bottom w:val="nil"/>
                    <w:right w:val="nil"/>
                  </w:tcBorders>
                </w:tcPr>
                <w:p w:rsidR="00513A7F" w:rsidRPr="00A3133C" w:rsidRDefault="00513A7F" w:rsidP="00A3133C">
                  <w:pPr>
                    <w:pStyle w:val="aa"/>
                    <w:widowControl w:val="0"/>
                    <w:shd w:val="clear" w:color="000000" w:fill="auto"/>
                    <w:spacing w:line="360" w:lineRule="auto"/>
                    <w:rPr>
                      <w:sz w:val="20"/>
                    </w:rPr>
                  </w:pPr>
                  <w:r w:rsidRPr="00A3133C">
                    <w:rPr>
                      <w:sz w:val="20"/>
                    </w:rPr>
                    <w:t xml:space="preserve">№ п/п </w:t>
                  </w:r>
                </w:p>
              </w:tc>
            </w:tr>
          </w:tbl>
          <w:p w:rsidR="00513A7F" w:rsidRPr="00A3483E" w:rsidRDefault="00513A7F" w:rsidP="00A3483E">
            <w:pPr>
              <w:widowControl w:val="0"/>
              <w:shd w:val="clear" w:color="000000" w:fill="auto"/>
              <w:spacing w:after="0" w:line="360" w:lineRule="auto"/>
              <w:rPr>
                <w:rFonts w:ascii="Times New Roman" w:hAnsi="Times New Roman"/>
                <w:sz w:val="20"/>
                <w:szCs w:val="28"/>
              </w:rPr>
            </w:pPr>
          </w:p>
        </w:tc>
        <w:tc>
          <w:tcPr>
            <w:tcW w:w="2802" w:type="dxa"/>
            <w:shd w:val="clear" w:color="auto" w:fill="auto"/>
          </w:tcPr>
          <w:tbl>
            <w:tblPr>
              <w:tblpPr w:leftFromText="180" w:rightFromText="180" w:vertAnchor="text" w:horzAnchor="margin" w:tblpY="123"/>
              <w:tblOverlap w:val="never"/>
              <w:tblW w:w="0" w:type="auto"/>
              <w:tblLook w:val="0000" w:firstRow="0" w:lastRow="0" w:firstColumn="0" w:lastColumn="0" w:noHBand="0" w:noVBand="0"/>
            </w:tblPr>
            <w:tblGrid>
              <w:gridCol w:w="2586"/>
            </w:tblGrid>
            <w:tr w:rsidR="00513A7F" w:rsidRPr="00A3133C" w:rsidTr="00513A7F">
              <w:trPr>
                <w:trHeight w:val="537"/>
              </w:trPr>
              <w:tc>
                <w:tcPr>
                  <w:tcW w:w="0" w:type="auto"/>
                  <w:tcBorders>
                    <w:top w:val="nil"/>
                    <w:left w:val="nil"/>
                    <w:bottom w:val="nil"/>
                    <w:right w:val="nil"/>
                  </w:tcBorders>
                </w:tcPr>
                <w:p w:rsidR="00513A7F" w:rsidRPr="00A3133C" w:rsidRDefault="00513A7F" w:rsidP="00A3133C">
                  <w:pPr>
                    <w:pStyle w:val="aa"/>
                    <w:widowControl w:val="0"/>
                    <w:shd w:val="clear" w:color="000000" w:fill="auto"/>
                    <w:spacing w:line="360" w:lineRule="auto"/>
                    <w:rPr>
                      <w:sz w:val="20"/>
                    </w:rPr>
                  </w:pPr>
                  <w:r w:rsidRPr="00A3133C">
                    <w:rPr>
                      <w:sz w:val="20"/>
                    </w:rPr>
                    <w:t xml:space="preserve">Наименование частных показателей </w:t>
                  </w:r>
                </w:p>
              </w:tc>
            </w:tr>
          </w:tbl>
          <w:p w:rsidR="00513A7F" w:rsidRPr="00A3483E" w:rsidRDefault="00513A7F" w:rsidP="00A3483E">
            <w:pPr>
              <w:widowControl w:val="0"/>
              <w:shd w:val="clear" w:color="000000" w:fill="auto"/>
              <w:spacing w:after="0" w:line="360" w:lineRule="auto"/>
              <w:rPr>
                <w:rFonts w:ascii="Times New Roman" w:hAnsi="Times New Roman"/>
                <w:sz w:val="20"/>
                <w:szCs w:val="28"/>
              </w:rPr>
            </w:pPr>
          </w:p>
        </w:tc>
        <w:tc>
          <w:tcPr>
            <w:tcW w:w="4477" w:type="dxa"/>
            <w:shd w:val="clear" w:color="auto" w:fill="auto"/>
          </w:tcPr>
          <w:tbl>
            <w:tblPr>
              <w:tblpPr w:leftFromText="180" w:rightFromText="180" w:vertAnchor="text" w:horzAnchor="margin" w:tblpXSpec="center" w:tblpY="256"/>
              <w:tblOverlap w:val="never"/>
              <w:tblW w:w="0" w:type="auto"/>
              <w:tblLook w:val="0000" w:firstRow="0" w:lastRow="0" w:firstColumn="0" w:lastColumn="0" w:noHBand="0" w:noVBand="0"/>
            </w:tblPr>
            <w:tblGrid>
              <w:gridCol w:w="1904"/>
            </w:tblGrid>
            <w:tr w:rsidR="00513A7F" w:rsidRPr="00A3133C" w:rsidTr="00513A7F">
              <w:trPr>
                <w:trHeight w:val="316"/>
              </w:trPr>
              <w:tc>
                <w:tcPr>
                  <w:tcW w:w="0" w:type="auto"/>
                  <w:tcBorders>
                    <w:top w:val="nil"/>
                    <w:left w:val="nil"/>
                    <w:bottom w:val="nil"/>
                    <w:right w:val="nil"/>
                  </w:tcBorders>
                </w:tcPr>
                <w:p w:rsidR="00513A7F" w:rsidRPr="00A3133C" w:rsidRDefault="00513A7F" w:rsidP="00A3133C">
                  <w:pPr>
                    <w:pStyle w:val="aa"/>
                    <w:widowControl w:val="0"/>
                    <w:shd w:val="clear" w:color="000000" w:fill="auto"/>
                    <w:spacing w:line="360" w:lineRule="auto"/>
                    <w:rPr>
                      <w:sz w:val="20"/>
                    </w:rPr>
                  </w:pPr>
                  <w:r w:rsidRPr="00A3133C">
                    <w:rPr>
                      <w:sz w:val="20"/>
                    </w:rPr>
                    <w:t>Единица измерения</w:t>
                  </w:r>
                </w:p>
              </w:tc>
            </w:tr>
          </w:tbl>
          <w:p w:rsidR="00513A7F" w:rsidRPr="00A3483E" w:rsidRDefault="00513A7F" w:rsidP="00A3483E">
            <w:pPr>
              <w:widowControl w:val="0"/>
              <w:shd w:val="clear" w:color="000000" w:fill="auto"/>
              <w:spacing w:after="0" w:line="360" w:lineRule="auto"/>
              <w:rPr>
                <w:rFonts w:ascii="Times New Roman" w:hAnsi="Times New Roman"/>
                <w:sz w:val="20"/>
                <w:szCs w:val="28"/>
              </w:rPr>
            </w:pPr>
          </w:p>
        </w:tc>
      </w:tr>
      <w:tr w:rsidR="00513A7F" w:rsidRPr="00A3483E" w:rsidTr="00A3483E">
        <w:trPr>
          <w:trHeight w:val="23"/>
        </w:trPr>
        <w:tc>
          <w:tcPr>
            <w:tcW w:w="8222" w:type="dxa"/>
            <w:gridSpan w:val="3"/>
            <w:shd w:val="clear" w:color="auto" w:fill="auto"/>
          </w:tcPr>
          <w:tbl>
            <w:tblPr>
              <w:tblpPr w:leftFromText="180" w:rightFromText="180" w:vertAnchor="text" w:horzAnchor="margin" w:tblpXSpec="center" w:tblpY="105"/>
              <w:tblOverlap w:val="never"/>
              <w:tblW w:w="0" w:type="auto"/>
              <w:tblLook w:val="0000" w:firstRow="0" w:lastRow="0" w:firstColumn="0" w:lastColumn="0" w:noHBand="0" w:noVBand="0"/>
            </w:tblPr>
            <w:tblGrid>
              <w:gridCol w:w="4738"/>
            </w:tblGrid>
            <w:tr w:rsidR="002F3D96" w:rsidRPr="00A3133C" w:rsidTr="002F3D96">
              <w:trPr>
                <w:trHeight w:val="432"/>
              </w:trPr>
              <w:tc>
                <w:tcPr>
                  <w:tcW w:w="0" w:type="auto"/>
                  <w:tcBorders>
                    <w:top w:val="nil"/>
                    <w:left w:val="nil"/>
                    <w:bottom w:val="nil"/>
                    <w:right w:val="nil"/>
                  </w:tcBorders>
                </w:tcPr>
                <w:p w:rsidR="002F3D96" w:rsidRPr="00A3133C" w:rsidRDefault="002F3D96" w:rsidP="00A3133C">
                  <w:pPr>
                    <w:pStyle w:val="aa"/>
                    <w:widowControl w:val="0"/>
                    <w:shd w:val="clear" w:color="000000" w:fill="auto"/>
                    <w:spacing w:line="360" w:lineRule="auto"/>
                    <w:rPr>
                      <w:sz w:val="20"/>
                    </w:rPr>
                  </w:pPr>
                  <w:r w:rsidRPr="00A3133C">
                    <w:rPr>
                      <w:sz w:val="20"/>
                    </w:rPr>
                    <w:t xml:space="preserve">А. Показатели инвестиционного потенциала региона </w:t>
                  </w:r>
                </w:p>
              </w:tc>
            </w:tr>
          </w:tbl>
          <w:p w:rsidR="00513A7F" w:rsidRPr="00A3483E" w:rsidRDefault="00513A7F" w:rsidP="00A3483E">
            <w:pPr>
              <w:widowControl w:val="0"/>
              <w:shd w:val="clear" w:color="000000" w:fill="auto"/>
              <w:spacing w:after="0" w:line="360" w:lineRule="auto"/>
              <w:rPr>
                <w:rFonts w:ascii="Times New Roman" w:hAnsi="Times New Roman"/>
                <w:sz w:val="20"/>
                <w:szCs w:val="28"/>
              </w:rPr>
            </w:pPr>
          </w:p>
        </w:tc>
      </w:tr>
      <w:tr w:rsidR="00513A7F" w:rsidRPr="00A3483E" w:rsidTr="00A3483E">
        <w:trPr>
          <w:trHeight w:val="23"/>
        </w:trPr>
        <w:tc>
          <w:tcPr>
            <w:tcW w:w="8222" w:type="dxa"/>
            <w:gridSpan w:val="3"/>
            <w:shd w:val="clear" w:color="auto" w:fill="auto"/>
          </w:tcPr>
          <w:tbl>
            <w:tblPr>
              <w:tblpPr w:leftFromText="180" w:rightFromText="180" w:vertAnchor="text" w:horzAnchor="margin" w:tblpXSpec="center" w:tblpY="-214"/>
              <w:tblOverlap w:val="never"/>
              <w:tblW w:w="0" w:type="auto"/>
              <w:tblLook w:val="0000" w:firstRow="0" w:lastRow="0" w:firstColumn="0" w:lastColumn="0" w:noHBand="0" w:noVBand="0"/>
            </w:tblPr>
            <w:tblGrid>
              <w:gridCol w:w="5837"/>
            </w:tblGrid>
            <w:tr w:rsidR="002F3D96" w:rsidRPr="00A3133C" w:rsidTr="002F3D96">
              <w:trPr>
                <w:trHeight w:val="316"/>
              </w:trPr>
              <w:tc>
                <w:tcPr>
                  <w:tcW w:w="0" w:type="auto"/>
                  <w:tcBorders>
                    <w:top w:val="nil"/>
                    <w:left w:val="nil"/>
                    <w:bottom w:val="nil"/>
                    <w:right w:val="nil"/>
                  </w:tcBorders>
                </w:tcPr>
                <w:p w:rsidR="002F3D96" w:rsidRPr="00A3133C" w:rsidRDefault="002F3D96" w:rsidP="00A3133C">
                  <w:pPr>
                    <w:widowControl w:val="0"/>
                    <w:shd w:val="clear" w:color="000000" w:fill="auto"/>
                    <w:autoSpaceDE w:val="0"/>
                    <w:autoSpaceDN w:val="0"/>
                    <w:adjustRightInd w:val="0"/>
                    <w:spacing w:after="0" w:line="360" w:lineRule="auto"/>
                    <w:rPr>
                      <w:rFonts w:ascii="Times New Roman" w:hAnsi="Times New Roman"/>
                      <w:sz w:val="20"/>
                      <w:szCs w:val="24"/>
                    </w:rPr>
                  </w:pPr>
                  <w:r w:rsidRPr="00A3133C">
                    <w:rPr>
                      <w:rFonts w:ascii="Times New Roman" w:hAnsi="Times New Roman"/>
                      <w:sz w:val="20"/>
                      <w:szCs w:val="24"/>
                    </w:rPr>
                    <w:t xml:space="preserve">1. Показатели производственно-финансового потенциала региона </w:t>
                  </w:r>
                </w:p>
              </w:tc>
            </w:tr>
          </w:tbl>
          <w:p w:rsidR="00513A7F" w:rsidRPr="00A3483E" w:rsidRDefault="00513A7F" w:rsidP="00A3483E">
            <w:pPr>
              <w:widowControl w:val="0"/>
              <w:shd w:val="clear" w:color="000000" w:fill="auto"/>
              <w:spacing w:after="0" w:line="360" w:lineRule="auto"/>
              <w:rPr>
                <w:rFonts w:ascii="Times New Roman" w:hAnsi="Times New Roman"/>
                <w:sz w:val="20"/>
                <w:szCs w:val="28"/>
              </w:rPr>
            </w:pPr>
          </w:p>
        </w:tc>
      </w:tr>
      <w:tr w:rsidR="00513A7F" w:rsidRPr="00A3483E" w:rsidTr="00A3483E">
        <w:trPr>
          <w:trHeight w:val="23"/>
        </w:trPr>
        <w:tc>
          <w:tcPr>
            <w:tcW w:w="0" w:type="auto"/>
            <w:shd w:val="clear" w:color="auto" w:fill="auto"/>
          </w:tcPr>
          <w:p w:rsidR="00513A7F" w:rsidRPr="00A3483E" w:rsidRDefault="002F3D96" w:rsidP="00A3483E">
            <w:pPr>
              <w:widowControl w:val="0"/>
              <w:shd w:val="clear" w:color="000000" w:fill="auto"/>
              <w:spacing w:after="0" w:line="360" w:lineRule="auto"/>
              <w:rPr>
                <w:rFonts w:ascii="Times New Roman" w:hAnsi="Times New Roman"/>
                <w:sz w:val="20"/>
                <w:szCs w:val="24"/>
              </w:rPr>
            </w:pPr>
            <w:r w:rsidRPr="00A3483E">
              <w:rPr>
                <w:rFonts w:ascii="Times New Roman" w:hAnsi="Times New Roman"/>
                <w:sz w:val="20"/>
                <w:szCs w:val="24"/>
              </w:rPr>
              <w:t>1</w:t>
            </w:r>
          </w:p>
        </w:tc>
        <w:tc>
          <w:tcPr>
            <w:tcW w:w="2802" w:type="dxa"/>
            <w:shd w:val="clear" w:color="auto" w:fill="auto"/>
          </w:tcPr>
          <w:p w:rsidR="00513A7F" w:rsidRPr="00A3483E" w:rsidRDefault="00407234" w:rsidP="00A3483E">
            <w:pPr>
              <w:widowControl w:val="0"/>
              <w:shd w:val="clear" w:color="000000" w:fill="auto"/>
              <w:spacing w:after="0" w:line="360" w:lineRule="auto"/>
              <w:rPr>
                <w:rFonts w:ascii="Times New Roman" w:hAnsi="Times New Roman"/>
                <w:sz w:val="20"/>
                <w:szCs w:val="24"/>
              </w:rPr>
            </w:pPr>
            <w:r w:rsidRPr="00A3483E">
              <w:rPr>
                <w:rFonts w:ascii="Times New Roman" w:hAnsi="Times New Roman"/>
                <w:sz w:val="20"/>
                <w:szCs w:val="24"/>
              </w:rPr>
              <w:t>Объем производства</w:t>
            </w:r>
          </w:p>
        </w:tc>
        <w:tc>
          <w:tcPr>
            <w:tcW w:w="4477" w:type="dxa"/>
            <w:shd w:val="clear" w:color="auto" w:fill="auto"/>
          </w:tcPr>
          <w:p w:rsidR="00513A7F" w:rsidRPr="00A3483E" w:rsidRDefault="00407234" w:rsidP="00A3483E">
            <w:pPr>
              <w:widowControl w:val="0"/>
              <w:shd w:val="clear" w:color="000000" w:fill="auto"/>
              <w:spacing w:after="0" w:line="360" w:lineRule="auto"/>
              <w:rPr>
                <w:rFonts w:ascii="Times New Roman" w:hAnsi="Times New Roman"/>
                <w:sz w:val="20"/>
                <w:szCs w:val="24"/>
              </w:rPr>
            </w:pPr>
            <w:r w:rsidRPr="00A3483E">
              <w:rPr>
                <w:rFonts w:ascii="Times New Roman" w:hAnsi="Times New Roman"/>
                <w:sz w:val="20"/>
                <w:szCs w:val="24"/>
              </w:rPr>
              <w:t>Валовой региональный продукт на душу населения региона (с учетом покупательной способности)</w:t>
            </w:r>
          </w:p>
        </w:tc>
      </w:tr>
      <w:tr w:rsidR="00513A7F" w:rsidRPr="00A3483E" w:rsidTr="00A3483E">
        <w:trPr>
          <w:trHeight w:val="23"/>
        </w:trPr>
        <w:tc>
          <w:tcPr>
            <w:tcW w:w="0" w:type="auto"/>
            <w:shd w:val="clear" w:color="auto" w:fill="auto"/>
          </w:tcPr>
          <w:p w:rsidR="00513A7F" w:rsidRPr="00A3483E" w:rsidRDefault="002F3D96" w:rsidP="00A3483E">
            <w:pPr>
              <w:widowControl w:val="0"/>
              <w:shd w:val="clear" w:color="000000" w:fill="auto"/>
              <w:spacing w:after="0" w:line="360" w:lineRule="auto"/>
              <w:rPr>
                <w:rFonts w:ascii="Times New Roman" w:hAnsi="Times New Roman"/>
                <w:sz w:val="20"/>
                <w:szCs w:val="24"/>
              </w:rPr>
            </w:pPr>
            <w:r w:rsidRPr="00A3483E">
              <w:rPr>
                <w:rFonts w:ascii="Times New Roman" w:hAnsi="Times New Roman"/>
                <w:sz w:val="20"/>
                <w:szCs w:val="24"/>
              </w:rPr>
              <w:t>2</w:t>
            </w:r>
          </w:p>
        </w:tc>
        <w:tc>
          <w:tcPr>
            <w:tcW w:w="2802" w:type="dxa"/>
            <w:shd w:val="clear" w:color="auto" w:fill="auto"/>
          </w:tcPr>
          <w:p w:rsidR="00513A7F" w:rsidRPr="00A3483E" w:rsidRDefault="00407234" w:rsidP="00A3483E">
            <w:pPr>
              <w:widowControl w:val="0"/>
              <w:shd w:val="clear" w:color="000000" w:fill="auto"/>
              <w:spacing w:after="0" w:line="360" w:lineRule="auto"/>
              <w:rPr>
                <w:rFonts w:ascii="Times New Roman" w:hAnsi="Times New Roman"/>
                <w:sz w:val="20"/>
                <w:szCs w:val="24"/>
              </w:rPr>
            </w:pPr>
            <w:r w:rsidRPr="00A3483E">
              <w:rPr>
                <w:rFonts w:ascii="Times New Roman" w:hAnsi="Times New Roman"/>
                <w:sz w:val="20"/>
                <w:szCs w:val="24"/>
              </w:rPr>
              <w:t>Объем инвестиционных ресурсов</w:t>
            </w:r>
          </w:p>
        </w:tc>
        <w:tc>
          <w:tcPr>
            <w:tcW w:w="4477" w:type="dxa"/>
            <w:shd w:val="clear" w:color="auto" w:fill="auto"/>
          </w:tcPr>
          <w:p w:rsidR="00513A7F" w:rsidRPr="00A3483E" w:rsidRDefault="00407234" w:rsidP="00A3483E">
            <w:pPr>
              <w:widowControl w:val="0"/>
              <w:shd w:val="clear" w:color="000000" w:fill="auto"/>
              <w:spacing w:after="0" w:line="360" w:lineRule="auto"/>
              <w:rPr>
                <w:rFonts w:ascii="Times New Roman" w:hAnsi="Times New Roman"/>
                <w:sz w:val="20"/>
                <w:szCs w:val="24"/>
              </w:rPr>
            </w:pPr>
            <w:r w:rsidRPr="00A3483E">
              <w:rPr>
                <w:rFonts w:ascii="Times New Roman" w:hAnsi="Times New Roman"/>
                <w:sz w:val="20"/>
                <w:szCs w:val="24"/>
              </w:rPr>
              <w:t>Сумма инвестиций в расчете на душу населения региона</w:t>
            </w:r>
          </w:p>
        </w:tc>
      </w:tr>
      <w:tr w:rsidR="00513A7F" w:rsidRPr="00A3483E" w:rsidTr="00A3483E">
        <w:trPr>
          <w:trHeight w:val="23"/>
        </w:trPr>
        <w:tc>
          <w:tcPr>
            <w:tcW w:w="0" w:type="auto"/>
            <w:shd w:val="clear" w:color="auto" w:fill="auto"/>
          </w:tcPr>
          <w:p w:rsidR="00513A7F" w:rsidRPr="00A3483E" w:rsidRDefault="002F3D96" w:rsidP="00A3483E">
            <w:pPr>
              <w:widowControl w:val="0"/>
              <w:shd w:val="clear" w:color="000000" w:fill="auto"/>
              <w:spacing w:after="0" w:line="360" w:lineRule="auto"/>
              <w:rPr>
                <w:rFonts w:ascii="Times New Roman" w:hAnsi="Times New Roman"/>
                <w:sz w:val="20"/>
                <w:szCs w:val="24"/>
              </w:rPr>
            </w:pPr>
            <w:r w:rsidRPr="00A3483E">
              <w:rPr>
                <w:rFonts w:ascii="Times New Roman" w:hAnsi="Times New Roman"/>
                <w:sz w:val="20"/>
                <w:szCs w:val="24"/>
              </w:rPr>
              <w:t>3</w:t>
            </w:r>
          </w:p>
        </w:tc>
        <w:tc>
          <w:tcPr>
            <w:tcW w:w="2802" w:type="dxa"/>
            <w:shd w:val="clear" w:color="auto" w:fill="auto"/>
          </w:tcPr>
          <w:p w:rsidR="00513A7F" w:rsidRPr="00A3483E" w:rsidRDefault="00407234" w:rsidP="00A3483E">
            <w:pPr>
              <w:widowControl w:val="0"/>
              <w:shd w:val="clear" w:color="000000" w:fill="auto"/>
              <w:spacing w:after="0" w:line="360" w:lineRule="auto"/>
              <w:rPr>
                <w:rFonts w:ascii="Times New Roman" w:hAnsi="Times New Roman"/>
                <w:sz w:val="20"/>
                <w:szCs w:val="24"/>
              </w:rPr>
            </w:pPr>
            <w:r w:rsidRPr="00A3483E">
              <w:rPr>
                <w:rFonts w:ascii="Times New Roman" w:hAnsi="Times New Roman"/>
                <w:sz w:val="20"/>
                <w:szCs w:val="24"/>
              </w:rPr>
              <w:t>Суммарный объем финансовых средств</w:t>
            </w:r>
          </w:p>
        </w:tc>
        <w:tc>
          <w:tcPr>
            <w:tcW w:w="4477" w:type="dxa"/>
            <w:shd w:val="clear" w:color="auto" w:fill="auto"/>
          </w:tcPr>
          <w:p w:rsidR="00513A7F" w:rsidRPr="00A3483E" w:rsidRDefault="00407234" w:rsidP="00A3483E">
            <w:pPr>
              <w:widowControl w:val="0"/>
              <w:shd w:val="clear" w:color="000000" w:fill="auto"/>
              <w:spacing w:after="0" w:line="360" w:lineRule="auto"/>
              <w:rPr>
                <w:rFonts w:ascii="Times New Roman" w:hAnsi="Times New Roman"/>
                <w:sz w:val="20"/>
                <w:szCs w:val="24"/>
              </w:rPr>
            </w:pPr>
            <w:r w:rsidRPr="00A3483E">
              <w:rPr>
                <w:rFonts w:ascii="Times New Roman" w:hAnsi="Times New Roman"/>
                <w:sz w:val="20"/>
                <w:szCs w:val="24"/>
              </w:rPr>
              <w:t>Финансовая обеспеченность региона на душу населения (с учетом покупательной способности)</w:t>
            </w:r>
          </w:p>
        </w:tc>
      </w:tr>
      <w:tr w:rsidR="00513A7F" w:rsidRPr="00A3483E" w:rsidTr="00A3483E">
        <w:trPr>
          <w:trHeight w:val="23"/>
        </w:trPr>
        <w:tc>
          <w:tcPr>
            <w:tcW w:w="0" w:type="auto"/>
            <w:shd w:val="clear" w:color="auto" w:fill="auto"/>
          </w:tcPr>
          <w:p w:rsidR="00513A7F" w:rsidRPr="00A3483E" w:rsidRDefault="002F3D96" w:rsidP="00A3483E">
            <w:pPr>
              <w:widowControl w:val="0"/>
              <w:shd w:val="clear" w:color="000000" w:fill="auto"/>
              <w:spacing w:after="0" w:line="360" w:lineRule="auto"/>
              <w:rPr>
                <w:rFonts w:ascii="Times New Roman" w:hAnsi="Times New Roman"/>
                <w:sz w:val="20"/>
                <w:szCs w:val="24"/>
              </w:rPr>
            </w:pPr>
            <w:r w:rsidRPr="00A3483E">
              <w:rPr>
                <w:rFonts w:ascii="Times New Roman" w:hAnsi="Times New Roman"/>
                <w:sz w:val="20"/>
                <w:szCs w:val="24"/>
              </w:rPr>
              <w:t>4</w:t>
            </w:r>
          </w:p>
        </w:tc>
        <w:tc>
          <w:tcPr>
            <w:tcW w:w="2802" w:type="dxa"/>
            <w:shd w:val="clear" w:color="auto" w:fill="auto"/>
          </w:tcPr>
          <w:p w:rsidR="00513A7F" w:rsidRPr="00A3483E" w:rsidRDefault="00407234" w:rsidP="00A3483E">
            <w:pPr>
              <w:widowControl w:val="0"/>
              <w:shd w:val="clear" w:color="000000" w:fill="auto"/>
              <w:spacing w:after="0" w:line="360" w:lineRule="auto"/>
              <w:rPr>
                <w:rFonts w:ascii="Times New Roman" w:hAnsi="Times New Roman"/>
                <w:sz w:val="20"/>
                <w:szCs w:val="24"/>
              </w:rPr>
            </w:pPr>
            <w:r w:rsidRPr="00A3483E">
              <w:rPr>
                <w:rFonts w:ascii="Times New Roman" w:hAnsi="Times New Roman"/>
                <w:sz w:val="20"/>
                <w:szCs w:val="24"/>
              </w:rPr>
              <w:t>Уровень развития малого предпринимательства</w:t>
            </w:r>
          </w:p>
        </w:tc>
        <w:tc>
          <w:tcPr>
            <w:tcW w:w="4477" w:type="dxa"/>
            <w:shd w:val="clear" w:color="auto" w:fill="auto"/>
          </w:tcPr>
          <w:p w:rsidR="00513A7F" w:rsidRPr="00A3483E" w:rsidRDefault="00407234" w:rsidP="00A3483E">
            <w:pPr>
              <w:widowControl w:val="0"/>
              <w:shd w:val="clear" w:color="000000" w:fill="auto"/>
              <w:spacing w:after="0" w:line="360" w:lineRule="auto"/>
              <w:rPr>
                <w:rFonts w:ascii="Times New Roman" w:hAnsi="Times New Roman"/>
                <w:sz w:val="20"/>
                <w:szCs w:val="24"/>
              </w:rPr>
            </w:pPr>
            <w:r w:rsidRPr="00A3483E">
              <w:rPr>
                <w:rFonts w:ascii="Times New Roman" w:hAnsi="Times New Roman"/>
                <w:sz w:val="20"/>
                <w:szCs w:val="24"/>
              </w:rPr>
              <w:t>Доля занятых на малых предприятиях в общей численности занятых в экономике (% к общей числен.)</w:t>
            </w:r>
          </w:p>
        </w:tc>
      </w:tr>
      <w:tr w:rsidR="00513A7F" w:rsidRPr="00A3483E" w:rsidTr="00A3483E">
        <w:trPr>
          <w:trHeight w:val="23"/>
        </w:trPr>
        <w:tc>
          <w:tcPr>
            <w:tcW w:w="0" w:type="auto"/>
            <w:shd w:val="clear" w:color="auto" w:fill="auto"/>
          </w:tcPr>
          <w:p w:rsidR="00513A7F" w:rsidRPr="00A3483E" w:rsidRDefault="002F3D96" w:rsidP="00A3483E">
            <w:pPr>
              <w:widowControl w:val="0"/>
              <w:shd w:val="clear" w:color="000000" w:fill="auto"/>
              <w:spacing w:after="0" w:line="360" w:lineRule="auto"/>
              <w:rPr>
                <w:rFonts w:ascii="Times New Roman" w:hAnsi="Times New Roman"/>
                <w:sz w:val="20"/>
                <w:szCs w:val="24"/>
              </w:rPr>
            </w:pPr>
            <w:r w:rsidRPr="00A3483E">
              <w:rPr>
                <w:rFonts w:ascii="Times New Roman" w:hAnsi="Times New Roman"/>
                <w:sz w:val="20"/>
                <w:szCs w:val="24"/>
              </w:rPr>
              <w:t>5</w:t>
            </w:r>
          </w:p>
        </w:tc>
        <w:tc>
          <w:tcPr>
            <w:tcW w:w="2802" w:type="dxa"/>
            <w:shd w:val="clear" w:color="auto" w:fill="auto"/>
          </w:tcPr>
          <w:p w:rsidR="00513A7F" w:rsidRPr="00A3483E" w:rsidRDefault="00407234" w:rsidP="00A3483E">
            <w:pPr>
              <w:widowControl w:val="0"/>
              <w:shd w:val="clear" w:color="000000" w:fill="auto"/>
              <w:spacing w:after="0" w:line="360" w:lineRule="auto"/>
              <w:rPr>
                <w:rFonts w:ascii="Times New Roman" w:hAnsi="Times New Roman"/>
                <w:sz w:val="20"/>
                <w:szCs w:val="24"/>
              </w:rPr>
            </w:pPr>
            <w:r w:rsidRPr="00A3483E">
              <w:rPr>
                <w:rFonts w:ascii="Times New Roman" w:hAnsi="Times New Roman"/>
                <w:sz w:val="20"/>
                <w:szCs w:val="24"/>
              </w:rPr>
              <w:t>Совокупный объем капитальных вложений</w:t>
            </w:r>
          </w:p>
        </w:tc>
        <w:tc>
          <w:tcPr>
            <w:tcW w:w="4477" w:type="dxa"/>
            <w:shd w:val="clear" w:color="auto" w:fill="auto"/>
          </w:tcPr>
          <w:p w:rsidR="00513A7F" w:rsidRPr="00A3483E" w:rsidRDefault="00407234" w:rsidP="00A3483E">
            <w:pPr>
              <w:widowControl w:val="0"/>
              <w:shd w:val="clear" w:color="000000" w:fill="auto"/>
              <w:spacing w:after="0" w:line="360" w:lineRule="auto"/>
              <w:rPr>
                <w:rFonts w:ascii="Times New Roman" w:hAnsi="Times New Roman"/>
                <w:sz w:val="20"/>
                <w:szCs w:val="24"/>
              </w:rPr>
            </w:pPr>
            <w:r w:rsidRPr="00A3483E">
              <w:rPr>
                <w:rFonts w:ascii="Times New Roman" w:hAnsi="Times New Roman"/>
                <w:sz w:val="20"/>
                <w:szCs w:val="24"/>
              </w:rPr>
              <w:t>Основные фонды отраслей экономики (по полной балансовой стоимости) на душу населения</w:t>
            </w:r>
          </w:p>
        </w:tc>
      </w:tr>
      <w:tr w:rsidR="00513A7F" w:rsidRPr="00A3483E" w:rsidTr="00A3483E">
        <w:trPr>
          <w:trHeight w:val="23"/>
        </w:trPr>
        <w:tc>
          <w:tcPr>
            <w:tcW w:w="0" w:type="auto"/>
            <w:shd w:val="clear" w:color="auto" w:fill="auto"/>
          </w:tcPr>
          <w:p w:rsidR="00513A7F" w:rsidRPr="00A3483E" w:rsidRDefault="002F3D96" w:rsidP="00A3483E">
            <w:pPr>
              <w:widowControl w:val="0"/>
              <w:shd w:val="clear" w:color="000000" w:fill="auto"/>
              <w:spacing w:after="0" w:line="360" w:lineRule="auto"/>
              <w:rPr>
                <w:rFonts w:ascii="Times New Roman" w:hAnsi="Times New Roman"/>
                <w:sz w:val="20"/>
                <w:szCs w:val="24"/>
              </w:rPr>
            </w:pPr>
            <w:r w:rsidRPr="00A3483E">
              <w:rPr>
                <w:rFonts w:ascii="Times New Roman" w:hAnsi="Times New Roman"/>
                <w:sz w:val="20"/>
                <w:szCs w:val="24"/>
              </w:rPr>
              <w:t>6</w:t>
            </w:r>
          </w:p>
        </w:tc>
        <w:tc>
          <w:tcPr>
            <w:tcW w:w="2802" w:type="dxa"/>
            <w:shd w:val="clear" w:color="auto" w:fill="auto"/>
          </w:tcPr>
          <w:p w:rsidR="00513A7F" w:rsidRPr="00A3483E" w:rsidRDefault="00407234" w:rsidP="00A3483E">
            <w:pPr>
              <w:widowControl w:val="0"/>
              <w:shd w:val="clear" w:color="000000" w:fill="auto"/>
              <w:spacing w:after="0" w:line="360" w:lineRule="auto"/>
              <w:rPr>
                <w:rFonts w:ascii="Times New Roman" w:hAnsi="Times New Roman"/>
                <w:sz w:val="20"/>
                <w:szCs w:val="24"/>
              </w:rPr>
            </w:pPr>
            <w:r w:rsidRPr="00A3483E">
              <w:rPr>
                <w:rFonts w:ascii="Times New Roman" w:hAnsi="Times New Roman"/>
                <w:sz w:val="20"/>
                <w:szCs w:val="24"/>
              </w:rPr>
              <w:t xml:space="preserve">Объем </w:t>
            </w:r>
            <w:r w:rsidR="004F4DAA" w:rsidRPr="00A3483E">
              <w:rPr>
                <w:rFonts w:ascii="Times New Roman" w:hAnsi="Times New Roman"/>
                <w:sz w:val="20"/>
                <w:szCs w:val="24"/>
              </w:rPr>
              <w:t xml:space="preserve">промышленного </w:t>
            </w:r>
            <w:r w:rsidRPr="00A3483E">
              <w:rPr>
                <w:rFonts w:ascii="Times New Roman" w:hAnsi="Times New Roman"/>
                <w:sz w:val="20"/>
                <w:szCs w:val="24"/>
              </w:rPr>
              <w:t>производства</w:t>
            </w:r>
          </w:p>
        </w:tc>
        <w:tc>
          <w:tcPr>
            <w:tcW w:w="4477" w:type="dxa"/>
            <w:shd w:val="clear" w:color="auto" w:fill="auto"/>
          </w:tcPr>
          <w:p w:rsidR="00513A7F" w:rsidRPr="00A3483E" w:rsidRDefault="00407234" w:rsidP="00A3483E">
            <w:pPr>
              <w:widowControl w:val="0"/>
              <w:shd w:val="clear" w:color="000000" w:fill="auto"/>
              <w:spacing w:after="0" w:line="360" w:lineRule="auto"/>
              <w:rPr>
                <w:rFonts w:ascii="Times New Roman" w:hAnsi="Times New Roman"/>
                <w:sz w:val="20"/>
                <w:szCs w:val="24"/>
              </w:rPr>
            </w:pPr>
            <w:r w:rsidRPr="00A3483E">
              <w:rPr>
                <w:rFonts w:ascii="Times New Roman" w:hAnsi="Times New Roman"/>
                <w:sz w:val="20"/>
                <w:szCs w:val="24"/>
              </w:rPr>
              <w:t xml:space="preserve">Объем </w:t>
            </w:r>
            <w:r w:rsidR="004F4DAA" w:rsidRPr="00A3483E">
              <w:rPr>
                <w:rFonts w:ascii="Times New Roman" w:hAnsi="Times New Roman"/>
                <w:sz w:val="20"/>
                <w:szCs w:val="24"/>
              </w:rPr>
              <w:t xml:space="preserve">промышленного </w:t>
            </w:r>
            <w:r w:rsidRPr="00A3483E">
              <w:rPr>
                <w:rFonts w:ascii="Times New Roman" w:hAnsi="Times New Roman"/>
                <w:sz w:val="20"/>
                <w:szCs w:val="24"/>
              </w:rPr>
              <w:t>производства на душу населения</w:t>
            </w:r>
          </w:p>
        </w:tc>
      </w:tr>
      <w:tr w:rsidR="00513A7F" w:rsidRPr="00A3483E" w:rsidTr="00A3483E">
        <w:trPr>
          <w:trHeight w:val="23"/>
        </w:trPr>
        <w:tc>
          <w:tcPr>
            <w:tcW w:w="0" w:type="auto"/>
            <w:shd w:val="clear" w:color="auto" w:fill="auto"/>
          </w:tcPr>
          <w:p w:rsidR="00513A7F" w:rsidRPr="00A3483E" w:rsidRDefault="002F3D96" w:rsidP="00A3483E">
            <w:pPr>
              <w:widowControl w:val="0"/>
              <w:shd w:val="clear" w:color="000000" w:fill="auto"/>
              <w:spacing w:after="0" w:line="360" w:lineRule="auto"/>
              <w:rPr>
                <w:rFonts w:ascii="Times New Roman" w:hAnsi="Times New Roman"/>
                <w:sz w:val="20"/>
                <w:szCs w:val="24"/>
              </w:rPr>
            </w:pPr>
            <w:r w:rsidRPr="00A3483E">
              <w:rPr>
                <w:rFonts w:ascii="Times New Roman" w:hAnsi="Times New Roman"/>
                <w:sz w:val="20"/>
                <w:szCs w:val="24"/>
              </w:rPr>
              <w:t>7</w:t>
            </w:r>
          </w:p>
        </w:tc>
        <w:tc>
          <w:tcPr>
            <w:tcW w:w="2802" w:type="dxa"/>
            <w:shd w:val="clear" w:color="auto" w:fill="auto"/>
          </w:tcPr>
          <w:p w:rsidR="00513A7F" w:rsidRPr="00A3483E" w:rsidRDefault="00407234" w:rsidP="00A3483E">
            <w:pPr>
              <w:widowControl w:val="0"/>
              <w:shd w:val="clear" w:color="000000" w:fill="auto"/>
              <w:spacing w:after="0" w:line="360" w:lineRule="auto"/>
              <w:rPr>
                <w:rFonts w:ascii="Times New Roman" w:hAnsi="Times New Roman"/>
                <w:sz w:val="20"/>
                <w:szCs w:val="24"/>
              </w:rPr>
            </w:pPr>
            <w:r w:rsidRPr="00A3483E">
              <w:rPr>
                <w:rFonts w:ascii="Times New Roman" w:hAnsi="Times New Roman"/>
                <w:sz w:val="20"/>
                <w:szCs w:val="24"/>
              </w:rPr>
              <w:t>Темпы изменения объемов производства</w:t>
            </w:r>
          </w:p>
        </w:tc>
        <w:tc>
          <w:tcPr>
            <w:tcW w:w="4477" w:type="dxa"/>
            <w:shd w:val="clear" w:color="auto" w:fill="auto"/>
          </w:tcPr>
          <w:p w:rsidR="00513A7F" w:rsidRPr="00A3483E" w:rsidRDefault="00407234" w:rsidP="00A3483E">
            <w:pPr>
              <w:widowControl w:val="0"/>
              <w:shd w:val="clear" w:color="000000" w:fill="auto"/>
              <w:spacing w:after="0" w:line="360" w:lineRule="auto"/>
              <w:rPr>
                <w:rFonts w:ascii="Times New Roman" w:hAnsi="Times New Roman"/>
                <w:sz w:val="20"/>
                <w:szCs w:val="24"/>
              </w:rPr>
            </w:pPr>
            <w:r w:rsidRPr="00A3483E">
              <w:rPr>
                <w:rFonts w:ascii="Times New Roman" w:hAnsi="Times New Roman"/>
                <w:sz w:val="20"/>
                <w:szCs w:val="24"/>
              </w:rPr>
              <w:t>Годовой темп изменения, исходя из объемов производства в сопоставимых ценах</w:t>
            </w:r>
          </w:p>
        </w:tc>
      </w:tr>
      <w:tr w:rsidR="002F3D96" w:rsidRPr="00A3483E" w:rsidTr="00A3483E">
        <w:trPr>
          <w:trHeight w:val="23"/>
        </w:trPr>
        <w:tc>
          <w:tcPr>
            <w:tcW w:w="8222" w:type="dxa"/>
            <w:gridSpan w:val="3"/>
            <w:shd w:val="clear" w:color="auto" w:fill="auto"/>
          </w:tcPr>
          <w:tbl>
            <w:tblPr>
              <w:tblpPr w:leftFromText="180" w:rightFromText="180" w:vertAnchor="text" w:horzAnchor="margin" w:tblpXSpec="center" w:tblpY="-153"/>
              <w:tblOverlap w:val="never"/>
              <w:tblW w:w="0" w:type="auto"/>
              <w:tblLook w:val="0000" w:firstRow="0" w:lastRow="0" w:firstColumn="0" w:lastColumn="0" w:noHBand="0" w:noVBand="0"/>
            </w:tblPr>
            <w:tblGrid>
              <w:gridCol w:w="4275"/>
            </w:tblGrid>
            <w:tr w:rsidR="002F3D96" w:rsidRPr="00A3133C" w:rsidTr="002F3D96">
              <w:trPr>
                <w:trHeight w:val="316"/>
              </w:trPr>
              <w:tc>
                <w:tcPr>
                  <w:tcW w:w="0" w:type="auto"/>
                  <w:tcBorders>
                    <w:top w:val="nil"/>
                    <w:left w:val="nil"/>
                    <w:bottom w:val="nil"/>
                    <w:right w:val="nil"/>
                  </w:tcBorders>
                </w:tcPr>
                <w:p w:rsidR="002F3D96" w:rsidRPr="00A3133C" w:rsidRDefault="002F3D96" w:rsidP="00A3133C">
                  <w:pPr>
                    <w:widowControl w:val="0"/>
                    <w:shd w:val="clear" w:color="000000" w:fill="auto"/>
                    <w:autoSpaceDE w:val="0"/>
                    <w:autoSpaceDN w:val="0"/>
                    <w:adjustRightInd w:val="0"/>
                    <w:spacing w:after="0" w:line="360" w:lineRule="auto"/>
                    <w:rPr>
                      <w:rFonts w:ascii="Times New Roman" w:hAnsi="Times New Roman"/>
                      <w:sz w:val="20"/>
                      <w:szCs w:val="24"/>
                    </w:rPr>
                  </w:pPr>
                  <w:r w:rsidRPr="00A3133C">
                    <w:rPr>
                      <w:rFonts w:ascii="Times New Roman" w:hAnsi="Times New Roman"/>
                      <w:sz w:val="20"/>
                      <w:szCs w:val="24"/>
                    </w:rPr>
                    <w:t xml:space="preserve">2. Показатели социального потенциала региона </w:t>
                  </w:r>
                </w:p>
              </w:tc>
            </w:tr>
          </w:tbl>
          <w:p w:rsidR="002F3D96" w:rsidRPr="00A3483E" w:rsidRDefault="002F3D96" w:rsidP="00A3483E">
            <w:pPr>
              <w:widowControl w:val="0"/>
              <w:shd w:val="clear" w:color="000000" w:fill="auto"/>
              <w:spacing w:after="0" w:line="360" w:lineRule="auto"/>
              <w:rPr>
                <w:rFonts w:ascii="Times New Roman" w:hAnsi="Times New Roman"/>
                <w:sz w:val="20"/>
                <w:szCs w:val="28"/>
              </w:rPr>
            </w:pPr>
          </w:p>
        </w:tc>
      </w:tr>
      <w:tr w:rsidR="00513A7F" w:rsidRPr="00A3483E" w:rsidTr="00A3483E">
        <w:trPr>
          <w:trHeight w:val="23"/>
        </w:trPr>
        <w:tc>
          <w:tcPr>
            <w:tcW w:w="0" w:type="auto"/>
            <w:shd w:val="clear" w:color="auto" w:fill="auto"/>
          </w:tcPr>
          <w:p w:rsidR="00513A7F" w:rsidRPr="00A3483E" w:rsidRDefault="002F3D96" w:rsidP="00A3483E">
            <w:pPr>
              <w:widowControl w:val="0"/>
              <w:shd w:val="clear" w:color="000000" w:fill="auto"/>
              <w:spacing w:after="0" w:line="360" w:lineRule="auto"/>
              <w:rPr>
                <w:rFonts w:ascii="Times New Roman" w:hAnsi="Times New Roman"/>
                <w:sz w:val="20"/>
                <w:szCs w:val="24"/>
              </w:rPr>
            </w:pPr>
            <w:r w:rsidRPr="00A3483E">
              <w:rPr>
                <w:rFonts w:ascii="Times New Roman" w:hAnsi="Times New Roman"/>
                <w:sz w:val="20"/>
                <w:szCs w:val="24"/>
              </w:rPr>
              <w:t>8</w:t>
            </w:r>
          </w:p>
        </w:tc>
        <w:tc>
          <w:tcPr>
            <w:tcW w:w="2802" w:type="dxa"/>
            <w:shd w:val="clear" w:color="auto" w:fill="auto"/>
          </w:tcPr>
          <w:p w:rsidR="00513A7F" w:rsidRPr="00A3483E" w:rsidRDefault="00407234" w:rsidP="00A3483E">
            <w:pPr>
              <w:widowControl w:val="0"/>
              <w:shd w:val="clear" w:color="000000" w:fill="auto"/>
              <w:spacing w:after="0" w:line="360" w:lineRule="auto"/>
              <w:rPr>
                <w:rFonts w:ascii="Times New Roman" w:hAnsi="Times New Roman"/>
                <w:sz w:val="20"/>
                <w:szCs w:val="24"/>
              </w:rPr>
            </w:pPr>
            <w:r w:rsidRPr="00A3483E">
              <w:rPr>
                <w:rFonts w:ascii="Times New Roman" w:hAnsi="Times New Roman"/>
                <w:sz w:val="20"/>
                <w:szCs w:val="24"/>
              </w:rPr>
              <w:t>Уровень жизни населения региона</w:t>
            </w:r>
          </w:p>
        </w:tc>
        <w:tc>
          <w:tcPr>
            <w:tcW w:w="4477" w:type="dxa"/>
            <w:shd w:val="clear" w:color="auto" w:fill="auto"/>
          </w:tcPr>
          <w:p w:rsidR="00513A7F" w:rsidRPr="00A3483E" w:rsidRDefault="00407234" w:rsidP="00A3483E">
            <w:pPr>
              <w:widowControl w:val="0"/>
              <w:shd w:val="clear" w:color="000000" w:fill="auto"/>
              <w:spacing w:after="0" w:line="360" w:lineRule="auto"/>
              <w:rPr>
                <w:rFonts w:ascii="Times New Roman" w:hAnsi="Times New Roman"/>
                <w:sz w:val="20"/>
                <w:szCs w:val="24"/>
              </w:rPr>
            </w:pPr>
            <w:r w:rsidRPr="00A3483E">
              <w:rPr>
                <w:rFonts w:ascii="Times New Roman" w:hAnsi="Times New Roman"/>
                <w:sz w:val="20"/>
                <w:szCs w:val="24"/>
              </w:rPr>
              <w:t>Соотношение среднедушевого дохода и среднедушевого прожиточного минимума</w:t>
            </w:r>
          </w:p>
        </w:tc>
      </w:tr>
      <w:tr w:rsidR="00513A7F" w:rsidRPr="00A3483E" w:rsidTr="00A3483E">
        <w:trPr>
          <w:trHeight w:val="23"/>
        </w:trPr>
        <w:tc>
          <w:tcPr>
            <w:tcW w:w="0" w:type="auto"/>
            <w:shd w:val="clear" w:color="auto" w:fill="auto"/>
          </w:tcPr>
          <w:p w:rsidR="00513A7F" w:rsidRPr="00A3483E" w:rsidRDefault="002F3D96" w:rsidP="00A3483E">
            <w:pPr>
              <w:widowControl w:val="0"/>
              <w:shd w:val="clear" w:color="000000" w:fill="auto"/>
              <w:spacing w:after="0" w:line="360" w:lineRule="auto"/>
              <w:rPr>
                <w:rFonts w:ascii="Times New Roman" w:hAnsi="Times New Roman"/>
                <w:sz w:val="20"/>
                <w:szCs w:val="24"/>
              </w:rPr>
            </w:pPr>
            <w:r w:rsidRPr="00A3483E">
              <w:rPr>
                <w:rFonts w:ascii="Times New Roman" w:hAnsi="Times New Roman"/>
                <w:sz w:val="20"/>
                <w:szCs w:val="24"/>
              </w:rPr>
              <w:t>9</w:t>
            </w:r>
          </w:p>
        </w:tc>
        <w:tc>
          <w:tcPr>
            <w:tcW w:w="2802" w:type="dxa"/>
            <w:shd w:val="clear" w:color="auto" w:fill="auto"/>
          </w:tcPr>
          <w:p w:rsidR="00513A7F" w:rsidRPr="00A3483E" w:rsidRDefault="00407234" w:rsidP="00A3483E">
            <w:pPr>
              <w:widowControl w:val="0"/>
              <w:shd w:val="clear" w:color="000000" w:fill="auto"/>
              <w:spacing w:after="0" w:line="360" w:lineRule="auto"/>
              <w:rPr>
                <w:rFonts w:ascii="Times New Roman" w:hAnsi="Times New Roman"/>
                <w:sz w:val="20"/>
                <w:szCs w:val="24"/>
              </w:rPr>
            </w:pPr>
            <w:r w:rsidRPr="00A3483E">
              <w:rPr>
                <w:rFonts w:ascii="Times New Roman" w:hAnsi="Times New Roman"/>
                <w:sz w:val="20"/>
                <w:szCs w:val="24"/>
              </w:rPr>
              <w:t>Обеспеченность населения легковыми автомобилями</w:t>
            </w:r>
          </w:p>
        </w:tc>
        <w:tc>
          <w:tcPr>
            <w:tcW w:w="4477" w:type="dxa"/>
            <w:shd w:val="clear" w:color="auto" w:fill="auto"/>
          </w:tcPr>
          <w:p w:rsidR="00513A7F" w:rsidRPr="00A3483E" w:rsidRDefault="00407234" w:rsidP="00A3483E">
            <w:pPr>
              <w:widowControl w:val="0"/>
              <w:shd w:val="clear" w:color="000000" w:fill="auto"/>
              <w:spacing w:after="0" w:line="360" w:lineRule="auto"/>
              <w:rPr>
                <w:rFonts w:ascii="Times New Roman" w:hAnsi="Times New Roman"/>
                <w:sz w:val="20"/>
                <w:szCs w:val="24"/>
              </w:rPr>
            </w:pPr>
            <w:r w:rsidRPr="00A3483E">
              <w:rPr>
                <w:rFonts w:ascii="Times New Roman" w:hAnsi="Times New Roman"/>
                <w:sz w:val="20"/>
                <w:szCs w:val="24"/>
              </w:rPr>
              <w:t>Количество легковых автомобилей в собственности граждан на 1000 человек населения</w:t>
            </w:r>
          </w:p>
        </w:tc>
      </w:tr>
      <w:tr w:rsidR="002F3D96" w:rsidRPr="00A3483E" w:rsidTr="00A3483E">
        <w:trPr>
          <w:trHeight w:val="23"/>
        </w:trPr>
        <w:tc>
          <w:tcPr>
            <w:tcW w:w="8222" w:type="dxa"/>
            <w:gridSpan w:val="3"/>
            <w:shd w:val="clear" w:color="auto" w:fill="auto"/>
          </w:tcPr>
          <w:tbl>
            <w:tblPr>
              <w:tblpPr w:leftFromText="180" w:rightFromText="180" w:vertAnchor="text" w:horzAnchor="margin" w:tblpXSpec="center" w:tblpY="-139"/>
              <w:tblOverlap w:val="never"/>
              <w:tblW w:w="0" w:type="auto"/>
              <w:tblLook w:val="0000" w:firstRow="0" w:lastRow="0" w:firstColumn="0" w:lastColumn="0" w:noHBand="0" w:noVBand="0"/>
            </w:tblPr>
            <w:tblGrid>
              <w:gridCol w:w="4158"/>
            </w:tblGrid>
            <w:tr w:rsidR="002F3D96" w:rsidRPr="00A3133C" w:rsidTr="002F3D96">
              <w:trPr>
                <w:trHeight w:val="316"/>
              </w:trPr>
              <w:tc>
                <w:tcPr>
                  <w:tcW w:w="0" w:type="auto"/>
                  <w:tcBorders>
                    <w:top w:val="nil"/>
                    <w:left w:val="nil"/>
                    <w:bottom w:val="nil"/>
                    <w:right w:val="nil"/>
                  </w:tcBorders>
                </w:tcPr>
                <w:p w:rsidR="002F3D96" w:rsidRPr="00A3133C" w:rsidRDefault="002F3D96" w:rsidP="00A3133C">
                  <w:pPr>
                    <w:widowControl w:val="0"/>
                    <w:shd w:val="clear" w:color="000000" w:fill="auto"/>
                    <w:autoSpaceDE w:val="0"/>
                    <w:autoSpaceDN w:val="0"/>
                    <w:adjustRightInd w:val="0"/>
                    <w:spacing w:after="0" w:line="360" w:lineRule="auto"/>
                    <w:rPr>
                      <w:rFonts w:ascii="Times New Roman" w:hAnsi="Times New Roman"/>
                      <w:sz w:val="20"/>
                      <w:szCs w:val="24"/>
                    </w:rPr>
                  </w:pPr>
                  <w:r w:rsidRPr="00A3133C">
                    <w:rPr>
                      <w:rFonts w:ascii="Times New Roman" w:hAnsi="Times New Roman"/>
                      <w:sz w:val="20"/>
                      <w:szCs w:val="24"/>
                    </w:rPr>
                    <w:t xml:space="preserve">3. Показатели ресурсного потенциала региона </w:t>
                  </w:r>
                </w:p>
              </w:tc>
            </w:tr>
          </w:tbl>
          <w:p w:rsidR="002F3D96" w:rsidRPr="00A3483E" w:rsidRDefault="002F3D96" w:rsidP="00A3483E">
            <w:pPr>
              <w:widowControl w:val="0"/>
              <w:shd w:val="clear" w:color="000000" w:fill="auto"/>
              <w:spacing w:after="0" w:line="360" w:lineRule="auto"/>
              <w:rPr>
                <w:rFonts w:ascii="Times New Roman" w:hAnsi="Times New Roman"/>
                <w:sz w:val="20"/>
                <w:szCs w:val="28"/>
              </w:rPr>
            </w:pPr>
          </w:p>
        </w:tc>
      </w:tr>
      <w:tr w:rsidR="00F42500" w:rsidRPr="00A3483E" w:rsidTr="00A3483E">
        <w:trPr>
          <w:trHeight w:val="23"/>
        </w:trPr>
        <w:tc>
          <w:tcPr>
            <w:tcW w:w="0" w:type="auto"/>
            <w:shd w:val="clear" w:color="auto" w:fill="auto"/>
          </w:tcPr>
          <w:p w:rsidR="00F42500" w:rsidRPr="00A3483E" w:rsidRDefault="00F42500" w:rsidP="00A3483E">
            <w:pPr>
              <w:widowControl w:val="0"/>
              <w:shd w:val="clear" w:color="000000" w:fill="auto"/>
              <w:spacing w:after="0" w:line="360" w:lineRule="auto"/>
              <w:rPr>
                <w:rFonts w:ascii="Times New Roman" w:hAnsi="Times New Roman"/>
                <w:sz w:val="20"/>
                <w:szCs w:val="24"/>
              </w:rPr>
            </w:pPr>
            <w:r w:rsidRPr="00A3483E">
              <w:rPr>
                <w:rFonts w:ascii="Times New Roman" w:hAnsi="Times New Roman"/>
                <w:sz w:val="20"/>
                <w:szCs w:val="24"/>
              </w:rPr>
              <w:t>10</w:t>
            </w:r>
          </w:p>
        </w:tc>
        <w:tc>
          <w:tcPr>
            <w:tcW w:w="2802" w:type="dxa"/>
            <w:shd w:val="clear" w:color="auto" w:fill="auto"/>
          </w:tcPr>
          <w:p w:rsidR="00F42500" w:rsidRPr="00A3483E" w:rsidRDefault="00F42500" w:rsidP="00A3483E">
            <w:pPr>
              <w:widowControl w:val="0"/>
              <w:shd w:val="clear" w:color="000000" w:fill="auto"/>
              <w:spacing w:after="0" w:line="360" w:lineRule="auto"/>
              <w:rPr>
                <w:rFonts w:ascii="Times New Roman" w:hAnsi="Times New Roman"/>
                <w:sz w:val="20"/>
                <w:szCs w:val="24"/>
              </w:rPr>
            </w:pPr>
            <w:r w:rsidRPr="00A3483E">
              <w:rPr>
                <w:rFonts w:ascii="Times New Roman" w:hAnsi="Times New Roman"/>
                <w:sz w:val="20"/>
                <w:szCs w:val="24"/>
              </w:rPr>
              <w:t>Объем природных запасов нефти и газа (углеводородных ресурсов)</w:t>
            </w:r>
          </w:p>
        </w:tc>
        <w:tc>
          <w:tcPr>
            <w:tcW w:w="4477" w:type="dxa"/>
            <w:shd w:val="clear" w:color="auto" w:fill="auto"/>
          </w:tcPr>
          <w:p w:rsidR="00F42500" w:rsidRPr="00A3483E" w:rsidRDefault="00F42500" w:rsidP="00A3483E">
            <w:pPr>
              <w:widowControl w:val="0"/>
              <w:shd w:val="clear" w:color="000000" w:fill="auto"/>
              <w:spacing w:after="0" w:line="360" w:lineRule="auto"/>
              <w:rPr>
                <w:rFonts w:ascii="Times New Roman" w:hAnsi="Times New Roman"/>
                <w:sz w:val="20"/>
                <w:szCs w:val="24"/>
              </w:rPr>
            </w:pPr>
            <w:r w:rsidRPr="00A3483E">
              <w:rPr>
                <w:rFonts w:ascii="Times New Roman" w:hAnsi="Times New Roman"/>
                <w:sz w:val="20"/>
                <w:szCs w:val="24"/>
              </w:rPr>
              <w:t>Объем природных запасов нефти и газа, с учетом рентабельности разработки месторождений в расчете на единицу показателя Э. Энгеля</w:t>
            </w:r>
          </w:p>
        </w:tc>
      </w:tr>
      <w:tr w:rsidR="00F42500" w:rsidRPr="00A3483E" w:rsidTr="00A3483E">
        <w:trPr>
          <w:trHeight w:val="23"/>
        </w:trPr>
        <w:tc>
          <w:tcPr>
            <w:tcW w:w="0" w:type="auto"/>
            <w:shd w:val="clear" w:color="auto" w:fill="auto"/>
          </w:tcPr>
          <w:p w:rsidR="00F42500" w:rsidRPr="00A3483E" w:rsidRDefault="00F42500" w:rsidP="00A3483E">
            <w:pPr>
              <w:widowControl w:val="0"/>
              <w:shd w:val="clear" w:color="000000" w:fill="auto"/>
              <w:spacing w:after="0" w:line="360" w:lineRule="auto"/>
              <w:rPr>
                <w:rFonts w:ascii="Times New Roman" w:hAnsi="Times New Roman"/>
                <w:sz w:val="20"/>
                <w:szCs w:val="24"/>
              </w:rPr>
            </w:pPr>
            <w:r w:rsidRPr="00A3483E">
              <w:rPr>
                <w:rFonts w:ascii="Times New Roman" w:hAnsi="Times New Roman"/>
                <w:sz w:val="20"/>
                <w:szCs w:val="24"/>
              </w:rPr>
              <w:t>11</w:t>
            </w:r>
          </w:p>
        </w:tc>
        <w:tc>
          <w:tcPr>
            <w:tcW w:w="2802" w:type="dxa"/>
            <w:shd w:val="clear" w:color="auto" w:fill="auto"/>
          </w:tcPr>
          <w:p w:rsidR="00F42500" w:rsidRPr="00A3483E" w:rsidRDefault="00CA3753" w:rsidP="00A3483E">
            <w:pPr>
              <w:widowControl w:val="0"/>
              <w:shd w:val="clear" w:color="000000" w:fill="auto"/>
              <w:spacing w:after="0" w:line="360" w:lineRule="auto"/>
              <w:rPr>
                <w:rFonts w:ascii="Times New Roman" w:hAnsi="Times New Roman"/>
                <w:sz w:val="20"/>
                <w:szCs w:val="24"/>
              </w:rPr>
            </w:pPr>
            <w:r w:rsidRPr="00A3483E">
              <w:rPr>
                <w:rFonts w:ascii="Times New Roman" w:hAnsi="Times New Roman"/>
                <w:sz w:val="20"/>
                <w:szCs w:val="24"/>
              </w:rPr>
              <w:t xml:space="preserve">Наличие </w:t>
            </w:r>
            <w:r w:rsidR="00F42500" w:rsidRPr="00A3483E">
              <w:rPr>
                <w:rFonts w:ascii="Times New Roman" w:hAnsi="Times New Roman"/>
                <w:sz w:val="20"/>
                <w:szCs w:val="24"/>
              </w:rPr>
              <w:t>природных запасов минерально-сырьевых ресурсов кроме углеводородных</w:t>
            </w:r>
          </w:p>
        </w:tc>
        <w:tc>
          <w:tcPr>
            <w:tcW w:w="4477" w:type="dxa"/>
            <w:shd w:val="clear" w:color="auto" w:fill="auto"/>
          </w:tcPr>
          <w:p w:rsidR="00F42500" w:rsidRPr="00A3483E" w:rsidRDefault="00F42500" w:rsidP="00A3483E">
            <w:pPr>
              <w:widowControl w:val="0"/>
              <w:shd w:val="clear" w:color="000000" w:fill="auto"/>
              <w:spacing w:after="0" w:line="360" w:lineRule="auto"/>
              <w:rPr>
                <w:rFonts w:ascii="Times New Roman" w:hAnsi="Times New Roman"/>
                <w:sz w:val="20"/>
                <w:szCs w:val="24"/>
              </w:rPr>
            </w:pPr>
            <w:r w:rsidRPr="00A3483E">
              <w:rPr>
                <w:rFonts w:ascii="Times New Roman" w:hAnsi="Times New Roman"/>
                <w:sz w:val="20"/>
                <w:szCs w:val="24"/>
              </w:rPr>
              <w:t>Объем природных запасов минерально-сырьевых ресурсов кроме углеводородных, в расчете на единицу показателя Э. Энгеля</w:t>
            </w:r>
          </w:p>
        </w:tc>
      </w:tr>
      <w:tr w:rsidR="00513A7F" w:rsidRPr="00A3483E" w:rsidTr="00A3483E">
        <w:trPr>
          <w:trHeight w:val="23"/>
        </w:trPr>
        <w:tc>
          <w:tcPr>
            <w:tcW w:w="0" w:type="auto"/>
            <w:shd w:val="clear" w:color="auto" w:fill="auto"/>
          </w:tcPr>
          <w:p w:rsidR="00513A7F" w:rsidRPr="00A3483E" w:rsidRDefault="002F3D96" w:rsidP="00A3483E">
            <w:pPr>
              <w:widowControl w:val="0"/>
              <w:shd w:val="clear" w:color="000000" w:fill="auto"/>
              <w:spacing w:after="0" w:line="360" w:lineRule="auto"/>
              <w:rPr>
                <w:rFonts w:ascii="Times New Roman" w:hAnsi="Times New Roman"/>
                <w:sz w:val="20"/>
                <w:szCs w:val="24"/>
              </w:rPr>
            </w:pPr>
            <w:r w:rsidRPr="00A3483E">
              <w:rPr>
                <w:rFonts w:ascii="Times New Roman" w:hAnsi="Times New Roman"/>
                <w:sz w:val="20"/>
                <w:szCs w:val="24"/>
              </w:rPr>
              <w:t>1</w:t>
            </w:r>
            <w:r w:rsidR="00F42500" w:rsidRPr="00A3483E">
              <w:rPr>
                <w:rFonts w:ascii="Times New Roman" w:hAnsi="Times New Roman"/>
                <w:sz w:val="20"/>
                <w:szCs w:val="24"/>
              </w:rPr>
              <w:t>2</w:t>
            </w:r>
          </w:p>
        </w:tc>
        <w:tc>
          <w:tcPr>
            <w:tcW w:w="2802" w:type="dxa"/>
            <w:shd w:val="clear" w:color="auto" w:fill="auto"/>
          </w:tcPr>
          <w:p w:rsidR="00513A7F" w:rsidRPr="00A3483E" w:rsidRDefault="00407234" w:rsidP="00A3483E">
            <w:pPr>
              <w:widowControl w:val="0"/>
              <w:shd w:val="clear" w:color="000000" w:fill="auto"/>
              <w:spacing w:after="0" w:line="360" w:lineRule="auto"/>
              <w:rPr>
                <w:rFonts w:ascii="Times New Roman" w:hAnsi="Times New Roman"/>
                <w:sz w:val="20"/>
                <w:szCs w:val="24"/>
              </w:rPr>
            </w:pPr>
            <w:r w:rsidRPr="00A3483E">
              <w:rPr>
                <w:rFonts w:ascii="Times New Roman" w:hAnsi="Times New Roman"/>
                <w:sz w:val="20"/>
                <w:szCs w:val="24"/>
              </w:rPr>
              <w:t xml:space="preserve">Объем добычи </w:t>
            </w:r>
            <w:r w:rsidR="00E11B1F" w:rsidRPr="00A3483E">
              <w:rPr>
                <w:rFonts w:ascii="Times New Roman" w:hAnsi="Times New Roman"/>
                <w:sz w:val="20"/>
                <w:szCs w:val="24"/>
              </w:rPr>
              <w:t>природных ресурсов</w:t>
            </w:r>
          </w:p>
        </w:tc>
        <w:tc>
          <w:tcPr>
            <w:tcW w:w="4477" w:type="dxa"/>
            <w:shd w:val="clear" w:color="auto" w:fill="auto"/>
          </w:tcPr>
          <w:p w:rsidR="00513A7F" w:rsidRPr="00A3483E" w:rsidRDefault="00407234" w:rsidP="00A3483E">
            <w:pPr>
              <w:widowControl w:val="0"/>
              <w:shd w:val="clear" w:color="000000" w:fill="auto"/>
              <w:spacing w:after="0" w:line="360" w:lineRule="auto"/>
              <w:rPr>
                <w:rFonts w:ascii="Times New Roman" w:hAnsi="Times New Roman"/>
                <w:sz w:val="20"/>
                <w:szCs w:val="24"/>
              </w:rPr>
            </w:pPr>
            <w:r w:rsidRPr="00A3483E">
              <w:rPr>
                <w:rFonts w:ascii="Times New Roman" w:hAnsi="Times New Roman"/>
                <w:sz w:val="20"/>
                <w:szCs w:val="24"/>
              </w:rPr>
              <w:t xml:space="preserve">Объемы добычи </w:t>
            </w:r>
            <w:r w:rsidR="00E11B1F" w:rsidRPr="00A3483E">
              <w:rPr>
                <w:rFonts w:ascii="Times New Roman" w:hAnsi="Times New Roman"/>
                <w:sz w:val="20"/>
                <w:szCs w:val="24"/>
              </w:rPr>
              <w:t xml:space="preserve">природных ресурсов </w:t>
            </w:r>
            <w:r w:rsidRPr="00A3483E">
              <w:rPr>
                <w:rFonts w:ascii="Times New Roman" w:hAnsi="Times New Roman"/>
                <w:sz w:val="20"/>
                <w:szCs w:val="24"/>
              </w:rPr>
              <w:t>(% от общероссийского объема добычи)</w:t>
            </w:r>
          </w:p>
        </w:tc>
      </w:tr>
      <w:tr w:rsidR="002F3D96" w:rsidRPr="00A3483E" w:rsidTr="00A3483E">
        <w:trPr>
          <w:trHeight w:val="23"/>
        </w:trPr>
        <w:tc>
          <w:tcPr>
            <w:tcW w:w="8222" w:type="dxa"/>
            <w:gridSpan w:val="3"/>
            <w:shd w:val="clear" w:color="auto" w:fill="auto"/>
          </w:tcPr>
          <w:tbl>
            <w:tblPr>
              <w:tblpPr w:leftFromText="180" w:rightFromText="180" w:vertAnchor="text" w:horzAnchor="margin" w:tblpXSpec="center" w:tblpY="-153"/>
              <w:tblOverlap w:val="never"/>
              <w:tblW w:w="0" w:type="auto"/>
              <w:tblLook w:val="0000" w:firstRow="0" w:lastRow="0" w:firstColumn="0" w:lastColumn="0" w:noHBand="0" w:noVBand="0"/>
            </w:tblPr>
            <w:tblGrid>
              <w:gridCol w:w="4069"/>
            </w:tblGrid>
            <w:tr w:rsidR="002F3D96" w:rsidRPr="00A3133C" w:rsidTr="002F3D96">
              <w:trPr>
                <w:trHeight w:val="316"/>
              </w:trPr>
              <w:tc>
                <w:tcPr>
                  <w:tcW w:w="0" w:type="auto"/>
                  <w:tcBorders>
                    <w:top w:val="nil"/>
                    <w:left w:val="nil"/>
                    <w:bottom w:val="nil"/>
                    <w:right w:val="nil"/>
                  </w:tcBorders>
                </w:tcPr>
                <w:p w:rsidR="002F3D96" w:rsidRPr="00A3133C" w:rsidRDefault="002F3D96" w:rsidP="00A3133C">
                  <w:pPr>
                    <w:widowControl w:val="0"/>
                    <w:shd w:val="clear" w:color="000000" w:fill="auto"/>
                    <w:autoSpaceDE w:val="0"/>
                    <w:autoSpaceDN w:val="0"/>
                    <w:adjustRightInd w:val="0"/>
                    <w:spacing w:after="0" w:line="360" w:lineRule="auto"/>
                    <w:rPr>
                      <w:rFonts w:ascii="Times New Roman" w:hAnsi="Times New Roman"/>
                      <w:sz w:val="20"/>
                      <w:szCs w:val="24"/>
                    </w:rPr>
                  </w:pPr>
                  <w:r w:rsidRPr="00A3133C">
                    <w:rPr>
                      <w:rFonts w:ascii="Times New Roman" w:hAnsi="Times New Roman"/>
                      <w:sz w:val="20"/>
                      <w:szCs w:val="24"/>
                    </w:rPr>
                    <w:t xml:space="preserve">4. Показатели трудового потенциала региона </w:t>
                  </w:r>
                </w:p>
              </w:tc>
            </w:tr>
          </w:tbl>
          <w:p w:rsidR="002F3D96" w:rsidRPr="00A3483E" w:rsidRDefault="002F3D96" w:rsidP="00A3483E">
            <w:pPr>
              <w:widowControl w:val="0"/>
              <w:shd w:val="clear" w:color="000000" w:fill="auto"/>
              <w:spacing w:after="0" w:line="360" w:lineRule="auto"/>
              <w:rPr>
                <w:rFonts w:ascii="Times New Roman" w:hAnsi="Times New Roman"/>
                <w:sz w:val="20"/>
                <w:szCs w:val="28"/>
              </w:rPr>
            </w:pPr>
          </w:p>
        </w:tc>
      </w:tr>
      <w:tr w:rsidR="00513A7F" w:rsidRPr="00A3483E" w:rsidTr="00A3483E">
        <w:trPr>
          <w:trHeight w:val="23"/>
        </w:trPr>
        <w:tc>
          <w:tcPr>
            <w:tcW w:w="0" w:type="auto"/>
            <w:shd w:val="clear" w:color="auto" w:fill="auto"/>
          </w:tcPr>
          <w:p w:rsidR="00513A7F" w:rsidRPr="00A3483E" w:rsidRDefault="002F3D96" w:rsidP="00A3483E">
            <w:pPr>
              <w:widowControl w:val="0"/>
              <w:shd w:val="clear" w:color="000000" w:fill="auto"/>
              <w:spacing w:after="0" w:line="360" w:lineRule="auto"/>
              <w:rPr>
                <w:rFonts w:ascii="Times New Roman" w:hAnsi="Times New Roman"/>
                <w:sz w:val="20"/>
                <w:szCs w:val="24"/>
              </w:rPr>
            </w:pPr>
            <w:r w:rsidRPr="00A3483E">
              <w:rPr>
                <w:rFonts w:ascii="Times New Roman" w:hAnsi="Times New Roman"/>
                <w:sz w:val="20"/>
                <w:szCs w:val="24"/>
              </w:rPr>
              <w:t>1</w:t>
            </w:r>
            <w:r w:rsidR="00F42500" w:rsidRPr="00A3483E">
              <w:rPr>
                <w:rFonts w:ascii="Times New Roman" w:hAnsi="Times New Roman"/>
                <w:sz w:val="20"/>
                <w:szCs w:val="24"/>
              </w:rPr>
              <w:t>3</w:t>
            </w:r>
          </w:p>
        </w:tc>
        <w:tc>
          <w:tcPr>
            <w:tcW w:w="2802" w:type="dxa"/>
            <w:shd w:val="clear" w:color="auto" w:fill="auto"/>
          </w:tcPr>
          <w:p w:rsidR="00513A7F" w:rsidRPr="00A3483E" w:rsidRDefault="00E11B1F" w:rsidP="00A3483E">
            <w:pPr>
              <w:widowControl w:val="0"/>
              <w:shd w:val="clear" w:color="000000" w:fill="auto"/>
              <w:spacing w:after="0" w:line="360" w:lineRule="auto"/>
              <w:rPr>
                <w:rFonts w:ascii="Times New Roman" w:hAnsi="Times New Roman"/>
                <w:sz w:val="20"/>
                <w:szCs w:val="24"/>
              </w:rPr>
            </w:pPr>
            <w:r w:rsidRPr="00A3483E">
              <w:rPr>
                <w:rFonts w:ascii="Times New Roman" w:hAnsi="Times New Roman"/>
                <w:sz w:val="20"/>
                <w:szCs w:val="24"/>
              </w:rPr>
              <w:t>Уровень обеспеченности трудовыми ресурсами</w:t>
            </w:r>
          </w:p>
        </w:tc>
        <w:tc>
          <w:tcPr>
            <w:tcW w:w="4477" w:type="dxa"/>
            <w:shd w:val="clear" w:color="auto" w:fill="auto"/>
          </w:tcPr>
          <w:p w:rsidR="00513A7F" w:rsidRPr="00A3483E" w:rsidRDefault="00E11B1F" w:rsidP="00A3483E">
            <w:pPr>
              <w:widowControl w:val="0"/>
              <w:shd w:val="clear" w:color="000000" w:fill="auto"/>
              <w:spacing w:after="0" w:line="360" w:lineRule="auto"/>
              <w:rPr>
                <w:rFonts w:ascii="Times New Roman" w:hAnsi="Times New Roman"/>
                <w:sz w:val="20"/>
                <w:szCs w:val="24"/>
              </w:rPr>
            </w:pPr>
            <w:r w:rsidRPr="00A3483E">
              <w:rPr>
                <w:rFonts w:ascii="Times New Roman" w:hAnsi="Times New Roman"/>
                <w:sz w:val="20"/>
                <w:szCs w:val="24"/>
              </w:rPr>
              <w:t>Выпуск специалистов (человек на 10 тыс. жителей)</w:t>
            </w:r>
          </w:p>
        </w:tc>
      </w:tr>
      <w:tr w:rsidR="002F3D96" w:rsidRPr="00A3483E" w:rsidTr="00A3483E">
        <w:trPr>
          <w:trHeight w:val="23"/>
        </w:trPr>
        <w:tc>
          <w:tcPr>
            <w:tcW w:w="8222" w:type="dxa"/>
            <w:gridSpan w:val="3"/>
            <w:shd w:val="clear" w:color="auto" w:fill="auto"/>
          </w:tcPr>
          <w:tbl>
            <w:tblPr>
              <w:tblpPr w:leftFromText="180" w:rightFromText="180" w:vertAnchor="text" w:horzAnchor="margin" w:tblpXSpec="center" w:tblpY="-160"/>
              <w:tblOverlap w:val="never"/>
              <w:tblW w:w="0" w:type="auto"/>
              <w:tblLook w:val="0000" w:firstRow="0" w:lastRow="0" w:firstColumn="0" w:lastColumn="0" w:noHBand="0" w:noVBand="0"/>
            </w:tblPr>
            <w:tblGrid>
              <w:gridCol w:w="4885"/>
            </w:tblGrid>
            <w:tr w:rsidR="002F3D96" w:rsidRPr="00A3133C" w:rsidTr="002F3D96">
              <w:trPr>
                <w:trHeight w:val="316"/>
              </w:trPr>
              <w:tc>
                <w:tcPr>
                  <w:tcW w:w="0" w:type="auto"/>
                  <w:tcBorders>
                    <w:top w:val="nil"/>
                    <w:left w:val="nil"/>
                    <w:bottom w:val="nil"/>
                    <w:right w:val="nil"/>
                  </w:tcBorders>
                </w:tcPr>
                <w:p w:rsidR="002F3D96" w:rsidRPr="00A3133C" w:rsidRDefault="002F3D96" w:rsidP="00A3133C">
                  <w:pPr>
                    <w:widowControl w:val="0"/>
                    <w:shd w:val="clear" w:color="000000" w:fill="auto"/>
                    <w:autoSpaceDE w:val="0"/>
                    <w:autoSpaceDN w:val="0"/>
                    <w:adjustRightInd w:val="0"/>
                    <w:spacing w:after="0" w:line="360" w:lineRule="auto"/>
                    <w:rPr>
                      <w:rFonts w:ascii="Times New Roman" w:hAnsi="Times New Roman"/>
                      <w:sz w:val="20"/>
                      <w:szCs w:val="24"/>
                    </w:rPr>
                  </w:pPr>
                  <w:r w:rsidRPr="00A3133C">
                    <w:rPr>
                      <w:rFonts w:ascii="Times New Roman" w:hAnsi="Times New Roman"/>
                      <w:sz w:val="20"/>
                      <w:szCs w:val="24"/>
                    </w:rPr>
                    <w:t xml:space="preserve">5. Показатели инфраструктурного потенциала региона </w:t>
                  </w:r>
                </w:p>
              </w:tc>
            </w:tr>
          </w:tbl>
          <w:p w:rsidR="002F3D96" w:rsidRPr="00A3483E" w:rsidRDefault="002F3D96" w:rsidP="00A3483E">
            <w:pPr>
              <w:widowControl w:val="0"/>
              <w:shd w:val="clear" w:color="000000" w:fill="auto"/>
              <w:spacing w:after="0" w:line="360" w:lineRule="auto"/>
              <w:rPr>
                <w:rFonts w:ascii="Times New Roman" w:hAnsi="Times New Roman"/>
                <w:sz w:val="20"/>
                <w:szCs w:val="28"/>
              </w:rPr>
            </w:pPr>
          </w:p>
        </w:tc>
      </w:tr>
      <w:tr w:rsidR="00513A7F" w:rsidRPr="00A3483E" w:rsidTr="00A3483E">
        <w:trPr>
          <w:trHeight w:val="23"/>
        </w:trPr>
        <w:tc>
          <w:tcPr>
            <w:tcW w:w="0" w:type="auto"/>
            <w:shd w:val="clear" w:color="auto" w:fill="auto"/>
          </w:tcPr>
          <w:p w:rsidR="00513A7F" w:rsidRPr="00A3483E" w:rsidRDefault="00195162" w:rsidP="00A3483E">
            <w:pPr>
              <w:widowControl w:val="0"/>
              <w:shd w:val="clear" w:color="000000" w:fill="auto"/>
              <w:spacing w:after="0" w:line="360" w:lineRule="auto"/>
              <w:rPr>
                <w:rFonts w:ascii="Times New Roman" w:hAnsi="Times New Roman"/>
                <w:sz w:val="20"/>
                <w:szCs w:val="24"/>
              </w:rPr>
            </w:pPr>
            <w:r w:rsidRPr="00A3483E">
              <w:rPr>
                <w:rFonts w:ascii="Times New Roman" w:hAnsi="Times New Roman"/>
                <w:sz w:val="20"/>
                <w:szCs w:val="24"/>
              </w:rPr>
              <w:t>1</w:t>
            </w:r>
            <w:r w:rsidR="00F42500" w:rsidRPr="00A3483E">
              <w:rPr>
                <w:rFonts w:ascii="Times New Roman" w:hAnsi="Times New Roman"/>
                <w:sz w:val="20"/>
                <w:szCs w:val="24"/>
              </w:rPr>
              <w:t>4</w:t>
            </w:r>
          </w:p>
        </w:tc>
        <w:tc>
          <w:tcPr>
            <w:tcW w:w="2802" w:type="dxa"/>
            <w:shd w:val="clear" w:color="auto" w:fill="auto"/>
          </w:tcPr>
          <w:p w:rsidR="00513A7F" w:rsidRPr="00A3483E" w:rsidRDefault="00E11B1F" w:rsidP="00A3483E">
            <w:pPr>
              <w:widowControl w:val="0"/>
              <w:shd w:val="clear" w:color="000000" w:fill="auto"/>
              <w:spacing w:after="0" w:line="360" w:lineRule="auto"/>
              <w:rPr>
                <w:rFonts w:ascii="Times New Roman" w:hAnsi="Times New Roman"/>
                <w:sz w:val="20"/>
                <w:szCs w:val="24"/>
              </w:rPr>
            </w:pPr>
            <w:r w:rsidRPr="00A3483E">
              <w:rPr>
                <w:rFonts w:ascii="Times New Roman" w:hAnsi="Times New Roman"/>
                <w:sz w:val="20"/>
                <w:szCs w:val="24"/>
              </w:rPr>
              <w:t>Уровень развития социаль-ной инфраструктуры региона</w:t>
            </w:r>
          </w:p>
        </w:tc>
        <w:tc>
          <w:tcPr>
            <w:tcW w:w="4477" w:type="dxa"/>
            <w:shd w:val="clear" w:color="auto" w:fill="auto"/>
          </w:tcPr>
          <w:p w:rsidR="00513A7F" w:rsidRPr="00A3483E" w:rsidRDefault="00E11B1F" w:rsidP="00A3483E">
            <w:pPr>
              <w:widowControl w:val="0"/>
              <w:shd w:val="clear" w:color="000000" w:fill="auto"/>
              <w:spacing w:after="0" w:line="360" w:lineRule="auto"/>
              <w:rPr>
                <w:rFonts w:ascii="Times New Roman" w:hAnsi="Times New Roman"/>
                <w:sz w:val="20"/>
                <w:szCs w:val="24"/>
              </w:rPr>
            </w:pPr>
            <w:r w:rsidRPr="00A3483E">
              <w:rPr>
                <w:rFonts w:ascii="Times New Roman" w:hAnsi="Times New Roman"/>
                <w:sz w:val="20"/>
                <w:szCs w:val="24"/>
              </w:rPr>
              <w:t>Сводный показатель уровня развития отраслей социальной инфраструктуры</w:t>
            </w:r>
          </w:p>
        </w:tc>
      </w:tr>
      <w:tr w:rsidR="00195162" w:rsidRPr="00A3483E" w:rsidTr="00A3483E">
        <w:trPr>
          <w:trHeight w:val="23"/>
        </w:trPr>
        <w:tc>
          <w:tcPr>
            <w:tcW w:w="8222" w:type="dxa"/>
            <w:gridSpan w:val="3"/>
            <w:shd w:val="clear" w:color="auto" w:fill="auto"/>
          </w:tcPr>
          <w:tbl>
            <w:tblPr>
              <w:tblpPr w:leftFromText="180" w:rightFromText="180" w:vertAnchor="text" w:horzAnchor="margin" w:tblpXSpec="center" w:tblpY="-182"/>
              <w:tblOverlap w:val="never"/>
              <w:tblW w:w="0" w:type="auto"/>
              <w:tblLook w:val="0000" w:firstRow="0" w:lastRow="0" w:firstColumn="0" w:lastColumn="0" w:noHBand="0" w:noVBand="0"/>
            </w:tblPr>
            <w:tblGrid>
              <w:gridCol w:w="4730"/>
            </w:tblGrid>
            <w:tr w:rsidR="00195162" w:rsidRPr="00A3133C" w:rsidTr="00195162">
              <w:trPr>
                <w:trHeight w:val="316"/>
              </w:trPr>
              <w:tc>
                <w:tcPr>
                  <w:tcW w:w="0" w:type="auto"/>
                  <w:tcBorders>
                    <w:top w:val="nil"/>
                    <w:left w:val="nil"/>
                    <w:bottom w:val="nil"/>
                    <w:right w:val="nil"/>
                  </w:tcBorders>
                </w:tcPr>
                <w:p w:rsidR="00195162" w:rsidRPr="00A3133C" w:rsidRDefault="00195162" w:rsidP="00A3133C">
                  <w:pPr>
                    <w:widowControl w:val="0"/>
                    <w:shd w:val="clear" w:color="000000" w:fill="auto"/>
                    <w:autoSpaceDE w:val="0"/>
                    <w:autoSpaceDN w:val="0"/>
                    <w:adjustRightInd w:val="0"/>
                    <w:spacing w:after="0" w:line="360" w:lineRule="auto"/>
                    <w:rPr>
                      <w:rFonts w:ascii="Times New Roman" w:hAnsi="Times New Roman"/>
                      <w:sz w:val="20"/>
                      <w:szCs w:val="24"/>
                    </w:rPr>
                  </w:pPr>
                  <w:r w:rsidRPr="00A3133C">
                    <w:rPr>
                      <w:rFonts w:ascii="Times New Roman" w:hAnsi="Times New Roman"/>
                      <w:sz w:val="20"/>
                      <w:szCs w:val="24"/>
                    </w:rPr>
                    <w:t xml:space="preserve">6. Показатели потребительского потенциала региона </w:t>
                  </w:r>
                </w:p>
              </w:tc>
            </w:tr>
          </w:tbl>
          <w:p w:rsidR="00195162" w:rsidRPr="00A3483E" w:rsidRDefault="00195162" w:rsidP="00A3483E">
            <w:pPr>
              <w:widowControl w:val="0"/>
              <w:shd w:val="clear" w:color="000000" w:fill="auto"/>
              <w:spacing w:after="0" w:line="360" w:lineRule="auto"/>
              <w:rPr>
                <w:rFonts w:ascii="Times New Roman" w:hAnsi="Times New Roman"/>
                <w:sz w:val="20"/>
                <w:szCs w:val="28"/>
              </w:rPr>
            </w:pPr>
          </w:p>
        </w:tc>
      </w:tr>
      <w:tr w:rsidR="00513A7F" w:rsidRPr="00A3483E" w:rsidTr="00A3483E">
        <w:trPr>
          <w:trHeight w:val="23"/>
        </w:trPr>
        <w:tc>
          <w:tcPr>
            <w:tcW w:w="0" w:type="auto"/>
            <w:shd w:val="clear" w:color="auto" w:fill="auto"/>
          </w:tcPr>
          <w:p w:rsidR="00513A7F" w:rsidRPr="00A3483E" w:rsidRDefault="00195162" w:rsidP="00A3483E">
            <w:pPr>
              <w:widowControl w:val="0"/>
              <w:shd w:val="clear" w:color="000000" w:fill="auto"/>
              <w:spacing w:after="0" w:line="360" w:lineRule="auto"/>
              <w:rPr>
                <w:rFonts w:ascii="Times New Roman" w:hAnsi="Times New Roman"/>
                <w:sz w:val="20"/>
                <w:szCs w:val="24"/>
              </w:rPr>
            </w:pPr>
            <w:r w:rsidRPr="00A3483E">
              <w:rPr>
                <w:rFonts w:ascii="Times New Roman" w:hAnsi="Times New Roman"/>
                <w:sz w:val="20"/>
                <w:szCs w:val="24"/>
              </w:rPr>
              <w:t>1</w:t>
            </w:r>
            <w:r w:rsidR="00F42500" w:rsidRPr="00A3483E">
              <w:rPr>
                <w:rFonts w:ascii="Times New Roman" w:hAnsi="Times New Roman"/>
                <w:sz w:val="20"/>
                <w:szCs w:val="24"/>
              </w:rPr>
              <w:t>5</w:t>
            </w:r>
          </w:p>
        </w:tc>
        <w:tc>
          <w:tcPr>
            <w:tcW w:w="2802" w:type="dxa"/>
            <w:shd w:val="clear" w:color="auto" w:fill="auto"/>
          </w:tcPr>
          <w:p w:rsidR="00513A7F" w:rsidRPr="00A3483E" w:rsidRDefault="00E11B1F" w:rsidP="00A3483E">
            <w:pPr>
              <w:widowControl w:val="0"/>
              <w:shd w:val="clear" w:color="000000" w:fill="auto"/>
              <w:spacing w:after="0" w:line="360" w:lineRule="auto"/>
              <w:rPr>
                <w:rFonts w:ascii="Times New Roman" w:hAnsi="Times New Roman"/>
                <w:sz w:val="20"/>
                <w:szCs w:val="24"/>
              </w:rPr>
            </w:pPr>
            <w:r w:rsidRPr="00A3483E">
              <w:rPr>
                <w:rFonts w:ascii="Times New Roman" w:hAnsi="Times New Roman"/>
                <w:sz w:val="20"/>
                <w:szCs w:val="24"/>
              </w:rPr>
              <w:t>Объем спроса на промышленную и с/х продукцию</w:t>
            </w:r>
          </w:p>
        </w:tc>
        <w:tc>
          <w:tcPr>
            <w:tcW w:w="4477" w:type="dxa"/>
            <w:shd w:val="clear" w:color="auto" w:fill="auto"/>
          </w:tcPr>
          <w:p w:rsidR="00513A7F" w:rsidRPr="00A3483E" w:rsidRDefault="00E11B1F" w:rsidP="00A3483E">
            <w:pPr>
              <w:widowControl w:val="0"/>
              <w:shd w:val="clear" w:color="000000" w:fill="auto"/>
              <w:spacing w:after="0" w:line="360" w:lineRule="auto"/>
              <w:rPr>
                <w:rFonts w:ascii="Times New Roman" w:hAnsi="Times New Roman"/>
                <w:sz w:val="20"/>
                <w:szCs w:val="24"/>
              </w:rPr>
            </w:pPr>
            <w:r w:rsidRPr="00A3483E">
              <w:rPr>
                <w:rFonts w:ascii="Times New Roman" w:hAnsi="Times New Roman"/>
                <w:sz w:val="20"/>
                <w:szCs w:val="24"/>
              </w:rPr>
              <w:t>Спрос на промышленную и с/х продукцию на душу населения</w:t>
            </w:r>
          </w:p>
        </w:tc>
      </w:tr>
      <w:tr w:rsidR="00513A7F" w:rsidRPr="00A3483E" w:rsidTr="00A3483E">
        <w:trPr>
          <w:trHeight w:val="23"/>
        </w:trPr>
        <w:tc>
          <w:tcPr>
            <w:tcW w:w="0" w:type="auto"/>
            <w:shd w:val="clear" w:color="auto" w:fill="auto"/>
          </w:tcPr>
          <w:p w:rsidR="00513A7F" w:rsidRPr="00A3483E" w:rsidRDefault="00195162" w:rsidP="00A3483E">
            <w:pPr>
              <w:widowControl w:val="0"/>
              <w:shd w:val="clear" w:color="000000" w:fill="auto"/>
              <w:spacing w:after="0" w:line="360" w:lineRule="auto"/>
              <w:rPr>
                <w:rFonts w:ascii="Times New Roman" w:hAnsi="Times New Roman"/>
                <w:sz w:val="20"/>
                <w:szCs w:val="24"/>
              </w:rPr>
            </w:pPr>
            <w:r w:rsidRPr="00A3483E">
              <w:rPr>
                <w:rFonts w:ascii="Times New Roman" w:hAnsi="Times New Roman"/>
                <w:sz w:val="20"/>
                <w:szCs w:val="24"/>
              </w:rPr>
              <w:t>1</w:t>
            </w:r>
            <w:r w:rsidR="00F42500" w:rsidRPr="00A3483E">
              <w:rPr>
                <w:rFonts w:ascii="Times New Roman" w:hAnsi="Times New Roman"/>
                <w:sz w:val="20"/>
                <w:szCs w:val="24"/>
              </w:rPr>
              <w:t>6</w:t>
            </w:r>
          </w:p>
        </w:tc>
        <w:tc>
          <w:tcPr>
            <w:tcW w:w="2802" w:type="dxa"/>
            <w:shd w:val="clear" w:color="auto" w:fill="auto"/>
          </w:tcPr>
          <w:p w:rsidR="00513A7F" w:rsidRPr="00A3483E" w:rsidRDefault="00E11B1F" w:rsidP="00A3483E">
            <w:pPr>
              <w:widowControl w:val="0"/>
              <w:shd w:val="clear" w:color="000000" w:fill="auto"/>
              <w:spacing w:after="0" w:line="360" w:lineRule="auto"/>
              <w:rPr>
                <w:rFonts w:ascii="Times New Roman" w:hAnsi="Times New Roman"/>
                <w:sz w:val="20"/>
                <w:szCs w:val="24"/>
              </w:rPr>
            </w:pPr>
            <w:r w:rsidRPr="00A3483E">
              <w:rPr>
                <w:rFonts w:ascii="Times New Roman" w:hAnsi="Times New Roman"/>
                <w:sz w:val="20"/>
                <w:szCs w:val="24"/>
              </w:rPr>
              <w:t>Структура расходов населения</w:t>
            </w:r>
          </w:p>
        </w:tc>
        <w:tc>
          <w:tcPr>
            <w:tcW w:w="4477" w:type="dxa"/>
            <w:shd w:val="clear" w:color="auto" w:fill="auto"/>
          </w:tcPr>
          <w:p w:rsidR="00513A7F" w:rsidRPr="00A3483E" w:rsidRDefault="00E11B1F" w:rsidP="00A3483E">
            <w:pPr>
              <w:widowControl w:val="0"/>
              <w:shd w:val="clear" w:color="000000" w:fill="auto"/>
              <w:spacing w:after="0" w:line="360" w:lineRule="auto"/>
              <w:rPr>
                <w:rFonts w:ascii="Times New Roman" w:hAnsi="Times New Roman"/>
                <w:sz w:val="20"/>
                <w:szCs w:val="24"/>
              </w:rPr>
            </w:pPr>
            <w:r w:rsidRPr="00A3483E">
              <w:rPr>
                <w:rFonts w:ascii="Times New Roman" w:hAnsi="Times New Roman"/>
                <w:sz w:val="20"/>
                <w:szCs w:val="24"/>
              </w:rPr>
              <w:t>Расходы на приобретение промышленной и с/х продукции</w:t>
            </w:r>
          </w:p>
        </w:tc>
      </w:tr>
      <w:tr w:rsidR="00195162" w:rsidRPr="00A3483E" w:rsidTr="00A3483E">
        <w:trPr>
          <w:trHeight w:val="23"/>
        </w:trPr>
        <w:tc>
          <w:tcPr>
            <w:tcW w:w="8222" w:type="dxa"/>
            <w:gridSpan w:val="3"/>
            <w:shd w:val="clear" w:color="auto" w:fill="auto"/>
          </w:tcPr>
          <w:tbl>
            <w:tblPr>
              <w:tblpPr w:leftFromText="180" w:rightFromText="180" w:vertAnchor="text" w:horzAnchor="margin" w:tblpY="138"/>
              <w:tblOverlap w:val="never"/>
              <w:tblW w:w="0" w:type="auto"/>
              <w:tblLook w:val="0000" w:firstRow="0" w:lastRow="0" w:firstColumn="0" w:lastColumn="0" w:noHBand="0" w:noVBand="0"/>
            </w:tblPr>
            <w:tblGrid>
              <w:gridCol w:w="8006"/>
            </w:tblGrid>
            <w:tr w:rsidR="00195162" w:rsidRPr="00A3133C" w:rsidTr="00195162">
              <w:trPr>
                <w:trHeight w:val="674"/>
              </w:trPr>
              <w:tc>
                <w:tcPr>
                  <w:tcW w:w="0" w:type="auto"/>
                  <w:tcBorders>
                    <w:top w:val="nil"/>
                    <w:left w:val="nil"/>
                    <w:bottom w:val="nil"/>
                    <w:right w:val="nil"/>
                  </w:tcBorders>
                </w:tcPr>
                <w:p w:rsidR="00195162" w:rsidRPr="00A3133C" w:rsidRDefault="00195162" w:rsidP="00A3133C">
                  <w:pPr>
                    <w:pStyle w:val="aa"/>
                    <w:widowControl w:val="0"/>
                    <w:shd w:val="clear" w:color="000000" w:fill="auto"/>
                    <w:spacing w:line="360" w:lineRule="auto"/>
                    <w:rPr>
                      <w:sz w:val="20"/>
                    </w:rPr>
                  </w:pPr>
                  <w:r w:rsidRPr="00A3133C">
                    <w:rPr>
                      <w:sz w:val="20"/>
                    </w:rPr>
                    <w:t xml:space="preserve">Б. Показатели, определяющие уровень социально-политической, экологической и экономической безопасности для инвесторов </w:t>
                  </w:r>
                </w:p>
              </w:tc>
            </w:tr>
          </w:tbl>
          <w:p w:rsidR="00195162" w:rsidRPr="00A3483E" w:rsidRDefault="00195162" w:rsidP="00A3483E">
            <w:pPr>
              <w:widowControl w:val="0"/>
              <w:shd w:val="clear" w:color="000000" w:fill="auto"/>
              <w:spacing w:after="0" w:line="360" w:lineRule="auto"/>
              <w:rPr>
                <w:rFonts w:ascii="Times New Roman" w:hAnsi="Times New Roman"/>
                <w:sz w:val="20"/>
                <w:szCs w:val="28"/>
              </w:rPr>
            </w:pPr>
          </w:p>
        </w:tc>
      </w:tr>
      <w:tr w:rsidR="00513A7F" w:rsidRPr="00A3483E" w:rsidTr="00A3483E">
        <w:trPr>
          <w:trHeight w:val="23"/>
        </w:trPr>
        <w:tc>
          <w:tcPr>
            <w:tcW w:w="0" w:type="auto"/>
            <w:shd w:val="clear" w:color="auto" w:fill="auto"/>
          </w:tcPr>
          <w:p w:rsidR="00513A7F" w:rsidRPr="00A3483E" w:rsidRDefault="00195162" w:rsidP="00A3483E">
            <w:pPr>
              <w:widowControl w:val="0"/>
              <w:shd w:val="clear" w:color="000000" w:fill="auto"/>
              <w:spacing w:after="0" w:line="360" w:lineRule="auto"/>
              <w:rPr>
                <w:rFonts w:ascii="Times New Roman" w:hAnsi="Times New Roman"/>
                <w:sz w:val="20"/>
                <w:szCs w:val="24"/>
              </w:rPr>
            </w:pPr>
            <w:r w:rsidRPr="00A3483E">
              <w:rPr>
                <w:rFonts w:ascii="Times New Roman" w:hAnsi="Times New Roman"/>
                <w:sz w:val="20"/>
                <w:szCs w:val="24"/>
              </w:rPr>
              <w:t>1</w:t>
            </w:r>
            <w:r w:rsidR="00F42500" w:rsidRPr="00A3483E">
              <w:rPr>
                <w:rFonts w:ascii="Times New Roman" w:hAnsi="Times New Roman"/>
                <w:sz w:val="20"/>
                <w:szCs w:val="24"/>
              </w:rPr>
              <w:t>7</w:t>
            </w:r>
          </w:p>
        </w:tc>
        <w:tc>
          <w:tcPr>
            <w:tcW w:w="2802" w:type="dxa"/>
            <w:shd w:val="clear" w:color="auto" w:fill="auto"/>
          </w:tcPr>
          <w:p w:rsidR="00513A7F" w:rsidRPr="00A3483E" w:rsidRDefault="00E11B1F" w:rsidP="00A3483E">
            <w:pPr>
              <w:widowControl w:val="0"/>
              <w:shd w:val="clear" w:color="000000" w:fill="auto"/>
              <w:spacing w:after="0" w:line="360" w:lineRule="auto"/>
              <w:rPr>
                <w:rFonts w:ascii="Times New Roman" w:hAnsi="Times New Roman"/>
                <w:sz w:val="20"/>
                <w:szCs w:val="24"/>
              </w:rPr>
            </w:pPr>
            <w:r w:rsidRPr="00A3483E">
              <w:rPr>
                <w:rFonts w:ascii="Times New Roman" w:hAnsi="Times New Roman"/>
                <w:sz w:val="20"/>
                <w:szCs w:val="24"/>
              </w:rPr>
              <w:t>Уровень политической стабильности в регионе</w:t>
            </w:r>
          </w:p>
        </w:tc>
        <w:tc>
          <w:tcPr>
            <w:tcW w:w="4477" w:type="dxa"/>
            <w:shd w:val="clear" w:color="auto" w:fill="auto"/>
          </w:tcPr>
          <w:p w:rsidR="00513A7F" w:rsidRPr="00A3483E" w:rsidRDefault="00E11B1F" w:rsidP="00A3483E">
            <w:pPr>
              <w:widowControl w:val="0"/>
              <w:shd w:val="clear" w:color="000000" w:fill="auto"/>
              <w:spacing w:after="0" w:line="360" w:lineRule="auto"/>
              <w:rPr>
                <w:rFonts w:ascii="Times New Roman" w:hAnsi="Times New Roman"/>
                <w:sz w:val="20"/>
                <w:szCs w:val="24"/>
              </w:rPr>
            </w:pPr>
            <w:r w:rsidRPr="00A3483E">
              <w:rPr>
                <w:rFonts w:ascii="Times New Roman" w:hAnsi="Times New Roman"/>
                <w:sz w:val="20"/>
                <w:szCs w:val="24"/>
              </w:rPr>
              <w:t>По всем регионам России, кроме республик Северного Кавказа и Ставропольского края, принимается на уровне 1,0; по вышеназванным регионам Северного Кавказа дифференцированные бальные отрицательные значения (-1,0).</w:t>
            </w:r>
          </w:p>
        </w:tc>
      </w:tr>
      <w:tr w:rsidR="00513A7F" w:rsidRPr="00A3483E" w:rsidTr="00A3483E">
        <w:trPr>
          <w:trHeight w:val="23"/>
        </w:trPr>
        <w:tc>
          <w:tcPr>
            <w:tcW w:w="0" w:type="auto"/>
            <w:shd w:val="clear" w:color="auto" w:fill="auto"/>
          </w:tcPr>
          <w:p w:rsidR="00513A7F" w:rsidRPr="00A3483E" w:rsidRDefault="00195162" w:rsidP="00A3483E">
            <w:pPr>
              <w:widowControl w:val="0"/>
              <w:shd w:val="clear" w:color="000000" w:fill="auto"/>
              <w:spacing w:after="0" w:line="360" w:lineRule="auto"/>
              <w:rPr>
                <w:rFonts w:ascii="Times New Roman" w:hAnsi="Times New Roman"/>
                <w:sz w:val="20"/>
                <w:szCs w:val="24"/>
              </w:rPr>
            </w:pPr>
            <w:r w:rsidRPr="00A3483E">
              <w:rPr>
                <w:rFonts w:ascii="Times New Roman" w:hAnsi="Times New Roman"/>
                <w:sz w:val="20"/>
                <w:szCs w:val="24"/>
              </w:rPr>
              <w:t>1</w:t>
            </w:r>
            <w:r w:rsidR="00F42500" w:rsidRPr="00A3483E">
              <w:rPr>
                <w:rFonts w:ascii="Times New Roman" w:hAnsi="Times New Roman"/>
                <w:sz w:val="20"/>
                <w:szCs w:val="24"/>
              </w:rPr>
              <w:t>8</w:t>
            </w:r>
          </w:p>
        </w:tc>
        <w:tc>
          <w:tcPr>
            <w:tcW w:w="2802" w:type="dxa"/>
            <w:shd w:val="clear" w:color="auto" w:fill="auto"/>
          </w:tcPr>
          <w:p w:rsidR="00513A7F" w:rsidRPr="00A3483E" w:rsidRDefault="00E11B1F" w:rsidP="00A3483E">
            <w:pPr>
              <w:widowControl w:val="0"/>
              <w:shd w:val="clear" w:color="000000" w:fill="auto"/>
              <w:spacing w:after="0" w:line="360" w:lineRule="auto"/>
              <w:rPr>
                <w:rFonts w:ascii="Times New Roman" w:hAnsi="Times New Roman"/>
                <w:sz w:val="20"/>
                <w:szCs w:val="24"/>
              </w:rPr>
            </w:pPr>
            <w:r w:rsidRPr="00A3483E">
              <w:rPr>
                <w:rFonts w:ascii="Times New Roman" w:hAnsi="Times New Roman"/>
                <w:sz w:val="20"/>
                <w:szCs w:val="24"/>
              </w:rPr>
              <w:t>Уровень преступности</w:t>
            </w:r>
          </w:p>
        </w:tc>
        <w:tc>
          <w:tcPr>
            <w:tcW w:w="4477" w:type="dxa"/>
            <w:shd w:val="clear" w:color="auto" w:fill="auto"/>
          </w:tcPr>
          <w:p w:rsidR="00513A7F" w:rsidRPr="00A3483E" w:rsidRDefault="00E11B1F" w:rsidP="00A3483E">
            <w:pPr>
              <w:widowControl w:val="0"/>
              <w:shd w:val="clear" w:color="000000" w:fill="auto"/>
              <w:spacing w:after="0" w:line="360" w:lineRule="auto"/>
              <w:rPr>
                <w:rFonts w:ascii="Times New Roman" w:hAnsi="Times New Roman"/>
                <w:sz w:val="20"/>
                <w:szCs w:val="24"/>
              </w:rPr>
            </w:pPr>
            <w:r w:rsidRPr="00A3483E">
              <w:rPr>
                <w:rFonts w:ascii="Times New Roman" w:hAnsi="Times New Roman"/>
                <w:sz w:val="20"/>
                <w:szCs w:val="24"/>
              </w:rPr>
              <w:t>Число зарегистрированных преступлений на 100 тыс. человек населения.</w:t>
            </w:r>
          </w:p>
        </w:tc>
      </w:tr>
      <w:tr w:rsidR="00513A7F" w:rsidRPr="00A3483E" w:rsidTr="00A3483E">
        <w:trPr>
          <w:trHeight w:val="23"/>
        </w:trPr>
        <w:tc>
          <w:tcPr>
            <w:tcW w:w="0" w:type="auto"/>
            <w:shd w:val="clear" w:color="auto" w:fill="auto"/>
          </w:tcPr>
          <w:p w:rsidR="00513A7F" w:rsidRPr="00A3483E" w:rsidRDefault="00195162" w:rsidP="00A3483E">
            <w:pPr>
              <w:widowControl w:val="0"/>
              <w:shd w:val="clear" w:color="000000" w:fill="auto"/>
              <w:spacing w:after="0" w:line="360" w:lineRule="auto"/>
              <w:rPr>
                <w:rFonts w:ascii="Times New Roman" w:hAnsi="Times New Roman"/>
                <w:sz w:val="20"/>
                <w:szCs w:val="24"/>
              </w:rPr>
            </w:pPr>
            <w:r w:rsidRPr="00A3483E">
              <w:rPr>
                <w:rFonts w:ascii="Times New Roman" w:hAnsi="Times New Roman"/>
                <w:sz w:val="20"/>
                <w:szCs w:val="24"/>
              </w:rPr>
              <w:t>1</w:t>
            </w:r>
            <w:r w:rsidR="00F42500" w:rsidRPr="00A3483E">
              <w:rPr>
                <w:rFonts w:ascii="Times New Roman" w:hAnsi="Times New Roman"/>
                <w:sz w:val="20"/>
                <w:szCs w:val="24"/>
              </w:rPr>
              <w:t>9</w:t>
            </w:r>
          </w:p>
        </w:tc>
        <w:tc>
          <w:tcPr>
            <w:tcW w:w="2802" w:type="dxa"/>
            <w:shd w:val="clear" w:color="auto" w:fill="auto"/>
          </w:tcPr>
          <w:p w:rsidR="00513A7F" w:rsidRPr="00A3483E" w:rsidRDefault="00E11B1F" w:rsidP="00A3483E">
            <w:pPr>
              <w:widowControl w:val="0"/>
              <w:shd w:val="clear" w:color="000000" w:fill="auto"/>
              <w:spacing w:after="0" w:line="360" w:lineRule="auto"/>
              <w:rPr>
                <w:rFonts w:ascii="Times New Roman" w:hAnsi="Times New Roman"/>
                <w:sz w:val="20"/>
                <w:szCs w:val="24"/>
              </w:rPr>
            </w:pPr>
            <w:r w:rsidRPr="00A3483E">
              <w:rPr>
                <w:rFonts w:ascii="Times New Roman" w:hAnsi="Times New Roman"/>
                <w:sz w:val="20"/>
                <w:szCs w:val="24"/>
              </w:rPr>
              <w:t>Уровень безработицы</w:t>
            </w:r>
          </w:p>
        </w:tc>
        <w:tc>
          <w:tcPr>
            <w:tcW w:w="4477" w:type="dxa"/>
            <w:shd w:val="clear" w:color="auto" w:fill="auto"/>
          </w:tcPr>
          <w:p w:rsidR="00513A7F" w:rsidRPr="00A3483E" w:rsidRDefault="00E11B1F" w:rsidP="00A3483E">
            <w:pPr>
              <w:widowControl w:val="0"/>
              <w:shd w:val="clear" w:color="000000" w:fill="auto"/>
              <w:spacing w:after="0" w:line="360" w:lineRule="auto"/>
              <w:rPr>
                <w:rFonts w:ascii="Times New Roman" w:hAnsi="Times New Roman"/>
                <w:sz w:val="20"/>
                <w:szCs w:val="24"/>
              </w:rPr>
            </w:pPr>
            <w:r w:rsidRPr="00A3483E">
              <w:rPr>
                <w:rFonts w:ascii="Times New Roman" w:hAnsi="Times New Roman"/>
                <w:sz w:val="20"/>
                <w:szCs w:val="24"/>
              </w:rPr>
              <w:t>Численность безработных в % к численности экономически активного населения</w:t>
            </w:r>
          </w:p>
        </w:tc>
      </w:tr>
      <w:tr w:rsidR="00513A7F" w:rsidRPr="00A3483E" w:rsidTr="00A3483E">
        <w:trPr>
          <w:trHeight w:val="23"/>
        </w:trPr>
        <w:tc>
          <w:tcPr>
            <w:tcW w:w="0" w:type="auto"/>
            <w:shd w:val="clear" w:color="auto" w:fill="auto"/>
          </w:tcPr>
          <w:p w:rsidR="00513A7F" w:rsidRPr="00A3483E" w:rsidRDefault="00F42500" w:rsidP="00A3483E">
            <w:pPr>
              <w:widowControl w:val="0"/>
              <w:shd w:val="clear" w:color="000000" w:fill="auto"/>
              <w:spacing w:after="0" w:line="360" w:lineRule="auto"/>
              <w:rPr>
                <w:rFonts w:ascii="Times New Roman" w:hAnsi="Times New Roman"/>
                <w:sz w:val="20"/>
                <w:szCs w:val="24"/>
              </w:rPr>
            </w:pPr>
            <w:r w:rsidRPr="00A3483E">
              <w:rPr>
                <w:rFonts w:ascii="Times New Roman" w:hAnsi="Times New Roman"/>
                <w:sz w:val="20"/>
                <w:szCs w:val="24"/>
              </w:rPr>
              <w:t>20</w:t>
            </w:r>
          </w:p>
        </w:tc>
        <w:tc>
          <w:tcPr>
            <w:tcW w:w="2802" w:type="dxa"/>
            <w:shd w:val="clear" w:color="auto" w:fill="auto"/>
          </w:tcPr>
          <w:p w:rsidR="00513A7F" w:rsidRPr="00A3483E" w:rsidRDefault="00E11B1F" w:rsidP="00A3483E">
            <w:pPr>
              <w:widowControl w:val="0"/>
              <w:shd w:val="clear" w:color="000000" w:fill="auto"/>
              <w:spacing w:after="0" w:line="360" w:lineRule="auto"/>
              <w:rPr>
                <w:rFonts w:ascii="Times New Roman" w:hAnsi="Times New Roman"/>
                <w:sz w:val="20"/>
                <w:szCs w:val="24"/>
              </w:rPr>
            </w:pPr>
            <w:r w:rsidRPr="00A3483E">
              <w:rPr>
                <w:rFonts w:ascii="Times New Roman" w:hAnsi="Times New Roman"/>
                <w:sz w:val="20"/>
                <w:szCs w:val="24"/>
              </w:rPr>
              <w:t>Доля малоимущего населения</w:t>
            </w:r>
          </w:p>
        </w:tc>
        <w:tc>
          <w:tcPr>
            <w:tcW w:w="4477" w:type="dxa"/>
            <w:shd w:val="clear" w:color="auto" w:fill="auto"/>
          </w:tcPr>
          <w:p w:rsidR="00513A7F" w:rsidRPr="00A3483E" w:rsidRDefault="00E11B1F" w:rsidP="00A3483E">
            <w:pPr>
              <w:widowControl w:val="0"/>
              <w:shd w:val="clear" w:color="000000" w:fill="auto"/>
              <w:spacing w:after="0" w:line="360" w:lineRule="auto"/>
              <w:rPr>
                <w:rFonts w:ascii="Times New Roman" w:hAnsi="Times New Roman"/>
                <w:sz w:val="20"/>
                <w:szCs w:val="24"/>
              </w:rPr>
            </w:pPr>
            <w:r w:rsidRPr="00A3483E">
              <w:rPr>
                <w:rFonts w:ascii="Times New Roman" w:hAnsi="Times New Roman"/>
                <w:sz w:val="20"/>
                <w:szCs w:val="24"/>
              </w:rPr>
              <w:t>Доля населения с доходами ниже величины прожиточного минимума</w:t>
            </w:r>
          </w:p>
        </w:tc>
      </w:tr>
      <w:tr w:rsidR="00513A7F" w:rsidRPr="00A3483E" w:rsidTr="00A3483E">
        <w:trPr>
          <w:trHeight w:val="23"/>
        </w:trPr>
        <w:tc>
          <w:tcPr>
            <w:tcW w:w="0" w:type="auto"/>
            <w:shd w:val="clear" w:color="auto" w:fill="auto"/>
          </w:tcPr>
          <w:p w:rsidR="00513A7F" w:rsidRPr="00A3483E" w:rsidRDefault="00F42500" w:rsidP="00A3483E">
            <w:pPr>
              <w:widowControl w:val="0"/>
              <w:shd w:val="clear" w:color="000000" w:fill="auto"/>
              <w:spacing w:after="0" w:line="360" w:lineRule="auto"/>
              <w:rPr>
                <w:rFonts w:ascii="Times New Roman" w:hAnsi="Times New Roman"/>
                <w:sz w:val="20"/>
                <w:szCs w:val="24"/>
              </w:rPr>
            </w:pPr>
            <w:r w:rsidRPr="00A3483E">
              <w:rPr>
                <w:rFonts w:ascii="Times New Roman" w:hAnsi="Times New Roman"/>
                <w:sz w:val="20"/>
                <w:szCs w:val="24"/>
              </w:rPr>
              <w:t>21</w:t>
            </w:r>
          </w:p>
        </w:tc>
        <w:tc>
          <w:tcPr>
            <w:tcW w:w="2802" w:type="dxa"/>
            <w:shd w:val="clear" w:color="auto" w:fill="auto"/>
          </w:tcPr>
          <w:p w:rsidR="00513A7F" w:rsidRPr="00A3483E" w:rsidRDefault="00E11B1F" w:rsidP="00A3483E">
            <w:pPr>
              <w:widowControl w:val="0"/>
              <w:shd w:val="clear" w:color="000000" w:fill="auto"/>
              <w:spacing w:after="0" w:line="360" w:lineRule="auto"/>
              <w:rPr>
                <w:rFonts w:ascii="Times New Roman" w:hAnsi="Times New Roman"/>
                <w:sz w:val="20"/>
                <w:szCs w:val="24"/>
              </w:rPr>
            </w:pPr>
            <w:r w:rsidRPr="00A3483E">
              <w:rPr>
                <w:rFonts w:ascii="Times New Roman" w:hAnsi="Times New Roman"/>
                <w:sz w:val="20"/>
                <w:szCs w:val="24"/>
              </w:rPr>
              <w:t>Уровень экологического риска</w:t>
            </w:r>
          </w:p>
        </w:tc>
        <w:tc>
          <w:tcPr>
            <w:tcW w:w="4477" w:type="dxa"/>
            <w:shd w:val="clear" w:color="auto" w:fill="auto"/>
          </w:tcPr>
          <w:p w:rsidR="00513A7F" w:rsidRPr="00A3483E" w:rsidRDefault="00E11B1F" w:rsidP="00A3483E">
            <w:pPr>
              <w:widowControl w:val="0"/>
              <w:shd w:val="clear" w:color="000000" w:fill="auto"/>
              <w:spacing w:after="0" w:line="360" w:lineRule="auto"/>
              <w:rPr>
                <w:rFonts w:ascii="Times New Roman" w:hAnsi="Times New Roman"/>
                <w:sz w:val="20"/>
                <w:szCs w:val="24"/>
              </w:rPr>
            </w:pPr>
            <w:r w:rsidRPr="00A3483E">
              <w:rPr>
                <w:rFonts w:ascii="Times New Roman" w:hAnsi="Times New Roman"/>
                <w:sz w:val="20"/>
                <w:szCs w:val="24"/>
              </w:rPr>
              <w:t>Выбросы загрязняющих веществ в атмосферу от стационарных источников</w:t>
            </w:r>
          </w:p>
        </w:tc>
      </w:tr>
    </w:tbl>
    <w:p w:rsidR="00A3133C" w:rsidRDefault="00A3133C">
      <w:pPr>
        <w:rPr>
          <w:rFonts w:ascii="Times New Roman" w:hAnsi="Times New Roman"/>
          <w:sz w:val="28"/>
          <w:szCs w:val="28"/>
        </w:rPr>
      </w:pPr>
    </w:p>
    <w:p w:rsidR="007D0813" w:rsidRPr="00A3133C" w:rsidRDefault="007D0813"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sz w:val="28"/>
          <w:szCs w:val="28"/>
        </w:rPr>
        <w:t xml:space="preserve">Все частные показатели инвестиционной привлекательности регионов подразделяются на позитивные (инвестиционный потенциал) и негативные (инвестиционные риски). Для приведения частных показателей к сопоставимому виду используется процедура стандартизации их значений путем отнесения числового значения каждого частного показателя по данному региону к значению этого показателя по России в целом. В результате указанной процедуры числовые значения всех показателей преобразуются в безразмерные относительные величины, характеризующие отношение числового значения каждого частного показателя по региону к числовому значению этого же показателя по России. Значение каждого стандартизованного показателя в среднем по РФ берется равным единице. По пяти негативным показателям, характеризующим уровень инвестиционного риска в регионе, первоначальные стандартизованные числовые выражения являются отрицательными величинами, а в целом по РФ средняя стандартизованная величина по каждому негативному показателю составляет –1 (минус единица). </w:t>
      </w:r>
    </w:p>
    <w:p w:rsidR="00BC17ED" w:rsidRPr="00A3133C" w:rsidRDefault="00BC17ED"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sz w:val="28"/>
          <w:szCs w:val="28"/>
        </w:rPr>
        <w:t xml:space="preserve">Формула определения инвестиционной привлекательности каждого региона: </w:t>
      </w:r>
    </w:p>
    <w:p w:rsidR="00A3133C" w:rsidRDefault="00A3133C" w:rsidP="00A3133C">
      <w:pPr>
        <w:widowControl w:val="0"/>
        <w:shd w:val="clear" w:color="000000" w:fill="auto"/>
        <w:spacing w:after="0" w:line="360" w:lineRule="auto"/>
        <w:ind w:firstLine="709"/>
        <w:jc w:val="both"/>
        <w:rPr>
          <w:rFonts w:ascii="Times New Roman" w:hAnsi="Times New Roman"/>
          <w:sz w:val="28"/>
          <w:szCs w:val="28"/>
          <w:vertAlign w:val="subscript"/>
        </w:rPr>
      </w:pPr>
    </w:p>
    <w:p w:rsidR="00BC17ED" w:rsidRPr="00A3133C" w:rsidRDefault="00BC17ED" w:rsidP="00A3133C">
      <w:pPr>
        <w:widowControl w:val="0"/>
        <w:shd w:val="clear" w:color="000000" w:fill="auto"/>
        <w:spacing w:after="0" w:line="360" w:lineRule="auto"/>
        <w:ind w:firstLine="709"/>
        <w:jc w:val="both"/>
        <w:rPr>
          <w:rFonts w:ascii="Times New Roman" w:hAnsi="Times New Roman"/>
          <w:sz w:val="28"/>
          <w:szCs w:val="28"/>
          <w:lang w:val="en-US"/>
        </w:rPr>
      </w:pPr>
      <w:r w:rsidRPr="00A3133C">
        <w:rPr>
          <w:rFonts w:ascii="Times New Roman" w:hAnsi="Times New Roman"/>
          <w:sz w:val="28"/>
          <w:szCs w:val="28"/>
          <w:vertAlign w:val="subscript"/>
        </w:rPr>
        <w:t>с</w:t>
      </w:r>
      <w:r w:rsidRPr="00A3133C">
        <w:rPr>
          <w:rFonts w:ascii="Times New Roman" w:hAnsi="Times New Roman"/>
          <w:sz w:val="28"/>
          <w:szCs w:val="28"/>
          <w:vertAlign w:val="subscript"/>
          <w:lang w:val="en-US"/>
        </w:rPr>
        <w:t xml:space="preserve"> </w:t>
      </w:r>
    </w:p>
    <w:p w:rsidR="00A3133C" w:rsidRDefault="00BC17ED" w:rsidP="00A3133C">
      <w:pPr>
        <w:widowControl w:val="0"/>
        <w:shd w:val="clear" w:color="000000" w:fill="auto"/>
        <w:spacing w:after="0" w:line="360" w:lineRule="auto"/>
        <w:ind w:firstLine="709"/>
        <w:jc w:val="both"/>
        <w:rPr>
          <w:rFonts w:ascii="Times New Roman" w:hAnsi="Times New Roman"/>
          <w:sz w:val="28"/>
          <w:szCs w:val="28"/>
          <w:lang w:val="en-US"/>
        </w:rPr>
      </w:pPr>
      <w:r w:rsidRPr="00A3133C">
        <w:rPr>
          <w:rFonts w:ascii="Times New Roman" w:hAnsi="Times New Roman"/>
          <w:sz w:val="28"/>
          <w:szCs w:val="28"/>
          <w:lang w:val="en-US"/>
        </w:rPr>
        <w:t>M</w:t>
      </w:r>
      <w:r w:rsidRPr="00A3133C">
        <w:rPr>
          <w:rFonts w:ascii="Times New Roman" w:hAnsi="Times New Roman"/>
          <w:sz w:val="28"/>
          <w:szCs w:val="28"/>
          <w:vertAlign w:val="subscript"/>
          <w:lang w:val="en-US"/>
        </w:rPr>
        <w:t xml:space="preserve">i </w:t>
      </w:r>
      <w:r w:rsidRPr="00A3133C">
        <w:rPr>
          <w:rFonts w:ascii="Times New Roman" w:hAnsi="Times New Roman"/>
          <w:sz w:val="28"/>
          <w:szCs w:val="28"/>
          <w:lang w:val="en-US"/>
        </w:rPr>
        <w:t>= (</w:t>
      </w:r>
      <w:r w:rsidRPr="00A3133C">
        <w:rPr>
          <w:rFonts w:ascii="Times New Roman" w:hAnsi="Times New Roman"/>
          <w:sz w:val="28"/>
          <w:szCs w:val="28"/>
        </w:rPr>
        <w:t>Σ</w:t>
      </w:r>
      <w:r w:rsidRPr="00A3133C">
        <w:rPr>
          <w:rFonts w:ascii="Times New Roman" w:hAnsi="Times New Roman"/>
          <w:sz w:val="28"/>
          <w:szCs w:val="28"/>
          <w:lang w:val="en-US"/>
        </w:rPr>
        <w:t>p</w:t>
      </w:r>
      <w:r w:rsidRPr="00A3133C">
        <w:rPr>
          <w:rFonts w:ascii="Times New Roman" w:hAnsi="Times New Roman"/>
          <w:sz w:val="28"/>
          <w:szCs w:val="28"/>
          <w:vertAlign w:val="subscript"/>
          <w:lang w:val="en-US"/>
        </w:rPr>
        <w:t>si</w:t>
      </w:r>
      <w:r w:rsidRPr="00A3133C">
        <w:rPr>
          <w:rFonts w:ascii="Times New Roman" w:hAnsi="Times New Roman"/>
          <w:sz w:val="28"/>
          <w:szCs w:val="28"/>
          <w:lang w:val="en-US"/>
        </w:rPr>
        <w:t>/p</w:t>
      </w:r>
      <w:r w:rsidRPr="00A3133C">
        <w:rPr>
          <w:rFonts w:ascii="Times New Roman" w:hAnsi="Times New Roman"/>
          <w:sz w:val="28"/>
          <w:szCs w:val="28"/>
          <w:vertAlign w:val="subscript"/>
          <w:lang w:val="en-US"/>
        </w:rPr>
        <w:t>s</w:t>
      </w:r>
      <w:r w:rsidRPr="00A3133C">
        <w:rPr>
          <w:rFonts w:ascii="Times New Roman" w:hAnsi="Times New Roman"/>
          <w:sz w:val="28"/>
          <w:szCs w:val="28"/>
          <w:lang w:val="en-US"/>
        </w:rPr>
        <w:t xml:space="preserve">)/c , </w:t>
      </w:r>
    </w:p>
    <w:p w:rsidR="00BC17ED" w:rsidRPr="00A3133C" w:rsidRDefault="00BC17ED" w:rsidP="00A3133C">
      <w:pPr>
        <w:widowControl w:val="0"/>
        <w:shd w:val="clear" w:color="000000" w:fill="auto"/>
        <w:spacing w:after="0" w:line="360" w:lineRule="auto"/>
        <w:ind w:firstLine="709"/>
        <w:jc w:val="both"/>
        <w:rPr>
          <w:rFonts w:ascii="Times New Roman" w:hAnsi="Times New Roman"/>
          <w:sz w:val="28"/>
          <w:szCs w:val="28"/>
          <w:lang w:val="en-US"/>
        </w:rPr>
      </w:pPr>
      <w:r w:rsidRPr="00A3133C">
        <w:rPr>
          <w:rFonts w:ascii="Times New Roman" w:hAnsi="Times New Roman"/>
          <w:sz w:val="28"/>
          <w:szCs w:val="28"/>
          <w:vertAlign w:val="superscript"/>
          <w:lang w:val="en-US"/>
        </w:rPr>
        <w:t xml:space="preserve">s=1 </w:t>
      </w:r>
    </w:p>
    <w:p w:rsidR="00A3133C" w:rsidRDefault="00A3133C" w:rsidP="00A3133C">
      <w:pPr>
        <w:widowControl w:val="0"/>
        <w:shd w:val="clear" w:color="000000" w:fill="auto"/>
        <w:spacing w:after="0" w:line="360" w:lineRule="auto"/>
        <w:ind w:firstLine="709"/>
        <w:jc w:val="both"/>
        <w:rPr>
          <w:rFonts w:ascii="Times New Roman" w:hAnsi="Times New Roman"/>
          <w:sz w:val="28"/>
          <w:szCs w:val="28"/>
        </w:rPr>
      </w:pPr>
    </w:p>
    <w:p w:rsidR="00BC17ED" w:rsidRPr="00A3133C" w:rsidRDefault="00BC17ED"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sz w:val="28"/>
          <w:szCs w:val="28"/>
        </w:rPr>
        <w:t>где M</w:t>
      </w:r>
      <w:r w:rsidRPr="00A3133C">
        <w:rPr>
          <w:rFonts w:ascii="Times New Roman" w:hAnsi="Times New Roman"/>
          <w:sz w:val="28"/>
          <w:szCs w:val="28"/>
          <w:vertAlign w:val="subscript"/>
        </w:rPr>
        <w:t xml:space="preserve">i </w:t>
      </w:r>
      <w:r w:rsidRPr="00A3133C">
        <w:rPr>
          <w:rFonts w:ascii="Times New Roman" w:hAnsi="Times New Roman"/>
          <w:sz w:val="28"/>
          <w:szCs w:val="28"/>
        </w:rPr>
        <w:t xml:space="preserve">– интегральный уровень инвестиционной привлекательности i-го региона, сопоставимый со среднероссийским уровнем, принятым за единицу; </w:t>
      </w:r>
    </w:p>
    <w:p w:rsidR="00BC17ED" w:rsidRPr="00A3133C" w:rsidRDefault="00BC17ED"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sz w:val="28"/>
          <w:szCs w:val="28"/>
        </w:rPr>
        <w:t xml:space="preserve">i = 1, …, r – регионы; </w:t>
      </w:r>
    </w:p>
    <w:p w:rsidR="00BC17ED" w:rsidRPr="00A3133C" w:rsidRDefault="00BC17ED"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sz w:val="28"/>
          <w:szCs w:val="28"/>
        </w:rPr>
        <w:t xml:space="preserve">r - количество регионов; </w:t>
      </w:r>
    </w:p>
    <w:p w:rsidR="00BC17ED" w:rsidRPr="00A3133C" w:rsidRDefault="00BC17ED"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sz w:val="28"/>
          <w:szCs w:val="28"/>
        </w:rPr>
        <w:t xml:space="preserve">s = 1, …, с – сводимые частные показатели, </w:t>
      </w:r>
    </w:p>
    <w:p w:rsidR="00BC17ED" w:rsidRPr="00A3133C" w:rsidRDefault="00BC17ED"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sz w:val="28"/>
          <w:szCs w:val="28"/>
        </w:rPr>
        <w:t>p</w:t>
      </w:r>
      <w:r w:rsidRPr="00A3133C">
        <w:rPr>
          <w:rFonts w:ascii="Times New Roman" w:hAnsi="Times New Roman"/>
          <w:sz w:val="28"/>
          <w:szCs w:val="28"/>
          <w:vertAlign w:val="subscript"/>
        </w:rPr>
        <w:t xml:space="preserve">si </w:t>
      </w:r>
      <w:r w:rsidRPr="00A3133C">
        <w:rPr>
          <w:rFonts w:ascii="Times New Roman" w:hAnsi="Times New Roman"/>
          <w:sz w:val="28"/>
          <w:szCs w:val="28"/>
        </w:rPr>
        <w:t xml:space="preserve">- числовое значение s-го показателя по i–му региону; </w:t>
      </w:r>
    </w:p>
    <w:p w:rsidR="00BC17ED" w:rsidRPr="00A3133C" w:rsidRDefault="00BC17ED"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sz w:val="28"/>
          <w:szCs w:val="28"/>
        </w:rPr>
        <w:t>p</w:t>
      </w:r>
      <w:r w:rsidRPr="00A3133C">
        <w:rPr>
          <w:rFonts w:ascii="Times New Roman" w:hAnsi="Times New Roman"/>
          <w:sz w:val="28"/>
          <w:szCs w:val="28"/>
          <w:vertAlign w:val="subscript"/>
        </w:rPr>
        <w:t xml:space="preserve">s </w:t>
      </w:r>
      <w:r w:rsidRPr="00A3133C">
        <w:rPr>
          <w:rFonts w:ascii="Times New Roman" w:hAnsi="Times New Roman"/>
          <w:sz w:val="28"/>
          <w:szCs w:val="28"/>
        </w:rPr>
        <w:t xml:space="preserve">- числовое значение s-го показателя в среднем по РФ; </w:t>
      </w:r>
    </w:p>
    <w:p w:rsidR="002F445F" w:rsidRDefault="00BC17ED" w:rsidP="002F445F">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sz w:val="28"/>
          <w:szCs w:val="28"/>
        </w:rPr>
        <w:t>p</w:t>
      </w:r>
      <w:r w:rsidRPr="00A3133C">
        <w:rPr>
          <w:rFonts w:ascii="Times New Roman" w:hAnsi="Times New Roman"/>
          <w:sz w:val="28"/>
          <w:szCs w:val="28"/>
          <w:vertAlign w:val="subscript"/>
        </w:rPr>
        <w:t>si</w:t>
      </w:r>
      <w:r w:rsidRPr="00A3133C">
        <w:rPr>
          <w:rFonts w:ascii="Times New Roman" w:hAnsi="Times New Roman"/>
          <w:sz w:val="28"/>
          <w:szCs w:val="28"/>
        </w:rPr>
        <w:t>/p</w:t>
      </w:r>
      <w:r w:rsidRPr="00A3133C">
        <w:rPr>
          <w:rFonts w:ascii="Times New Roman" w:hAnsi="Times New Roman"/>
          <w:sz w:val="28"/>
          <w:szCs w:val="28"/>
          <w:vertAlign w:val="subscript"/>
        </w:rPr>
        <w:t xml:space="preserve">s </w:t>
      </w:r>
      <w:r w:rsidRPr="00A3133C">
        <w:rPr>
          <w:rFonts w:ascii="Times New Roman" w:hAnsi="Times New Roman"/>
          <w:sz w:val="28"/>
          <w:szCs w:val="28"/>
        </w:rPr>
        <w:t xml:space="preserve">- стандартизованное (нормализованное) числовое значение s-го показателя по i-му региону. </w:t>
      </w:r>
      <w:r w:rsidR="002F445F">
        <w:rPr>
          <w:rFonts w:ascii="Times New Roman" w:hAnsi="Times New Roman"/>
          <w:sz w:val="28"/>
          <w:szCs w:val="28"/>
        </w:rPr>
        <w:br w:type="page"/>
      </w:r>
    </w:p>
    <w:p w:rsidR="00C348D9" w:rsidRPr="00A3133C" w:rsidRDefault="00A3133C" w:rsidP="00A3133C">
      <w:pPr>
        <w:widowControl w:val="0"/>
        <w:shd w:val="clear" w:color="000000" w:fill="auto"/>
        <w:spacing w:after="0" w:line="360" w:lineRule="auto"/>
        <w:ind w:firstLine="709"/>
        <w:jc w:val="both"/>
        <w:rPr>
          <w:rFonts w:ascii="Times New Roman" w:hAnsi="Times New Roman"/>
          <w:b/>
          <w:sz w:val="28"/>
          <w:szCs w:val="28"/>
        </w:rPr>
      </w:pPr>
      <w:r w:rsidRPr="00A3133C">
        <w:rPr>
          <w:rFonts w:ascii="Times New Roman" w:hAnsi="Times New Roman"/>
          <w:b/>
          <w:sz w:val="28"/>
          <w:szCs w:val="28"/>
        </w:rPr>
        <w:t>4. Задача</w:t>
      </w:r>
    </w:p>
    <w:p w:rsidR="00A3133C" w:rsidRPr="00A3133C" w:rsidRDefault="00A3133C" w:rsidP="00A3133C">
      <w:pPr>
        <w:widowControl w:val="0"/>
        <w:shd w:val="clear" w:color="000000" w:fill="auto"/>
        <w:spacing w:after="0" w:line="360" w:lineRule="auto"/>
        <w:ind w:firstLine="709"/>
        <w:jc w:val="both"/>
        <w:rPr>
          <w:rFonts w:ascii="Times New Roman" w:hAnsi="Times New Roman"/>
          <w:b/>
          <w:sz w:val="28"/>
          <w:szCs w:val="28"/>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
        <w:gridCol w:w="1255"/>
        <w:gridCol w:w="859"/>
        <w:gridCol w:w="859"/>
        <w:gridCol w:w="859"/>
      </w:tblGrid>
      <w:tr w:rsidR="00011AB3" w:rsidRPr="00A3483E" w:rsidTr="00A3483E">
        <w:trPr>
          <w:trHeight w:val="23"/>
        </w:trPr>
        <w:tc>
          <w:tcPr>
            <w:tcW w:w="0" w:type="auto"/>
            <w:vMerge w:val="restart"/>
            <w:shd w:val="clear" w:color="auto" w:fill="auto"/>
          </w:tcPr>
          <w:p w:rsidR="00011AB3" w:rsidRPr="00A3483E" w:rsidRDefault="00011AB3" w:rsidP="00A3483E">
            <w:pPr>
              <w:widowControl w:val="0"/>
              <w:shd w:val="clear" w:color="000000" w:fill="auto"/>
              <w:spacing w:after="0" w:line="360" w:lineRule="auto"/>
              <w:rPr>
                <w:rFonts w:ascii="Times New Roman" w:hAnsi="Times New Roman"/>
                <w:sz w:val="20"/>
                <w:szCs w:val="28"/>
              </w:rPr>
            </w:pPr>
            <w:r w:rsidRPr="00A3483E">
              <w:rPr>
                <w:rFonts w:ascii="Times New Roman" w:hAnsi="Times New Roman"/>
                <w:sz w:val="20"/>
                <w:szCs w:val="28"/>
              </w:rPr>
              <w:t>Варианты</w:t>
            </w:r>
          </w:p>
        </w:tc>
        <w:tc>
          <w:tcPr>
            <w:tcW w:w="0" w:type="auto"/>
            <w:vMerge w:val="restart"/>
            <w:shd w:val="clear" w:color="auto" w:fill="auto"/>
          </w:tcPr>
          <w:p w:rsidR="00011AB3" w:rsidRPr="00A3483E" w:rsidRDefault="00011AB3" w:rsidP="00A3483E">
            <w:pPr>
              <w:widowControl w:val="0"/>
              <w:shd w:val="clear" w:color="000000" w:fill="auto"/>
              <w:spacing w:after="0" w:line="360" w:lineRule="auto"/>
              <w:rPr>
                <w:rFonts w:ascii="Times New Roman" w:hAnsi="Times New Roman"/>
                <w:sz w:val="20"/>
                <w:szCs w:val="28"/>
              </w:rPr>
            </w:pPr>
            <w:r w:rsidRPr="00A3483E">
              <w:rPr>
                <w:rFonts w:ascii="Times New Roman" w:hAnsi="Times New Roman"/>
                <w:sz w:val="20"/>
                <w:szCs w:val="28"/>
              </w:rPr>
              <w:t>Инвестиции</w:t>
            </w:r>
          </w:p>
        </w:tc>
        <w:tc>
          <w:tcPr>
            <w:tcW w:w="0" w:type="auto"/>
            <w:gridSpan w:val="3"/>
            <w:shd w:val="clear" w:color="auto" w:fill="auto"/>
          </w:tcPr>
          <w:p w:rsidR="00011AB3" w:rsidRPr="00A3483E" w:rsidRDefault="00011AB3" w:rsidP="00A3483E">
            <w:pPr>
              <w:widowControl w:val="0"/>
              <w:shd w:val="clear" w:color="000000" w:fill="auto"/>
              <w:spacing w:after="0" w:line="360" w:lineRule="auto"/>
              <w:rPr>
                <w:rFonts w:ascii="Times New Roman" w:hAnsi="Times New Roman"/>
                <w:sz w:val="20"/>
                <w:szCs w:val="28"/>
              </w:rPr>
            </w:pPr>
            <w:r w:rsidRPr="00A3483E">
              <w:rPr>
                <w:rFonts w:ascii="Times New Roman" w:hAnsi="Times New Roman"/>
                <w:sz w:val="20"/>
                <w:szCs w:val="28"/>
              </w:rPr>
              <w:t>Денежные потоки (доходы)</w:t>
            </w:r>
          </w:p>
        </w:tc>
      </w:tr>
      <w:tr w:rsidR="00011AB3" w:rsidRPr="00A3483E" w:rsidTr="00A3483E">
        <w:trPr>
          <w:trHeight w:val="23"/>
        </w:trPr>
        <w:tc>
          <w:tcPr>
            <w:tcW w:w="0" w:type="auto"/>
            <w:vMerge/>
            <w:shd w:val="clear" w:color="auto" w:fill="auto"/>
          </w:tcPr>
          <w:p w:rsidR="00011AB3" w:rsidRPr="00A3483E" w:rsidRDefault="00011AB3" w:rsidP="00A3483E">
            <w:pPr>
              <w:widowControl w:val="0"/>
              <w:shd w:val="clear" w:color="000000" w:fill="auto"/>
              <w:spacing w:after="0" w:line="360" w:lineRule="auto"/>
              <w:rPr>
                <w:rFonts w:ascii="Times New Roman" w:hAnsi="Times New Roman"/>
                <w:sz w:val="20"/>
                <w:szCs w:val="28"/>
              </w:rPr>
            </w:pPr>
          </w:p>
        </w:tc>
        <w:tc>
          <w:tcPr>
            <w:tcW w:w="0" w:type="auto"/>
            <w:vMerge/>
            <w:shd w:val="clear" w:color="auto" w:fill="auto"/>
          </w:tcPr>
          <w:p w:rsidR="00011AB3" w:rsidRPr="00A3483E" w:rsidRDefault="00011AB3" w:rsidP="00A3483E">
            <w:pPr>
              <w:widowControl w:val="0"/>
              <w:shd w:val="clear" w:color="000000" w:fill="auto"/>
              <w:spacing w:after="0" w:line="360" w:lineRule="auto"/>
              <w:rPr>
                <w:rFonts w:ascii="Times New Roman" w:hAnsi="Times New Roman"/>
                <w:sz w:val="20"/>
                <w:szCs w:val="28"/>
              </w:rPr>
            </w:pPr>
          </w:p>
        </w:tc>
        <w:tc>
          <w:tcPr>
            <w:tcW w:w="0" w:type="auto"/>
            <w:shd w:val="clear" w:color="auto" w:fill="auto"/>
          </w:tcPr>
          <w:p w:rsidR="00011AB3" w:rsidRPr="00A3483E" w:rsidRDefault="00011AB3" w:rsidP="00A3483E">
            <w:pPr>
              <w:widowControl w:val="0"/>
              <w:shd w:val="clear" w:color="000000" w:fill="auto"/>
              <w:spacing w:after="0" w:line="360" w:lineRule="auto"/>
              <w:rPr>
                <w:rFonts w:ascii="Times New Roman" w:hAnsi="Times New Roman"/>
                <w:sz w:val="20"/>
                <w:szCs w:val="28"/>
              </w:rPr>
            </w:pPr>
            <w:r w:rsidRPr="00A3483E">
              <w:rPr>
                <w:rFonts w:ascii="Times New Roman" w:hAnsi="Times New Roman"/>
                <w:sz w:val="20"/>
                <w:szCs w:val="28"/>
              </w:rPr>
              <w:t>1 год</w:t>
            </w:r>
          </w:p>
        </w:tc>
        <w:tc>
          <w:tcPr>
            <w:tcW w:w="0" w:type="auto"/>
            <w:shd w:val="clear" w:color="auto" w:fill="auto"/>
          </w:tcPr>
          <w:p w:rsidR="00011AB3" w:rsidRPr="00A3483E" w:rsidRDefault="00011AB3" w:rsidP="00A3483E">
            <w:pPr>
              <w:widowControl w:val="0"/>
              <w:shd w:val="clear" w:color="000000" w:fill="auto"/>
              <w:spacing w:after="0" w:line="360" w:lineRule="auto"/>
              <w:rPr>
                <w:rFonts w:ascii="Times New Roman" w:hAnsi="Times New Roman"/>
                <w:sz w:val="20"/>
                <w:szCs w:val="28"/>
              </w:rPr>
            </w:pPr>
            <w:r w:rsidRPr="00A3483E">
              <w:rPr>
                <w:rFonts w:ascii="Times New Roman" w:hAnsi="Times New Roman"/>
                <w:sz w:val="20"/>
                <w:szCs w:val="28"/>
              </w:rPr>
              <w:t>2 год</w:t>
            </w:r>
          </w:p>
        </w:tc>
        <w:tc>
          <w:tcPr>
            <w:tcW w:w="0" w:type="auto"/>
            <w:shd w:val="clear" w:color="auto" w:fill="auto"/>
          </w:tcPr>
          <w:p w:rsidR="00011AB3" w:rsidRPr="00A3483E" w:rsidRDefault="00011AB3" w:rsidP="00A3483E">
            <w:pPr>
              <w:widowControl w:val="0"/>
              <w:shd w:val="clear" w:color="000000" w:fill="auto"/>
              <w:spacing w:after="0" w:line="360" w:lineRule="auto"/>
              <w:rPr>
                <w:rFonts w:ascii="Times New Roman" w:hAnsi="Times New Roman"/>
                <w:sz w:val="20"/>
                <w:szCs w:val="28"/>
              </w:rPr>
            </w:pPr>
            <w:r w:rsidRPr="00A3483E">
              <w:rPr>
                <w:rFonts w:ascii="Times New Roman" w:hAnsi="Times New Roman"/>
                <w:sz w:val="20"/>
                <w:szCs w:val="28"/>
              </w:rPr>
              <w:t>3 год</w:t>
            </w:r>
          </w:p>
        </w:tc>
      </w:tr>
      <w:tr w:rsidR="00011AB3" w:rsidRPr="00A3483E" w:rsidTr="00A3483E">
        <w:trPr>
          <w:trHeight w:val="23"/>
        </w:trPr>
        <w:tc>
          <w:tcPr>
            <w:tcW w:w="0" w:type="auto"/>
            <w:shd w:val="clear" w:color="auto" w:fill="auto"/>
          </w:tcPr>
          <w:p w:rsidR="00011AB3" w:rsidRPr="00A3483E" w:rsidRDefault="00011AB3" w:rsidP="00A3483E">
            <w:pPr>
              <w:widowControl w:val="0"/>
              <w:shd w:val="clear" w:color="000000" w:fill="auto"/>
              <w:spacing w:after="0" w:line="360" w:lineRule="auto"/>
              <w:rPr>
                <w:rFonts w:ascii="Times New Roman" w:hAnsi="Times New Roman"/>
                <w:sz w:val="20"/>
                <w:szCs w:val="28"/>
              </w:rPr>
            </w:pPr>
            <w:r w:rsidRPr="00A3483E">
              <w:rPr>
                <w:rFonts w:ascii="Times New Roman" w:hAnsi="Times New Roman"/>
                <w:sz w:val="20"/>
                <w:szCs w:val="28"/>
              </w:rPr>
              <w:t>А</w:t>
            </w:r>
          </w:p>
        </w:tc>
        <w:tc>
          <w:tcPr>
            <w:tcW w:w="0" w:type="auto"/>
            <w:shd w:val="clear" w:color="auto" w:fill="auto"/>
          </w:tcPr>
          <w:p w:rsidR="00011AB3" w:rsidRPr="00A3483E" w:rsidRDefault="00011AB3" w:rsidP="00A3483E">
            <w:pPr>
              <w:widowControl w:val="0"/>
              <w:shd w:val="clear" w:color="000000" w:fill="auto"/>
              <w:spacing w:after="0" w:line="360" w:lineRule="auto"/>
              <w:rPr>
                <w:rFonts w:ascii="Times New Roman" w:hAnsi="Times New Roman"/>
                <w:sz w:val="20"/>
                <w:szCs w:val="28"/>
              </w:rPr>
            </w:pPr>
            <w:r w:rsidRPr="00A3483E">
              <w:rPr>
                <w:rFonts w:ascii="Times New Roman" w:hAnsi="Times New Roman"/>
                <w:sz w:val="20"/>
                <w:szCs w:val="28"/>
              </w:rPr>
              <w:t>200</w:t>
            </w:r>
          </w:p>
        </w:tc>
        <w:tc>
          <w:tcPr>
            <w:tcW w:w="0" w:type="auto"/>
            <w:shd w:val="clear" w:color="auto" w:fill="auto"/>
          </w:tcPr>
          <w:p w:rsidR="00011AB3" w:rsidRPr="00A3483E" w:rsidRDefault="00011AB3" w:rsidP="00A3483E">
            <w:pPr>
              <w:widowControl w:val="0"/>
              <w:shd w:val="clear" w:color="000000" w:fill="auto"/>
              <w:spacing w:after="0" w:line="360" w:lineRule="auto"/>
              <w:rPr>
                <w:rFonts w:ascii="Times New Roman" w:hAnsi="Times New Roman"/>
                <w:sz w:val="20"/>
                <w:szCs w:val="28"/>
              </w:rPr>
            </w:pPr>
            <w:r w:rsidRPr="00A3483E">
              <w:rPr>
                <w:rFonts w:ascii="Times New Roman" w:hAnsi="Times New Roman"/>
                <w:sz w:val="20"/>
                <w:szCs w:val="28"/>
              </w:rPr>
              <w:t>140</w:t>
            </w:r>
          </w:p>
        </w:tc>
        <w:tc>
          <w:tcPr>
            <w:tcW w:w="0" w:type="auto"/>
            <w:shd w:val="clear" w:color="auto" w:fill="auto"/>
          </w:tcPr>
          <w:p w:rsidR="00011AB3" w:rsidRPr="00A3483E" w:rsidRDefault="00011AB3" w:rsidP="00A3483E">
            <w:pPr>
              <w:widowControl w:val="0"/>
              <w:shd w:val="clear" w:color="000000" w:fill="auto"/>
              <w:spacing w:after="0" w:line="360" w:lineRule="auto"/>
              <w:rPr>
                <w:rFonts w:ascii="Times New Roman" w:hAnsi="Times New Roman"/>
                <w:sz w:val="20"/>
                <w:szCs w:val="28"/>
              </w:rPr>
            </w:pPr>
            <w:r w:rsidRPr="00A3483E">
              <w:rPr>
                <w:rFonts w:ascii="Times New Roman" w:hAnsi="Times New Roman"/>
                <w:sz w:val="20"/>
                <w:szCs w:val="28"/>
              </w:rPr>
              <w:t>50</w:t>
            </w:r>
          </w:p>
        </w:tc>
        <w:tc>
          <w:tcPr>
            <w:tcW w:w="0" w:type="auto"/>
            <w:shd w:val="clear" w:color="auto" w:fill="auto"/>
          </w:tcPr>
          <w:p w:rsidR="00011AB3" w:rsidRPr="00A3483E" w:rsidRDefault="00011AB3" w:rsidP="00A3483E">
            <w:pPr>
              <w:widowControl w:val="0"/>
              <w:shd w:val="clear" w:color="000000" w:fill="auto"/>
              <w:spacing w:after="0" w:line="360" w:lineRule="auto"/>
              <w:rPr>
                <w:rFonts w:ascii="Times New Roman" w:hAnsi="Times New Roman"/>
                <w:sz w:val="20"/>
                <w:szCs w:val="28"/>
              </w:rPr>
            </w:pPr>
            <w:r w:rsidRPr="00A3483E">
              <w:rPr>
                <w:rFonts w:ascii="Times New Roman" w:hAnsi="Times New Roman"/>
                <w:sz w:val="20"/>
                <w:szCs w:val="28"/>
              </w:rPr>
              <w:t>50</w:t>
            </w:r>
          </w:p>
        </w:tc>
      </w:tr>
      <w:tr w:rsidR="00011AB3" w:rsidRPr="00A3483E" w:rsidTr="00A3483E">
        <w:trPr>
          <w:trHeight w:val="23"/>
        </w:trPr>
        <w:tc>
          <w:tcPr>
            <w:tcW w:w="0" w:type="auto"/>
            <w:shd w:val="clear" w:color="auto" w:fill="auto"/>
          </w:tcPr>
          <w:p w:rsidR="00011AB3" w:rsidRPr="00A3483E" w:rsidRDefault="00011AB3" w:rsidP="00A3483E">
            <w:pPr>
              <w:widowControl w:val="0"/>
              <w:shd w:val="clear" w:color="000000" w:fill="auto"/>
              <w:spacing w:after="0" w:line="360" w:lineRule="auto"/>
              <w:rPr>
                <w:rFonts w:ascii="Times New Roman" w:hAnsi="Times New Roman"/>
                <w:sz w:val="20"/>
                <w:szCs w:val="28"/>
              </w:rPr>
            </w:pPr>
            <w:r w:rsidRPr="00A3483E">
              <w:rPr>
                <w:rFonts w:ascii="Times New Roman" w:hAnsi="Times New Roman"/>
                <w:sz w:val="20"/>
                <w:szCs w:val="28"/>
              </w:rPr>
              <w:t>Б</w:t>
            </w:r>
          </w:p>
        </w:tc>
        <w:tc>
          <w:tcPr>
            <w:tcW w:w="0" w:type="auto"/>
            <w:shd w:val="clear" w:color="auto" w:fill="auto"/>
          </w:tcPr>
          <w:p w:rsidR="00011AB3" w:rsidRPr="00A3483E" w:rsidRDefault="00011AB3" w:rsidP="00A3483E">
            <w:pPr>
              <w:widowControl w:val="0"/>
              <w:shd w:val="clear" w:color="000000" w:fill="auto"/>
              <w:spacing w:after="0" w:line="360" w:lineRule="auto"/>
              <w:rPr>
                <w:rFonts w:ascii="Times New Roman" w:hAnsi="Times New Roman"/>
                <w:sz w:val="20"/>
                <w:szCs w:val="28"/>
              </w:rPr>
            </w:pPr>
            <w:r w:rsidRPr="00A3483E">
              <w:rPr>
                <w:rFonts w:ascii="Times New Roman" w:hAnsi="Times New Roman"/>
                <w:sz w:val="20"/>
                <w:szCs w:val="28"/>
              </w:rPr>
              <w:t>200</w:t>
            </w:r>
          </w:p>
        </w:tc>
        <w:tc>
          <w:tcPr>
            <w:tcW w:w="0" w:type="auto"/>
            <w:shd w:val="clear" w:color="auto" w:fill="auto"/>
          </w:tcPr>
          <w:p w:rsidR="00011AB3" w:rsidRPr="00A3483E" w:rsidRDefault="00011AB3" w:rsidP="00A3483E">
            <w:pPr>
              <w:widowControl w:val="0"/>
              <w:shd w:val="clear" w:color="000000" w:fill="auto"/>
              <w:spacing w:after="0" w:line="360" w:lineRule="auto"/>
              <w:rPr>
                <w:rFonts w:ascii="Times New Roman" w:hAnsi="Times New Roman"/>
                <w:sz w:val="20"/>
                <w:szCs w:val="28"/>
              </w:rPr>
            </w:pPr>
            <w:r w:rsidRPr="00A3483E">
              <w:rPr>
                <w:rFonts w:ascii="Times New Roman" w:hAnsi="Times New Roman"/>
                <w:sz w:val="20"/>
                <w:szCs w:val="28"/>
              </w:rPr>
              <w:t>60</w:t>
            </w:r>
          </w:p>
        </w:tc>
        <w:tc>
          <w:tcPr>
            <w:tcW w:w="0" w:type="auto"/>
            <w:shd w:val="clear" w:color="auto" w:fill="auto"/>
          </w:tcPr>
          <w:p w:rsidR="00011AB3" w:rsidRPr="00A3483E" w:rsidRDefault="00011AB3" w:rsidP="00A3483E">
            <w:pPr>
              <w:widowControl w:val="0"/>
              <w:shd w:val="clear" w:color="000000" w:fill="auto"/>
              <w:spacing w:after="0" w:line="360" w:lineRule="auto"/>
              <w:rPr>
                <w:rFonts w:ascii="Times New Roman" w:hAnsi="Times New Roman"/>
                <w:sz w:val="20"/>
                <w:szCs w:val="28"/>
              </w:rPr>
            </w:pPr>
            <w:r w:rsidRPr="00A3483E">
              <w:rPr>
                <w:rFonts w:ascii="Times New Roman" w:hAnsi="Times New Roman"/>
                <w:sz w:val="20"/>
                <w:szCs w:val="28"/>
              </w:rPr>
              <w:t>80</w:t>
            </w:r>
          </w:p>
        </w:tc>
        <w:tc>
          <w:tcPr>
            <w:tcW w:w="0" w:type="auto"/>
            <w:shd w:val="clear" w:color="auto" w:fill="auto"/>
          </w:tcPr>
          <w:p w:rsidR="00011AB3" w:rsidRPr="00A3483E" w:rsidRDefault="00011AB3" w:rsidP="00A3483E">
            <w:pPr>
              <w:widowControl w:val="0"/>
              <w:shd w:val="clear" w:color="000000" w:fill="auto"/>
              <w:spacing w:after="0" w:line="360" w:lineRule="auto"/>
              <w:rPr>
                <w:rFonts w:ascii="Times New Roman" w:hAnsi="Times New Roman"/>
                <w:sz w:val="20"/>
                <w:szCs w:val="28"/>
              </w:rPr>
            </w:pPr>
            <w:r w:rsidRPr="00A3483E">
              <w:rPr>
                <w:rFonts w:ascii="Times New Roman" w:hAnsi="Times New Roman"/>
                <w:sz w:val="20"/>
                <w:szCs w:val="28"/>
              </w:rPr>
              <w:t>120</w:t>
            </w:r>
          </w:p>
        </w:tc>
      </w:tr>
      <w:tr w:rsidR="00011AB3" w:rsidRPr="00A3483E" w:rsidTr="00A3483E">
        <w:trPr>
          <w:trHeight w:val="23"/>
        </w:trPr>
        <w:tc>
          <w:tcPr>
            <w:tcW w:w="0" w:type="auto"/>
            <w:shd w:val="clear" w:color="auto" w:fill="auto"/>
          </w:tcPr>
          <w:p w:rsidR="00011AB3" w:rsidRPr="00A3483E" w:rsidRDefault="00011AB3" w:rsidP="00A3483E">
            <w:pPr>
              <w:widowControl w:val="0"/>
              <w:shd w:val="clear" w:color="000000" w:fill="auto"/>
              <w:spacing w:after="0" w:line="360" w:lineRule="auto"/>
              <w:rPr>
                <w:rFonts w:ascii="Times New Roman" w:hAnsi="Times New Roman"/>
                <w:sz w:val="20"/>
                <w:szCs w:val="28"/>
              </w:rPr>
            </w:pPr>
            <w:r w:rsidRPr="00A3483E">
              <w:rPr>
                <w:rFonts w:ascii="Times New Roman" w:hAnsi="Times New Roman"/>
                <w:sz w:val="20"/>
                <w:szCs w:val="28"/>
              </w:rPr>
              <w:t>В</w:t>
            </w:r>
          </w:p>
        </w:tc>
        <w:tc>
          <w:tcPr>
            <w:tcW w:w="0" w:type="auto"/>
            <w:shd w:val="clear" w:color="auto" w:fill="auto"/>
          </w:tcPr>
          <w:p w:rsidR="00011AB3" w:rsidRPr="00A3483E" w:rsidRDefault="00011AB3" w:rsidP="00A3483E">
            <w:pPr>
              <w:widowControl w:val="0"/>
              <w:shd w:val="clear" w:color="000000" w:fill="auto"/>
              <w:spacing w:after="0" w:line="360" w:lineRule="auto"/>
              <w:rPr>
                <w:rFonts w:ascii="Times New Roman" w:hAnsi="Times New Roman"/>
                <w:sz w:val="20"/>
                <w:szCs w:val="28"/>
              </w:rPr>
            </w:pPr>
            <w:r w:rsidRPr="00A3483E">
              <w:rPr>
                <w:rFonts w:ascii="Times New Roman" w:hAnsi="Times New Roman"/>
                <w:sz w:val="20"/>
                <w:szCs w:val="28"/>
              </w:rPr>
              <w:t>200</w:t>
            </w:r>
          </w:p>
        </w:tc>
        <w:tc>
          <w:tcPr>
            <w:tcW w:w="0" w:type="auto"/>
            <w:shd w:val="clear" w:color="auto" w:fill="auto"/>
          </w:tcPr>
          <w:p w:rsidR="00011AB3" w:rsidRPr="00A3483E" w:rsidRDefault="00011AB3" w:rsidP="00A3483E">
            <w:pPr>
              <w:widowControl w:val="0"/>
              <w:shd w:val="clear" w:color="000000" w:fill="auto"/>
              <w:spacing w:after="0" w:line="360" w:lineRule="auto"/>
              <w:rPr>
                <w:rFonts w:ascii="Times New Roman" w:hAnsi="Times New Roman"/>
                <w:sz w:val="20"/>
                <w:szCs w:val="28"/>
              </w:rPr>
            </w:pPr>
            <w:r w:rsidRPr="00A3483E">
              <w:rPr>
                <w:rFonts w:ascii="Times New Roman" w:hAnsi="Times New Roman"/>
                <w:sz w:val="20"/>
                <w:szCs w:val="28"/>
              </w:rPr>
              <w:t>100</w:t>
            </w:r>
          </w:p>
        </w:tc>
        <w:tc>
          <w:tcPr>
            <w:tcW w:w="0" w:type="auto"/>
            <w:shd w:val="clear" w:color="auto" w:fill="auto"/>
          </w:tcPr>
          <w:p w:rsidR="00011AB3" w:rsidRPr="00A3483E" w:rsidRDefault="00011AB3" w:rsidP="00A3483E">
            <w:pPr>
              <w:widowControl w:val="0"/>
              <w:shd w:val="clear" w:color="000000" w:fill="auto"/>
              <w:spacing w:after="0" w:line="360" w:lineRule="auto"/>
              <w:rPr>
                <w:rFonts w:ascii="Times New Roman" w:hAnsi="Times New Roman"/>
                <w:sz w:val="20"/>
                <w:szCs w:val="28"/>
              </w:rPr>
            </w:pPr>
            <w:r w:rsidRPr="00A3483E">
              <w:rPr>
                <w:rFonts w:ascii="Times New Roman" w:hAnsi="Times New Roman"/>
                <w:sz w:val="20"/>
                <w:szCs w:val="28"/>
              </w:rPr>
              <w:t>144</w:t>
            </w:r>
          </w:p>
        </w:tc>
        <w:tc>
          <w:tcPr>
            <w:tcW w:w="0" w:type="auto"/>
            <w:shd w:val="clear" w:color="auto" w:fill="auto"/>
          </w:tcPr>
          <w:p w:rsidR="00011AB3" w:rsidRPr="00A3483E" w:rsidRDefault="00011AB3" w:rsidP="00A3483E">
            <w:pPr>
              <w:widowControl w:val="0"/>
              <w:shd w:val="clear" w:color="000000" w:fill="auto"/>
              <w:spacing w:after="0" w:line="360" w:lineRule="auto"/>
              <w:rPr>
                <w:rFonts w:ascii="Times New Roman" w:hAnsi="Times New Roman"/>
                <w:sz w:val="20"/>
                <w:szCs w:val="28"/>
              </w:rPr>
            </w:pPr>
            <w:r w:rsidRPr="00A3483E">
              <w:rPr>
                <w:rFonts w:ascii="Times New Roman" w:hAnsi="Times New Roman"/>
                <w:sz w:val="20"/>
                <w:szCs w:val="28"/>
              </w:rPr>
              <w:t>-</w:t>
            </w:r>
          </w:p>
        </w:tc>
      </w:tr>
    </w:tbl>
    <w:p w:rsidR="00A3133C" w:rsidRDefault="00A3133C" w:rsidP="00A3133C">
      <w:pPr>
        <w:widowControl w:val="0"/>
        <w:shd w:val="clear" w:color="000000" w:fill="auto"/>
        <w:spacing w:after="0" w:line="360" w:lineRule="auto"/>
        <w:ind w:firstLine="709"/>
        <w:jc w:val="both"/>
        <w:rPr>
          <w:rFonts w:ascii="Times New Roman" w:hAnsi="Times New Roman"/>
          <w:sz w:val="28"/>
          <w:szCs w:val="28"/>
        </w:rPr>
      </w:pPr>
    </w:p>
    <w:p w:rsidR="00DD10D4" w:rsidRPr="00A3133C" w:rsidRDefault="00DD10D4"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sz w:val="28"/>
          <w:szCs w:val="28"/>
        </w:rPr>
        <w:t>Цена капитала 12%</w:t>
      </w:r>
    </w:p>
    <w:p w:rsidR="00011AB3" w:rsidRPr="00A3483E" w:rsidRDefault="00027821"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sz w:val="28"/>
          <w:szCs w:val="28"/>
        </w:rPr>
        <w:t xml:space="preserve">1) Рассчитывается чистый приведенный эффект по формуле </w:t>
      </w:r>
      <w:r w:rsidR="00A3483E" w:rsidRPr="00A3483E">
        <w:rPr>
          <w:rFonts w:ascii="Times New Roman" w:eastAsiaTheme="minorEastAsia" w:hAnsi="Times New Roman"/>
          <w:sz w:val="28"/>
          <w:szCs w:val="28"/>
        </w:rPr>
        <w:fldChar w:fldCharType="begin"/>
      </w:r>
      <w:r w:rsidR="00A3483E" w:rsidRPr="00A3483E">
        <w:rPr>
          <w:rFonts w:ascii="Times New Roman" w:eastAsiaTheme="minorEastAsia" w:hAnsi="Times New Roman"/>
          <w:sz w:val="28"/>
          <w:szCs w:val="28"/>
        </w:rPr>
        <w:instrText xml:space="preserve"> QUOTE </w:instrText>
      </w:r>
      <w:r w:rsidR="00DE3D68">
        <w:rPr>
          <w:position w:val="-2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75pt;height:27.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65776&quot;/&gt;&lt;wsp:rsid wsp:val=&quot;00011AB3&quot;/&gt;&lt;wsp:rsid wsp:val=&quot;00027821&quot;/&gt;&lt;wsp:rsid wsp:val=&quot;000350B6&quot;/&gt;&lt;wsp:rsid wsp:val=&quot;000836C3&quot;/&gt;&lt;wsp:rsid wsp:val=&quot;00083EF2&quot;/&gt;&lt;wsp:rsid wsp:val=&quot;00113368&quot;/&gt;&lt;wsp:rsid wsp:val=&quot;0012089F&quot;/&gt;&lt;wsp:rsid wsp:val=&quot;001443A6&quot;/&gt;&lt;wsp:rsid wsp:val=&quot;00195162&quot;/&gt;&lt;wsp:rsid wsp:val=&quot;001A18B7&quot;/&gt;&lt;wsp:rsid wsp:val=&quot;001C309B&quot;/&gt;&lt;wsp:rsid wsp:val=&quot;001D55D5&quot;/&gt;&lt;wsp:rsid wsp:val=&quot;0020190D&quot;/&gt;&lt;wsp:rsid wsp:val=&quot;00227218&quot;/&gt;&lt;wsp:rsid wsp:val=&quot;00230E90&quot;/&gt;&lt;wsp:rsid wsp:val=&quot;00254AE3&quot;/&gt;&lt;wsp:rsid wsp:val=&quot;002621EA&quot;/&gt;&lt;wsp:rsid wsp:val=&quot;002B05C9&quot;/&gt;&lt;wsp:rsid wsp:val=&quot;002B0D2F&quot;/&gt;&lt;wsp:rsid wsp:val=&quot;002B34B4&quot;/&gt;&lt;wsp:rsid wsp:val=&quot;002B67C8&quot;/&gt;&lt;wsp:rsid wsp:val=&quot;002F3D96&quot;/&gt;&lt;wsp:rsid wsp:val=&quot;002F445F&quot;/&gt;&lt;wsp:rsid wsp:val=&quot;003449E2&quot;/&gt;&lt;wsp:rsid wsp:val=&quot;003572EA&quot;/&gt;&lt;wsp:rsid wsp:val=&quot;003811E3&quot;/&gt;&lt;wsp:rsid wsp:val=&quot;003955E0&quot;/&gt;&lt;wsp:rsid wsp:val=&quot;003962B3&quot;/&gt;&lt;wsp:rsid wsp:val=&quot;003B7E8E&quot;/&gt;&lt;wsp:rsid wsp:val=&quot;003F116B&quot;/&gt;&lt;wsp:rsid wsp:val=&quot;003F4AB1&quot;/&gt;&lt;wsp:rsid wsp:val=&quot;00407234&quot;/&gt;&lt;wsp:rsid wsp:val=&quot;00421DC2&quot;/&gt;&lt;wsp:rsid wsp:val=&quot;00423FC1&quot;/&gt;&lt;wsp:rsid wsp:val=&quot;0045031C&quot;/&gt;&lt;wsp:rsid wsp:val=&quot;00465F43&quot;/&gt;&lt;wsp:rsid wsp:val=&quot;00496EB2&quot;/&gt;&lt;wsp:rsid wsp:val=&quot;004A2D77&quot;/&gt;&lt;wsp:rsid wsp:val=&quot;004D003E&quot;/&gt;&lt;wsp:rsid wsp:val=&quot;004F4DAA&quot;/&gt;&lt;wsp:rsid wsp:val=&quot;004F70E0&quot;/&gt;&lt;wsp:rsid wsp:val=&quot;00513A7F&quot;/&gt;&lt;wsp:rsid wsp:val=&quot;0054223D&quot;/&gt;&lt;wsp:rsid wsp:val=&quot;00595FF0&quot;/&gt;&lt;wsp:rsid wsp:val=&quot;005E6A57&quot;/&gt;&lt;wsp:rsid wsp:val=&quot;005F35DB&quot;/&gt;&lt;wsp:rsid wsp:val=&quot;006074E4&quot;/&gt;&lt;wsp:rsid wsp:val=&quot;0065371B&quot;/&gt;&lt;wsp:rsid wsp:val=&quot;00667545&quot;/&gt;&lt;wsp:rsid wsp:val=&quot;00693588&quot;/&gt;&lt;wsp:rsid wsp:val=&quot;006A72B7&quot;/&gt;&lt;wsp:rsid wsp:val=&quot;006D1D96&quot;/&gt;&lt;wsp:rsid wsp:val=&quot;006D6D1D&quot;/&gt;&lt;wsp:rsid wsp:val=&quot;006E2527&quot;/&gt;&lt;wsp:rsid wsp:val=&quot;00716721&quot;/&gt;&lt;wsp:rsid wsp:val=&quot;00733395&quot;/&gt;&lt;wsp:rsid wsp:val=&quot;007A2A0D&quot;/&gt;&lt;wsp:rsid wsp:val=&quot;007A5235&quot;/&gt;&lt;wsp:rsid wsp:val=&quot;007B0EDE&quot;/&gt;&lt;wsp:rsid wsp:val=&quot;007B4799&quot;/&gt;&lt;wsp:rsid wsp:val=&quot;007B4A80&quot;/&gt;&lt;wsp:rsid wsp:val=&quot;007D0813&quot;/&gt;&lt;wsp:rsid wsp:val=&quot;00874A0D&quot;/&gt;&lt;wsp:rsid wsp:val=&quot;008A6413&quot;/&gt;&lt;wsp:rsid wsp:val=&quot;008F0088&quot;/&gt;&lt;wsp:rsid wsp:val=&quot;009024E2&quot;/&gt;&lt;wsp:rsid wsp:val=&quot;00903BD9&quot;/&gt;&lt;wsp:rsid wsp:val=&quot;00904723&quot;/&gt;&lt;wsp:rsid wsp:val=&quot;0091058C&quot;/&gt;&lt;wsp:rsid wsp:val=&quot;0091292B&quot;/&gt;&lt;wsp:rsid wsp:val=&quot;00941A90&quot;/&gt;&lt;wsp:rsid wsp:val=&quot;00941FF5&quot;/&gt;&lt;wsp:rsid wsp:val=&quot;0096096E&quot;/&gt;&lt;wsp:rsid wsp:val=&quot;009659C0&quot;/&gt;&lt;wsp:rsid wsp:val=&quot;00966612&quot;/&gt;&lt;wsp:rsid wsp:val=&quot;009C1E71&quot;/&gt;&lt;wsp:rsid wsp:val=&quot;009C3300&quot;/&gt;&lt;wsp:rsid wsp:val=&quot;009C4E8C&quot;/&gt;&lt;wsp:rsid wsp:val=&quot;009F676E&quot;/&gt;&lt;wsp:rsid wsp:val=&quot;00A3133C&quot;/&gt;&lt;wsp:rsid wsp:val=&quot;00A3483E&quot;/&gt;&lt;wsp:rsid wsp:val=&quot;00A84541&quot;/&gt;&lt;wsp:rsid wsp:val=&quot;00AE0E62&quot;/&gt;&lt;wsp:rsid wsp:val=&quot;00AF3009&quot;/&gt;&lt;wsp:rsid wsp:val=&quot;00B226FC&quot;/&gt;&lt;wsp:rsid wsp:val=&quot;00B23297&quot;/&gt;&lt;wsp:rsid wsp:val=&quot;00B40255&quot;/&gt;&lt;wsp:rsid wsp:val=&quot;00B60F9B&quot;/&gt;&lt;wsp:rsid wsp:val=&quot;00BC17ED&quot;/&gt;&lt;wsp:rsid wsp:val=&quot;00C002E9&quot;/&gt;&lt;wsp:rsid wsp:val=&quot;00C348D9&quot;/&gt;&lt;wsp:rsid wsp:val=&quot;00C73E14&quot;/&gt;&lt;wsp:rsid wsp:val=&quot;00C82911&quot;/&gt;&lt;wsp:rsid wsp:val=&quot;00CA274A&quot;/&gt;&lt;wsp:rsid wsp:val=&quot;00CA3753&quot;/&gt;&lt;wsp:rsid wsp:val=&quot;00CD24B0&quot;/&gt;&lt;wsp:rsid wsp:val=&quot;00CD691D&quot;/&gt;&lt;wsp:rsid wsp:val=&quot;00CF0262&quot;/&gt;&lt;wsp:rsid wsp:val=&quot;00D103EB&quot;/&gt;&lt;wsp:rsid wsp:val=&quot;00D1414C&quot;/&gt;&lt;wsp:rsid wsp:val=&quot;00D41C40&quot;/&gt;&lt;wsp:rsid wsp:val=&quot;00D5150C&quot;/&gt;&lt;wsp:rsid wsp:val=&quot;00D517E0&quot;/&gt;&lt;wsp:rsid wsp:val=&quot;00D541B7&quot;/&gt;&lt;wsp:rsid wsp:val=&quot;00D54279&quot;/&gt;&lt;wsp:rsid wsp:val=&quot;00D65776&quot;/&gt;&lt;wsp:rsid wsp:val=&quot;00D72A09&quot;/&gt;&lt;wsp:rsid wsp:val=&quot;00D81D8F&quot;/&gt;&lt;wsp:rsid wsp:val=&quot;00DA0A5B&quot;/&gt;&lt;wsp:rsid wsp:val=&quot;00DC2898&quot;/&gt;&lt;wsp:rsid wsp:val=&quot;00DD0F1A&quot;/&gt;&lt;wsp:rsid wsp:val=&quot;00DD10D4&quot;/&gt;&lt;wsp:rsid wsp:val=&quot;00DD3329&quot;/&gt;&lt;wsp:rsid wsp:val=&quot;00E04053&quot;/&gt;&lt;wsp:rsid wsp:val=&quot;00E11B1F&quot;/&gt;&lt;wsp:rsid wsp:val=&quot;00E11C44&quot;/&gt;&lt;wsp:rsid wsp:val=&quot;00E30A0E&quot;/&gt;&lt;wsp:rsid wsp:val=&quot;00E44804&quot;/&gt;&lt;wsp:rsid wsp:val=&quot;00E46FE9&quot;/&gt;&lt;wsp:rsid wsp:val=&quot;00E712D6&quot;/&gt;&lt;wsp:rsid wsp:val=&quot;00E83406&quot;/&gt;&lt;wsp:rsid wsp:val=&quot;00E91A39&quot;/&gt;&lt;wsp:rsid wsp:val=&quot;00F11E16&quot;/&gt;&lt;wsp:rsid wsp:val=&quot;00F26F4C&quot;/&gt;&lt;wsp:rsid wsp:val=&quot;00F32FB9&quot;/&gt;&lt;wsp:rsid wsp:val=&quot;00F42500&quot;/&gt;&lt;wsp:rsid wsp:val=&quot;00F5146F&quot;/&gt;&lt;wsp:rsid wsp:val=&quot;00F80A0A&quot;/&gt;&lt;wsp:rsid wsp:val=&quot;00F82398&quot;/&gt;&lt;wsp:rsid wsp:val=&quot;00FF42C6&quot;/&gt;&lt;/wsp:rsids&gt;&lt;/w:docPr&gt;&lt;w:body&gt;&lt;wx:sect&gt;&lt;w:p wsp:rsidR=&quot;00000000&quot; wsp:rsidRDefault=&quot;004D003E&quot; wsp:rsidP=&quot;004D003E&quot;&gt;&lt;m:oMathPara&gt;&lt;m:oMath&gt;&lt;m:r&gt;&lt;w:rPr&gt;&lt;w:rFonts w:ascii=&quot;Cambria Math&quot; w:h-ansi=&quot;Cambria Math&quot;/&gt;&lt;wx:font wx:val=&quot;Cambria Math&quot;/&gt;&lt;w:i/&gt;&lt;w:sz w:val=&quot;28&quot;/&gt;&lt;w:sz-cs w:val=&quot;28&quot;/&gt;&lt;/w:rPr&gt;&lt;m:t&gt;NPV=&lt;/m:t&gt;&lt;/m:r&gt;&lt;m:nary&gt;&lt;m:naryPr&gt;&lt;m:chr m:val=&quot;в€‘&quot;/&gt;&lt;m:limLoc m:val=&quot;undOvr&quot;/&gt;&lt;m:ctrlPr&gt;&lt;w:rPr&gt;&lt;w:rFonts w:ascii=&quot;Cambria Math&quot; w:h-ansi=&quot;Cambria Math&quot;/&gt;&lt;wx:font wx:val=&quot;Cambria Math&quot;/&gt;&lt;w:i/&gt;&lt;w:sz w:val=&quot;28&quot;/&gt;&lt;/w:rPr&gt;&lt;/m:ctrlPr&gt;&lt;/m:naryPr&gt;&lt;m:sub&gt;&lt;m:r&gt;&lt;w:rPr&gt;&lt;w:rFonts w:ascii=&quot;Cambria Math&quot; w:h-ansi=&quot;Cambria Math&quot;/&gt;&lt;wx:font wx:val=&quot;Cambria Math&quot;/&gt;&lt;w:i/&gt;&lt;w:sz w:val=&quot;28&quot;/&gt;&lt;w:sz-cs w:val=&quot;28&quot;/&gt;&lt;/w:rPr&gt;&lt;m:t&gt;k=1&lt;/m:t&gt;&lt;/m:r&gt;&lt;/m:sub&gt;&lt;m:sup&gt;&lt;m:r&gt;&lt;w:rPr&gt;&lt;w:rFonts w:ascii=&quot;Cambria Math&quot; w:h-ansi=&quot;Cambria Math&quot;/&gt;&lt;wx:font wx:val=&quot;Cambria Math&quot;/&gt;&lt;w:i/&gt;&lt;w:sz w:val=&quot;28&quot;/&gt;&lt;w:sz-cs w:val=&quot;28&quot;/&gt;&lt;/w:rPr&gt;&lt;m:t&gt;n&lt;/m:t&gt;&lt;/m:r&gt;&lt;/m:sup&gt;&lt;m:e&gt;&lt;m:f&gt;&lt;m:fPr&gt;&lt;m:ctrlPr&gt;&lt;w:rPr&gt;&lt;w:rFonts w:ascii=&quot;Cambria Math&quot; w:h-ansi=&quot;Cambria Math&quot;/&gt;&lt;wx:font wx:val=&quot;Cambria Math&quot;/&gt;&lt;w:i/&gt;&lt;w:sz w:val=&quot;28&quot;/&gt;&lt;/w:rPr&gt;&lt;/m:ctrlPr&gt;&lt;/m:fPr&gt;&lt;m:num&gt;&lt;m:sSub&gt;&lt;m:sSubPr&gt;&lt;m:ctrlPr&gt;&lt;w:rPr&gt;&lt;w:rFonts w:ascii=&quot;Cambria Math&quot; w:h-ansi=&quot;Cambria Math&quot;/&gt;&lt;wx:font wx:val=&quot;Cambria Math&quot;/&gt;&lt;w:i/&gt;&lt;w:sz w:val=&quot;28&quot;/&gt;&lt;/w:rPr&gt;&lt;/m:ctrlPr&gt;&lt;/m:sSubPr&gt;&lt;m:e&gt;&lt;m:r&gt;&lt;w:rPr&gt;&lt;w:rFonts w:ascii=&quot;Cambria Math&quot; w:h-ansi=&quot;Cambria Math&quot;/&gt;&lt;wx:font wx:val=&quot;Cambria Math&quot;/&gt;&lt;w:i/&gt;&lt;w:sz w:val=&quot;28&quot;/&gt;&lt;w:sz-cs w:val=&quot;28&quot;/&gt;&lt;/w:rPr&gt;&lt;m:t&gt;P&lt;/m:t&gt;&lt;/m:r&gt;&lt;/m:e&gt;&lt;m:sub&gt;&lt;m:r&gt;&lt;w:rPr&gt;&lt;w:rFonts w:ascii=&quot;Cambria Math&quot; w:h-ansi=&quot;Cambria Math&quot;/&gt;&lt;wx:font wx:val=&quot;Cambria Math&quot;/&gt;&lt;w:i/&gt;&lt;w:sz w:val=&quot;28&quot;/&gt;&lt;w:sz-cs w:val=&quot;28&quot;/&gt;&lt;/w:rPr&gt;&lt;m:t&gt;k&lt;/m:t&gt;&lt;/m:r&gt;&lt;/m:sub&gt;&lt;/m:sSub&gt;&lt;/m:num&gt;&lt;m:den&gt;&lt;m:sSup&gt;&lt;m:sSupPr&gt;&lt;m:ctrlPr&gt;&lt;w:rPr&gt;&lt;w:rFonts w:ascii=&quot;Cambria Math&quot; w:h-ansi=&quot;Cambria Math&quot;/&gt;&lt;wx:font wx:val=&quot;Cambria Math&quot;/&gt;&lt;w:i/&gt;&lt;w:sz w:val=&quot;28&quot;/&gt;&lt;/w:rPr&gt;&lt;/m:ctrlPr&gt;&lt;/m:sSupPr&gt;&lt;m:e&gt;&lt;m:d&gt;&lt;m:dPr&gt;&lt;m:ctrlPr&gt;&lt;w:rPr&gt;&lt;w:rFonts w:ascii=&quot;Cambria Math&quot; w:h-ansi=&quot;Cambria Math&quot;/&gt;&lt;wx:font wx:val=&quot;Cambria Math&quot;/&gt;&lt;w:i/&gt;&lt;w:sz w:val=&quot;28&quot;/&gt;&lt;/w:rPr&gt;&lt;/m:ctrlPr&gt;&lt;/m:dPr&gt;&lt;m:e&gt;&lt;m:r&gt;&lt;w:rPr&gt;&lt;w:rFonts w:ascii=&quot;Cambria Math&quot; w:h-ansi=&quot;Cambria Math&quot;/&gt;&lt;wx:font wx:val=&quot;Cambria Math&quot;/&gt;&lt;w:i/&gt;&lt;w:sz w:val=&quot;28&quot;/&gt;&lt;w:sz-cs w:val=&quot;28&quot;/&gt;&lt;/w:rPr&gt;&lt;m:t&gt;1+r&lt;/m:t&gt;&lt;/m:r&gt;&lt;/m:e&gt;&lt;/m:d&gt;&lt;/m:e&gt;&lt;m:sup&gt;&lt;m:r&gt;&lt;w:rPr&gt;&lt;w:rFonts w:ascii=&quot;Cambria Math&quot; w:h-ansi=&quot;Cambria Math&quot;/&gt;&lt;wx:font wx:val=&quot;Cambria Math&quot;/&gt;&lt;w:i/&gt;&lt;w:sz w:val=&quot;28&quot;/&gt;&lt;w:sz-cs w:val=&quot;28&quot;/&gt;&lt;/w:rPr&gt;&lt;m:t&gt;k&lt;/m:t&gt;&lt;/m:r&gt;&lt;/m:sup&gt;&lt;/m:sSup&gt;&lt;/m:den&gt;&lt;/m:f&gt;&lt;m:r&gt;&lt;w:rPr&gt;&lt;w:rFonts w:ascii=&quot;Cambria Math&quot; w:h-ansi=&quot;Cambria Math&quot;/&gt;&lt;wx:font wx:val=&quot;Cambria Math&quot;/&gt;&lt;w:i/&gt;&lt;w:sz w:val=&quot;28&quot;/&gt;&lt;w:sz-cs w:val=&quot;28&quot;/&gt;&lt;/w:rPr&gt;&lt;m:t&gt;-IC&lt;/m:t&gt;&lt;/m:r&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 o:title="" chromakey="white"/>
          </v:shape>
        </w:pict>
      </w:r>
      <w:r w:rsidR="00A3483E" w:rsidRPr="00A3483E">
        <w:rPr>
          <w:rFonts w:ascii="Times New Roman" w:eastAsiaTheme="minorEastAsia" w:hAnsi="Times New Roman"/>
          <w:sz w:val="28"/>
          <w:szCs w:val="28"/>
        </w:rPr>
        <w:instrText xml:space="preserve"> </w:instrText>
      </w:r>
      <w:r w:rsidR="00A3483E" w:rsidRPr="00A3483E">
        <w:rPr>
          <w:rFonts w:ascii="Times New Roman" w:eastAsiaTheme="minorEastAsia" w:hAnsi="Times New Roman"/>
          <w:sz w:val="28"/>
          <w:szCs w:val="28"/>
        </w:rPr>
        <w:fldChar w:fldCharType="separate"/>
      </w:r>
      <w:r w:rsidR="00DE3D68">
        <w:rPr>
          <w:position w:val="-23"/>
        </w:rPr>
        <w:pict>
          <v:shape id="_x0000_i1026" type="#_x0000_t75" style="width:141.75pt;height:27.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65776&quot;/&gt;&lt;wsp:rsid wsp:val=&quot;00011AB3&quot;/&gt;&lt;wsp:rsid wsp:val=&quot;00027821&quot;/&gt;&lt;wsp:rsid wsp:val=&quot;000350B6&quot;/&gt;&lt;wsp:rsid wsp:val=&quot;000836C3&quot;/&gt;&lt;wsp:rsid wsp:val=&quot;00083EF2&quot;/&gt;&lt;wsp:rsid wsp:val=&quot;00113368&quot;/&gt;&lt;wsp:rsid wsp:val=&quot;0012089F&quot;/&gt;&lt;wsp:rsid wsp:val=&quot;001443A6&quot;/&gt;&lt;wsp:rsid wsp:val=&quot;00195162&quot;/&gt;&lt;wsp:rsid wsp:val=&quot;001A18B7&quot;/&gt;&lt;wsp:rsid wsp:val=&quot;001C309B&quot;/&gt;&lt;wsp:rsid wsp:val=&quot;001D55D5&quot;/&gt;&lt;wsp:rsid wsp:val=&quot;0020190D&quot;/&gt;&lt;wsp:rsid wsp:val=&quot;00227218&quot;/&gt;&lt;wsp:rsid wsp:val=&quot;00230E90&quot;/&gt;&lt;wsp:rsid wsp:val=&quot;00254AE3&quot;/&gt;&lt;wsp:rsid wsp:val=&quot;002621EA&quot;/&gt;&lt;wsp:rsid wsp:val=&quot;002B05C9&quot;/&gt;&lt;wsp:rsid wsp:val=&quot;002B0D2F&quot;/&gt;&lt;wsp:rsid wsp:val=&quot;002B34B4&quot;/&gt;&lt;wsp:rsid wsp:val=&quot;002B67C8&quot;/&gt;&lt;wsp:rsid wsp:val=&quot;002F3D96&quot;/&gt;&lt;wsp:rsid wsp:val=&quot;002F445F&quot;/&gt;&lt;wsp:rsid wsp:val=&quot;003449E2&quot;/&gt;&lt;wsp:rsid wsp:val=&quot;003572EA&quot;/&gt;&lt;wsp:rsid wsp:val=&quot;003811E3&quot;/&gt;&lt;wsp:rsid wsp:val=&quot;003955E0&quot;/&gt;&lt;wsp:rsid wsp:val=&quot;003962B3&quot;/&gt;&lt;wsp:rsid wsp:val=&quot;003B7E8E&quot;/&gt;&lt;wsp:rsid wsp:val=&quot;003F116B&quot;/&gt;&lt;wsp:rsid wsp:val=&quot;003F4AB1&quot;/&gt;&lt;wsp:rsid wsp:val=&quot;00407234&quot;/&gt;&lt;wsp:rsid wsp:val=&quot;00421DC2&quot;/&gt;&lt;wsp:rsid wsp:val=&quot;00423FC1&quot;/&gt;&lt;wsp:rsid wsp:val=&quot;0045031C&quot;/&gt;&lt;wsp:rsid wsp:val=&quot;00465F43&quot;/&gt;&lt;wsp:rsid wsp:val=&quot;00496EB2&quot;/&gt;&lt;wsp:rsid wsp:val=&quot;004A2D77&quot;/&gt;&lt;wsp:rsid wsp:val=&quot;004D003E&quot;/&gt;&lt;wsp:rsid wsp:val=&quot;004F4DAA&quot;/&gt;&lt;wsp:rsid wsp:val=&quot;004F70E0&quot;/&gt;&lt;wsp:rsid wsp:val=&quot;00513A7F&quot;/&gt;&lt;wsp:rsid wsp:val=&quot;0054223D&quot;/&gt;&lt;wsp:rsid wsp:val=&quot;00595FF0&quot;/&gt;&lt;wsp:rsid wsp:val=&quot;005E6A57&quot;/&gt;&lt;wsp:rsid wsp:val=&quot;005F35DB&quot;/&gt;&lt;wsp:rsid wsp:val=&quot;006074E4&quot;/&gt;&lt;wsp:rsid wsp:val=&quot;0065371B&quot;/&gt;&lt;wsp:rsid wsp:val=&quot;00667545&quot;/&gt;&lt;wsp:rsid wsp:val=&quot;00693588&quot;/&gt;&lt;wsp:rsid wsp:val=&quot;006A72B7&quot;/&gt;&lt;wsp:rsid wsp:val=&quot;006D1D96&quot;/&gt;&lt;wsp:rsid wsp:val=&quot;006D6D1D&quot;/&gt;&lt;wsp:rsid wsp:val=&quot;006E2527&quot;/&gt;&lt;wsp:rsid wsp:val=&quot;00716721&quot;/&gt;&lt;wsp:rsid wsp:val=&quot;00733395&quot;/&gt;&lt;wsp:rsid wsp:val=&quot;007A2A0D&quot;/&gt;&lt;wsp:rsid wsp:val=&quot;007A5235&quot;/&gt;&lt;wsp:rsid wsp:val=&quot;007B0EDE&quot;/&gt;&lt;wsp:rsid wsp:val=&quot;007B4799&quot;/&gt;&lt;wsp:rsid wsp:val=&quot;007B4A80&quot;/&gt;&lt;wsp:rsid wsp:val=&quot;007D0813&quot;/&gt;&lt;wsp:rsid wsp:val=&quot;00874A0D&quot;/&gt;&lt;wsp:rsid wsp:val=&quot;008A6413&quot;/&gt;&lt;wsp:rsid wsp:val=&quot;008F0088&quot;/&gt;&lt;wsp:rsid wsp:val=&quot;009024E2&quot;/&gt;&lt;wsp:rsid wsp:val=&quot;00903BD9&quot;/&gt;&lt;wsp:rsid wsp:val=&quot;00904723&quot;/&gt;&lt;wsp:rsid wsp:val=&quot;0091058C&quot;/&gt;&lt;wsp:rsid wsp:val=&quot;0091292B&quot;/&gt;&lt;wsp:rsid wsp:val=&quot;00941A90&quot;/&gt;&lt;wsp:rsid wsp:val=&quot;00941FF5&quot;/&gt;&lt;wsp:rsid wsp:val=&quot;0096096E&quot;/&gt;&lt;wsp:rsid wsp:val=&quot;009659C0&quot;/&gt;&lt;wsp:rsid wsp:val=&quot;00966612&quot;/&gt;&lt;wsp:rsid wsp:val=&quot;009C1E71&quot;/&gt;&lt;wsp:rsid wsp:val=&quot;009C3300&quot;/&gt;&lt;wsp:rsid wsp:val=&quot;009C4E8C&quot;/&gt;&lt;wsp:rsid wsp:val=&quot;009F676E&quot;/&gt;&lt;wsp:rsid wsp:val=&quot;00A3133C&quot;/&gt;&lt;wsp:rsid wsp:val=&quot;00A3483E&quot;/&gt;&lt;wsp:rsid wsp:val=&quot;00A84541&quot;/&gt;&lt;wsp:rsid wsp:val=&quot;00AE0E62&quot;/&gt;&lt;wsp:rsid wsp:val=&quot;00AF3009&quot;/&gt;&lt;wsp:rsid wsp:val=&quot;00B226FC&quot;/&gt;&lt;wsp:rsid wsp:val=&quot;00B23297&quot;/&gt;&lt;wsp:rsid wsp:val=&quot;00B40255&quot;/&gt;&lt;wsp:rsid wsp:val=&quot;00B60F9B&quot;/&gt;&lt;wsp:rsid wsp:val=&quot;00BC17ED&quot;/&gt;&lt;wsp:rsid wsp:val=&quot;00C002E9&quot;/&gt;&lt;wsp:rsid wsp:val=&quot;00C348D9&quot;/&gt;&lt;wsp:rsid wsp:val=&quot;00C73E14&quot;/&gt;&lt;wsp:rsid wsp:val=&quot;00C82911&quot;/&gt;&lt;wsp:rsid wsp:val=&quot;00CA274A&quot;/&gt;&lt;wsp:rsid wsp:val=&quot;00CA3753&quot;/&gt;&lt;wsp:rsid wsp:val=&quot;00CD24B0&quot;/&gt;&lt;wsp:rsid wsp:val=&quot;00CD691D&quot;/&gt;&lt;wsp:rsid wsp:val=&quot;00CF0262&quot;/&gt;&lt;wsp:rsid wsp:val=&quot;00D103EB&quot;/&gt;&lt;wsp:rsid wsp:val=&quot;00D1414C&quot;/&gt;&lt;wsp:rsid wsp:val=&quot;00D41C40&quot;/&gt;&lt;wsp:rsid wsp:val=&quot;00D5150C&quot;/&gt;&lt;wsp:rsid wsp:val=&quot;00D517E0&quot;/&gt;&lt;wsp:rsid wsp:val=&quot;00D541B7&quot;/&gt;&lt;wsp:rsid wsp:val=&quot;00D54279&quot;/&gt;&lt;wsp:rsid wsp:val=&quot;00D65776&quot;/&gt;&lt;wsp:rsid wsp:val=&quot;00D72A09&quot;/&gt;&lt;wsp:rsid wsp:val=&quot;00D81D8F&quot;/&gt;&lt;wsp:rsid wsp:val=&quot;00DA0A5B&quot;/&gt;&lt;wsp:rsid wsp:val=&quot;00DC2898&quot;/&gt;&lt;wsp:rsid wsp:val=&quot;00DD0F1A&quot;/&gt;&lt;wsp:rsid wsp:val=&quot;00DD10D4&quot;/&gt;&lt;wsp:rsid wsp:val=&quot;00DD3329&quot;/&gt;&lt;wsp:rsid wsp:val=&quot;00E04053&quot;/&gt;&lt;wsp:rsid wsp:val=&quot;00E11B1F&quot;/&gt;&lt;wsp:rsid wsp:val=&quot;00E11C44&quot;/&gt;&lt;wsp:rsid wsp:val=&quot;00E30A0E&quot;/&gt;&lt;wsp:rsid wsp:val=&quot;00E44804&quot;/&gt;&lt;wsp:rsid wsp:val=&quot;00E46FE9&quot;/&gt;&lt;wsp:rsid wsp:val=&quot;00E712D6&quot;/&gt;&lt;wsp:rsid wsp:val=&quot;00E83406&quot;/&gt;&lt;wsp:rsid wsp:val=&quot;00E91A39&quot;/&gt;&lt;wsp:rsid wsp:val=&quot;00F11E16&quot;/&gt;&lt;wsp:rsid wsp:val=&quot;00F26F4C&quot;/&gt;&lt;wsp:rsid wsp:val=&quot;00F32FB9&quot;/&gt;&lt;wsp:rsid wsp:val=&quot;00F42500&quot;/&gt;&lt;wsp:rsid wsp:val=&quot;00F5146F&quot;/&gt;&lt;wsp:rsid wsp:val=&quot;00F80A0A&quot;/&gt;&lt;wsp:rsid wsp:val=&quot;00F82398&quot;/&gt;&lt;wsp:rsid wsp:val=&quot;00FF42C6&quot;/&gt;&lt;/wsp:rsids&gt;&lt;/w:docPr&gt;&lt;w:body&gt;&lt;wx:sect&gt;&lt;w:p wsp:rsidR=&quot;00000000&quot; wsp:rsidRDefault=&quot;004D003E&quot; wsp:rsidP=&quot;004D003E&quot;&gt;&lt;m:oMathPara&gt;&lt;m:oMath&gt;&lt;m:r&gt;&lt;w:rPr&gt;&lt;w:rFonts w:ascii=&quot;Cambria Math&quot; w:h-ansi=&quot;Cambria Math&quot;/&gt;&lt;wx:font wx:val=&quot;Cambria Math&quot;/&gt;&lt;w:i/&gt;&lt;w:sz w:val=&quot;28&quot;/&gt;&lt;w:sz-cs w:val=&quot;28&quot;/&gt;&lt;/w:rPr&gt;&lt;m:t&gt;NPV=&lt;/m:t&gt;&lt;/m:r&gt;&lt;m:nary&gt;&lt;m:naryPr&gt;&lt;m:chr m:val=&quot;в€‘&quot;/&gt;&lt;m:limLoc m:val=&quot;undOvr&quot;/&gt;&lt;m:ctrlPr&gt;&lt;w:rPr&gt;&lt;w:rFonts w:ascii=&quot;Cambria Math&quot; w:h-ansi=&quot;Cambria Math&quot;/&gt;&lt;wx:font wx:val=&quot;Cambria Math&quot;/&gt;&lt;w:i/&gt;&lt;w:sz w:val=&quot;28&quot;/&gt;&lt;/w:rPr&gt;&lt;/m:ctrlPr&gt;&lt;/m:naryPr&gt;&lt;m:sub&gt;&lt;m:r&gt;&lt;w:rPr&gt;&lt;w:rFonts w:ascii=&quot;Cambria Math&quot; w:h-ansi=&quot;Cambria Math&quot;/&gt;&lt;wx:font wx:val=&quot;Cambria Math&quot;/&gt;&lt;w:i/&gt;&lt;w:sz w:val=&quot;28&quot;/&gt;&lt;w:sz-cs w:val=&quot;28&quot;/&gt;&lt;/w:rPr&gt;&lt;m:t&gt;k=1&lt;/m:t&gt;&lt;/m:r&gt;&lt;/m:sub&gt;&lt;m:sup&gt;&lt;m:r&gt;&lt;w:rPr&gt;&lt;w:rFonts w:ascii=&quot;Cambria Math&quot; w:h-ansi=&quot;Cambria Math&quot;/&gt;&lt;wx:font wx:val=&quot;Cambria Math&quot;/&gt;&lt;w:i/&gt;&lt;w:sz w:val=&quot;28&quot;/&gt;&lt;w:sz-cs w:val=&quot;28&quot;/&gt;&lt;/w:rPr&gt;&lt;m:t&gt;n&lt;/m:t&gt;&lt;/m:r&gt;&lt;/m:sup&gt;&lt;m:e&gt;&lt;m:f&gt;&lt;m:fPr&gt;&lt;m:ctrlPr&gt;&lt;w:rPr&gt;&lt;w:rFonts w:ascii=&quot;Cambria Math&quot; w:h-ansi=&quot;Cambria Math&quot;/&gt;&lt;wx:font wx:val=&quot;Cambria Math&quot;/&gt;&lt;w:i/&gt;&lt;w:sz w:val=&quot;28&quot;/&gt;&lt;/w:rPr&gt;&lt;/m:ctrlPr&gt;&lt;/m:fPr&gt;&lt;m:num&gt;&lt;m:sSub&gt;&lt;m:sSubPr&gt;&lt;m:ctrlPr&gt;&lt;w:rPr&gt;&lt;w:rFonts w:ascii=&quot;Cambria Math&quot; w:h-ansi=&quot;Cambria Math&quot;/&gt;&lt;wx:font wx:val=&quot;Cambria Math&quot;/&gt;&lt;w:i/&gt;&lt;w:sz w:val=&quot;28&quot;/&gt;&lt;/w:rPr&gt;&lt;/m:ctrlPr&gt;&lt;/m:sSubPr&gt;&lt;m:e&gt;&lt;m:r&gt;&lt;w:rPr&gt;&lt;w:rFonts w:ascii=&quot;Cambria Math&quot; w:h-ansi=&quot;Cambria Math&quot;/&gt;&lt;wx:font wx:val=&quot;Cambria Math&quot;/&gt;&lt;w:i/&gt;&lt;w:sz w:val=&quot;28&quot;/&gt;&lt;w:sz-cs w:val=&quot;28&quot;/&gt;&lt;/w:rPr&gt;&lt;m:t&gt;P&lt;/m:t&gt;&lt;/m:r&gt;&lt;/m:e&gt;&lt;m:sub&gt;&lt;m:r&gt;&lt;w:rPr&gt;&lt;w:rFonts w:ascii=&quot;Cambria Math&quot; w:h-ansi=&quot;Cambria Math&quot;/&gt;&lt;wx:font wx:val=&quot;Cambria Math&quot;/&gt;&lt;w:i/&gt;&lt;w:sz w:val=&quot;28&quot;/&gt;&lt;w:sz-cs w:val=&quot;28&quot;/&gt;&lt;/w:rPr&gt;&lt;m:t&gt;k&lt;/m:t&gt;&lt;/m:r&gt;&lt;/m:sub&gt;&lt;/m:sSub&gt;&lt;/m:num&gt;&lt;m:den&gt;&lt;m:sSup&gt;&lt;m:sSupPr&gt;&lt;m:ctrlPr&gt;&lt;w:rPr&gt;&lt;w:rFonts w:ascii=&quot;Cambria Math&quot; w:h-ansi=&quot;Cambria Math&quot;/&gt;&lt;wx:font wx:val=&quot;Cambria Math&quot;/&gt;&lt;w:i/&gt;&lt;w:sz w:val=&quot;28&quot;/&gt;&lt;/w:rPr&gt;&lt;/m:ctrlPr&gt;&lt;/m:sSupPr&gt;&lt;m:e&gt;&lt;m:d&gt;&lt;m:dPr&gt;&lt;m:ctrlPr&gt;&lt;w:rPr&gt;&lt;w:rFonts w:ascii=&quot;Cambria Math&quot; w:h-ansi=&quot;Cambria Math&quot;/&gt;&lt;wx:font wx:val=&quot;Cambria Math&quot;/&gt;&lt;w:i/&gt;&lt;w:sz w:val=&quot;28&quot;/&gt;&lt;/w:rPr&gt;&lt;/m:ctrlPr&gt;&lt;/m:dPr&gt;&lt;m:e&gt;&lt;m:r&gt;&lt;w:rPr&gt;&lt;w:rFonts w:ascii=&quot;Cambria Math&quot; w:h-ansi=&quot;Cambria Math&quot;/&gt;&lt;wx:font wx:val=&quot;Cambria Math&quot;/&gt;&lt;w:i/&gt;&lt;w:sz w:val=&quot;28&quot;/&gt;&lt;w:sz-cs w:val=&quot;28&quot;/&gt;&lt;/w:rPr&gt;&lt;m:t&gt;1+r&lt;/m:t&gt;&lt;/m:r&gt;&lt;/m:e&gt;&lt;/m:d&gt;&lt;/m:e&gt;&lt;m:sup&gt;&lt;m:r&gt;&lt;w:rPr&gt;&lt;w:rFonts w:ascii=&quot;Cambria Math&quot; w:h-ansi=&quot;Cambria Math&quot;/&gt;&lt;wx:font wx:val=&quot;Cambria Math&quot;/&gt;&lt;w:i/&gt;&lt;w:sz w:val=&quot;28&quot;/&gt;&lt;w:sz-cs w:val=&quot;28&quot;/&gt;&lt;/w:rPr&gt;&lt;m:t&gt;k&lt;/m:t&gt;&lt;/m:r&gt;&lt;/m:sup&gt;&lt;/m:sSup&gt;&lt;/m:den&gt;&lt;/m:f&gt;&lt;m:r&gt;&lt;w:rPr&gt;&lt;w:rFonts w:ascii=&quot;Cambria Math&quot; w:h-ansi=&quot;Cambria Math&quot;/&gt;&lt;wx:font wx:val=&quot;Cambria Math&quot;/&gt;&lt;w:i/&gt;&lt;w:sz w:val=&quot;28&quot;/&gt;&lt;w:sz-cs w:val=&quot;28&quot;/&gt;&lt;/w:rPr&gt;&lt;m:t&gt;-IC&lt;/m:t&gt;&lt;/m:r&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 o:title="" chromakey="white"/>
          </v:shape>
        </w:pict>
      </w:r>
      <w:r w:rsidR="00A3483E" w:rsidRPr="00A3483E">
        <w:rPr>
          <w:rFonts w:ascii="Times New Roman" w:eastAsiaTheme="minorEastAsia" w:hAnsi="Times New Roman"/>
          <w:sz w:val="28"/>
          <w:szCs w:val="28"/>
        </w:rPr>
        <w:fldChar w:fldCharType="end"/>
      </w:r>
      <w:r w:rsidR="009C4E8C" w:rsidRPr="00A3483E">
        <w:rPr>
          <w:rFonts w:ascii="Times New Roman" w:hAnsi="Times New Roman"/>
          <w:sz w:val="28"/>
          <w:szCs w:val="28"/>
        </w:rPr>
        <w:t xml:space="preserve">, где </w:t>
      </w:r>
      <w:r w:rsidR="009C4E8C" w:rsidRPr="00A3483E">
        <w:rPr>
          <w:rFonts w:ascii="Times New Roman" w:hAnsi="Times New Roman"/>
          <w:sz w:val="28"/>
          <w:szCs w:val="28"/>
          <w:lang w:val="en-US"/>
        </w:rPr>
        <w:t>P</w:t>
      </w:r>
      <w:r w:rsidR="009C4E8C" w:rsidRPr="00A3483E">
        <w:rPr>
          <w:rFonts w:ascii="Times New Roman" w:hAnsi="Times New Roman"/>
          <w:sz w:val="28"/>
          <w:szCs w:val="28"/>
        </w:rPr>
        <w:t xml:space="preserve"> – доход, </w:t>
      </w:r>
      <w:r w:rsidR="009C4E8C" w:rsidRPr="00A3483E">
        <w:rPr>
          <w:rFonts w:ascii="Times New Roman" w:hAnsi="Times New Roman"/>
          <w:sz w:val="28"/>
          <w:szCs w:val="28"/>
          <w:lang w:val="en-US"/>
        </w:rPr>
        <w:t>r</w:t>
      </w:r>
      <w:r w:rsidR="009C4E8C" w:rsidRPr="00A3483E">
        <w:rPr>
          <w:rFonts w:ascii="Times New Roman" w:hAnsi="Times New Roman"/>
          <w:sz w:val="28"/>
          <w:szCs w:val="28"/>
        </w:rPr>
        <w:t xml:space="preserve"> – цена капитала, </w:t>
      </w:r>
      <w:r w:rsidR="009C4E8C" w:rsidRPr="00A3483E">
        <w:rPr>
          <w:rFonts w:ascii="Times New Roman" w:hAnsi="Times New Roman"/>
          <w:sz w:val="28"/>
          <w:szCs w:val="28"/>
          <w:lang w:val="en-US"/>
        </w:rPr>
        <w:t>IC</w:t>
      </w:r>
      <w:r w:rsidR="009C4E8C" w:rsidRPr="00A3483E">
        <w:rPr>
          <w:rFonts w:ascii="Times New Roman" w:hAnsi="Times New Roman"/>
          <w:sz w:val="28"/>
          <w:szCs w:val="28"/>
        </w:rPr>
        <w:t xml:space="preserve"> –исходная инвестиция</w:t>
      </w:r>
    </w:p>
    <w:p w:rsidR="003811E3" w:rsidRPr="00A3483E" w:rsidRDefault="003811E3" w:rsidP="00A3133C">
      <w:pPr>
        <w:widowControl w:val="0"/>
        <w:shd w:val="clear" w:color="000000" w:fill="auto"/>
        <w:spacing w:after="0" w:line="360" w:lineRule="auto"/>
        <w:ind w:firstLine="709"/>
        <w:jc w:val="both"/>
        <w:rPr>
          <w:rFonts w:ascii="Times New Roman" w:hAnsi="Times New Roman"/>
          <w:sz w:val="28"/>
          <w:szCs w:val="28"/>
        </w:rPr>
      </w:pPr>
      <w:r w:rsidRPr="00A3483E">
        <w:rPr>
          <w:rFonts w:ascii="Times New Roman" w:hAnsi="Times New Roman"/>
          <w:sz w:val="28"/>
          <w:szCs w:val="28"/>
          <w:lang w:val="en-US"/>
        </w:rPr>
        <w:t>NPV</w:t>
      </w:r>
      <w:r w:rsidRPr="00A3483E">
        <w:rPr>
          <w:rFonts w:ascii="Times New Roman" w:hAnsi="Times New Roman"/>
          <w:sz w:val="28"/>
          <w:szCs w:val="28"/>
        </w:rPr>
        <w:t>(А)=0,45</w:t>
      </w:r>
    </w:p>
    <w:p w:rsidR="003811E3" w:rsidRPr="00A3483E" w:rsidRDefault="003811E3" w:rsidP="00A3133C">
      <w:pPr>
        <w:widowControl w:val="0"/>
        <w:shd w:val="clear" w:color="000000" w:fill="auto"/>
        <w:spacing w:after="0" w:line="360" w:lineRule="auto"/>
        <w:ind w:firstLine="709"/>
        <w:jc w:val="both"/>
        <w:rPr>
          <w:rFonts w:ascii="Times New Roman" w:hAnsi="Times New Roman"/>
          <w:sz w:val="28"/>
          <w:szCs w:val="28"/>
        </w:rPr>
      </w:pPr>
      <w:r w:rsidRPr="00A3483E">
        <w:rPr>
          <w:rFonts w:ascii="Times New Roman" w:hAnsi="Times New Roman"/>
          <w:sz w:val="28"/>
          <w:szCs w:val="28"/>
          <w:lang w:val="en-US"/>
        </w:rPr>
        <w:t>NPV</w:t>
      </w:r>
      <w:r w:rsidRPr="00A3483E">
        <w:rPr>
          <w:rFonts w:ascii="Times New Roman" w:hAnsi="Times New Roman"/>
          <w:sz w:val="28"/>
          <w:szCs w:val="28"/>
        </w:rPr>
        <w:t>(Б)=</w:t>
      </w:r>
      <w:r w:rsidR="00FF42C6" w:rsidRPr="00A3483E">
        <w:rPr>
          <w:rFonts w:ascii="Times New Roman" w:hAnsi="Times New Roman"/>
          <w:sz w:val="28"/>
          <w:szCs w:val="28"/>
        </w:rPr>
        <w:t>2,76</w:t>
      </w:r>
    </w:p>
    <w:p w:rsidR="003811E3" w:rsidRPr="00A3483E" w:rsidRDefault="003811E3" w:rsidP="00A3133C">
      <w:pPr>
        <w:widowControl w:val="0"/>
        <w:shd w:val="clear" w:color="000000" w:fill="auto"/>
        <w:spacing w:after="0" w:line="360" w:lineRule="auto"/>
        <w:ind w:firstLine="709"/>
        <w:jc w:val="both"/>
        <w:rPr>
          <w:rFonts w:ascii="Times New Roman" w:hAnsi="Times New Roman"/>
          <w:sz w:val="28"/>
          <w:szCs w:val="28"/>
        </w:rPr>
      </w:pPr>
      <w:r w:rsidRPr="00A3483E">
        <w:rPr>
          <w:rFonts w:ascii="Times New Roman" w:hAnsi="Times New Roman"/>
          <w:sz w:val="28"/>
          <w:szCs w:val="28"/>
          <w:lang w:val="en-US"/>
        </w:rPr>
        <w:t>NPV</w:t>
      </w:r>
      <w:r w:rsidRPr="00A3483E">
        <w:rPr>
          <w:rFonts w:ascii="Times New Roman" w:hAnsi="Times New Roman"/>
          <w:sz w:val="28"/>
          <w:szCs w:val="28"/>
        </w:rPr>
        <w:t>(В)=</w:t>
      </w:r>
      <w:r w:rsidR="00FF42C6" w:rsidRPr="00A3483E">
        <w:rPr>
          <w:rFonts w:ascii="Times New Roman" w:hAnsi="Times New Roman"/>
          <w:sz w:val="28"/>
          <w:szCs w:val="28"/>
        </w:rPr>
        <w:t>4,08</w:t>
      </w:r>
    </w:p>
    <w:p w:rsidR="00FF42C6" w:rsidRPr="00A3483E" w:rsidRDefault="00E44804"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sz w:val="28"/>
          <w:szCs w:val="28"/>
        </w:rPr>
        <w:t>2) Рассчитываем суммарный приведенный эффект по формуле</w:t>
      </w:r>
      <w:r w:rsidR="009C4E8C" w:rsidRPr="00A3133C">
        <w:rPr>
          <w:rFonts w:ascii="Times New Roman" w:hAnsi="Times New Roman"/>
          <w:sz w:val="28"/>
          <w:szCs w:val="28"/>
        </w:rPr>
        <w:t xml:space="preserve"> бесконечно убывающей геометрической прогрессии </w:t>
      </w:r>
      <w:r w:rsidR="00A3483E" w:rsidRPr="00A3483E">
        <w:rPr>
          <w:rFonts w:ascii="Times New Roman" w:eastAsiaTheme="minorEastAsia" w:hAnsi="Times New Roman"/>
          <w:sz w:val="28"/>
          <w:szCs w:val="28"/>
        </w:rPr>
        <w:fldChar w:fldCharType="begin"/>
      </w:r>
      <w:r w:rsidR="00A3483E" w:rsidRPr="00A3483E">
        <w:rPr>
          <w:rFonts w:ascii="Times New Roman" w:eastAsiaTheme="minorEastAsia" w:hAnsi="Times New Roman"/>
          <w:sz w:val="28"/>
          <w:szCs w:val="28"/>
        </w:rPr>
        <w:instrText xml:space="preserve"> QUOTE </w:instrText>
      </w:r>
      <w:r w:rsidR="00DE3D68">
        <w:rPr>
          <w:position w:val="-23"/>
        </w:rPr>
        <w:pict>
          <v:shape id="_x0000_i1027" type="#_x0000_t75" style="width:129pt;height:29.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65776&quot;/&gt;&lt;wsp:rsid wsp:val=&quot;00011AB3&quot;/&gt;&lt;wsp:rsid wsp:val=&quot;00027821&quot;/&gt;&lt;wsp:rsid wsp:val=&quot;000350B6&quot;/&gt;&lt;wsp:rsid wsp:val=&quot;000836C3&quot;/&gt;&lt;wsp:rsid wsp:val=&quot;00083EF2&quot;/&gt;&lt;wsp:rsid wsp:val=&quot;00113368&quot;/&gt;&lt;wsp:rsid wsp:val=&quot;0012089F&quot;/&gt;&lt;wsp:rsid wsp:val=&quot;001443A6&quot;/&gt;&lt;wsp:rsid wsp:val=&quot;00195162&quot;/&gt;&lt;wsp:rsid wsp:val=&quot;001A18B7&quot;/&gt;&lt;wsp:rsid wsp:val=&quot;001C309B&quot;/&gt;&lt;wsp:rsid wsp:val=&quot;001D55D5&quot;/&gt;&lt;wsp:rsid wsp:val=&quot;0020190D&quot;/&gt;&lt;wsp:rsid wsp:val=&quot;00227218&quot;/&gt;&lt;wsp:rsid wsp:val=&quot;00230E90&quot;/&gt;&lt;wsp:rsid wsp:val=&quot;00254AE3&quot;/&gt;&lt;wsp:rsid wsp:val=&quot;002621EA&quot;/&gt;&lt;wsp:rsid wsp:val=&quot;002B05C9&quot;/&gt;&lt;wsp:rsid wsp:val=&quot;002B0D2F&quot;/&gt;&lt;wsp:rsid wsp:val=&quot;002B34B4&quot;/&gt;&lt;wsp:rsid wsp:val=&quot;002B67C8&quot;/&gt;&lt;wsp:rsid wsp:val=&quot;002F3D96&quot;/&gt;&lt;wsp:rsid wsp:val=&quot;002F445F&quot;/&gt;&lt;wsp:rsid wsp:val=&quot;003449E2&quot;/&gt;&lt;wsp:rsid wsp:val=&quot;003572EA&quot;/&gt;&lt;wsp:rsid wsp:val=&quot;003811E3&quot;/&gt;&lt;wsp:rsid wsp:val=&quot;003955E0&quot;/&gt;&lt;wsp:rsid wsp:val=&quot;003962B3&quot;/&gt;&lt;wsp:rsid wsp:val=&quot;003B7E8E&quot;/&gt;&lt;wsp:rsid wsp:val=&quot;003F116B&quot;/&gt;&lt;wsp:rsid wsp:val=&quot;003F4AB1&quot;/&gt;&lt;wsp:rsid wsp:val=&quot;00407234&quot;/&gt;&lt;wsp:rsid wsp:val=&quot;00421DC2&quot;/&gt;&lt;wsp:rsid wsp:val=&quot;00423FC1&quot;/&gt;&lt;wsp:rsid wsp:val=&quot;0045031C&quot;/&gt;&lt;wsp:rsid wsp:val=&quot;00465F43&quot;/&gt;&lt;wsp:rsid wsp:val=&quot;00496EB2&quot;/&gt;&lt;wsp:rsid wsp:val=&quot;004A2D77&quot;/&gt;&lt;wsp:rsid wsp:val=&quot;004F4DAA&quot;/&gt;&lt;wsp:rsid wsp:val=&quot;004F70E0&quot;/&gt;&lt;wsp:rsid wsp:val=&quot;00513A7F&quot;/&gt;&lt;wsp:rsid wsp:val=&quot;0054223D&quot;/&gt;&lt;wsp:rsid wsp:val=&quot;00592734&quot;/&gt;&lt;wsp:rsid wsp:val=&quot;00595FF0&quot;/&gt;&lt;wsp:rsid wsp:val=&quot;005E6A57&quot;/&gt;&lt;wsp:rsid wsp:val=&quot;005F35DB&quot;/&gt;&lt;wsp:rsid wsp:val=&quot;006074E4&quot;/&gt;&lt;wsp:rsid wsp:val=&quot;0065371B&quot;/&gt;&lt;wsp:rsid wsp:val=&quot;00667545&quot;/&gt;&lt;wsp:rsid wsp:val=&quot;00693588&quot;/&gt;&lt;wsp:rsid wsp:val=&quot;006A72B7&quot;/&gt;&lt;wsp:rsid wsp:val=&quot;006D1D96&quot;/&gt;&lt;wsp:rsid wsp:val=&quot;006D6D1D&quot;/&gt;&lt;wsp:rsid wsp:val=&quot;006E2527&quot;/&gt;&lt;wsp:rsid wsp:val=&quot;00716721&quot;/&gt;&lt;wsp:rsid wsp:val=&quot;00733395&quot;/&gt;&lt;wsp:rsid wsp:val=&quot;007A2A0D&quot;/&gt;&lt;wsp:rsid wsp:val=&quot;007A5235&quot;/&gt;&lt;wsp:rsid wsp:val=&quot;007B0EDE&quot;/&gt;&lt;wsp:rsid wsp:val=&quot;007B4799&quot;/&gt;&lt;wsp:rsid wsp:val=&quot;007B4A80&quot;/&gt;&lt;wsp:rsid wsp:val=&quot;007D0813&quot;/&gt;&lt;wsp:rsid wsp:val=&quot;00874A0D&quot;/&gt;&lt;wsp:rsid wsp:val=&quot;008A6413&quot;/&gt;&lt;wsp:rsid wsp:val=&quot;008F0088&quot;/&gt;&lt;wsp:rsid wsp:val=&quot;009024E2&quot;/&gt;&lt;wsp:rsid wsp:val=&quot;00903BD9&quot;/&gt;&lt;wsp:rsid wsp:val=&quot;00904723&quot;/&gt;&lt;wsp:rsid wsp:val=&quot;0091058C&quot;/&gt;&lt;wsp:rsid wsp:val=&quot;0091292B&quot;/&gt;&lt;wsp:rsid wsp:val=&quot;00941A90&quot;/&gt;&lt;wsp:rsid wsp:val=&quot;00941FF5&quot;/&gt;&lt;wsp:rsid wsp:val=&quot;0096096E&quot;/&gt;&lt;wsp:rsid wsp:val=&quot;009659C0&quot;/&gt;&lt;wsp:rsid wsp:val=&quot;00966612&quot;/&gt;&lt;wsp:rsid wsp:val=&quot;009C1E71&quot;/&gt;&lt;wsp:rsid wsp:val=&quot;009C3300&quot;/&gt;&lt;wsp:rsid wsp:val=&quot;009C4E8C&quot;/&gt;&lt;wsp:rsid wsp:val=&quot;009F676E&quot;/&gt;&lt;wsp:rsid wsp:val=&quot;00A3133C&quot;/&gt;&lt;wsp:rsid wsp:val=&quot;00A3483E&quot;/&gt;&lt;wsp:rsid wsp:val=&quot;00A84541&quot;/&gt;&lt;wsp:rsid wsp:val=&quot;00AE0E62&quot;/&gt;&lt;wsp:rsid wsp:val=&quot;00AF3009&quot;/&gt;&lt;wsp:rsid wsp:val=&quot;00B226FC&quot;/&gt;&lt;wsp:rsid wsp:val=&quot;00B23297&quot;/&gt;&lt;wsp:rsid wsp:val=&quot;00B40255&quot;/&gt;&lt;wsp:rsid wsp:val=&quot;00B60F9B&quot;/&gt;&lt;wsp:rsid wsp:val=&quot;00BC17ED&quot;/&gt;&lt;wsp:rsid wsp:val=&quot;00C002E9&quot;/&gt;&lt;wsp:rsid wsp:val=&quot;00C348D9&quot;/&gt;&lt;wsp:rsid wsp:val=&quot;00C73E14&quot;/&gt;&lt;wsp:rsid wsp:val=&quot;00C82911&quot;/&gt;&lt;wsp:rsid wsp:val=&quot;00CA274A&quot;/&gt;&lt;wsp:rsid wsp:val=&quot;00CA3753&quot;/&gt;&lt;wsp:rsid wsp:val=&quot;00CD24B0&quot;/&gt;&lt;wsp:rsid wsp:val=&quot;00CD691D&quot;/&gt;&lt;wsp:rsid wsp:val=&quot;00CF0262&quot;/&gt;&lt;wsp:rsid wsp:val=&quot;00D103EB&quot;/&gt;&lt;wsp:rsid wsp:val=&quot;00D1414C&quot;/&gt;&lt;wsp:rsid wsp:val=&quot;00D41C40&quot;/&gt;&lt;wsp:rsid wsp:val=&quot;00D5150C&quot;/&gt;&lt;wsp:rsid wsp:val=&quot;00D517E0&quot;/&gt;&lt;wsp:rsid wsp:val=&quot;00D541B7&quot;/&gt;&lt;wsp:rsid wsp:val=&quot;00D54279&quot;/&gt;&lt;wsp:rsid wsp:val=&quot;00D65776&quot;/&gt;&lt;wsp:rsid wsp:val=&quot;00D72A09&quot;/&gt;&lt;wsp:rsid wsp:val=&quot;00D81D8F&quot;/&gt;&lt;wsp:rsid wsp:val=&quot;00DA0A5B&quot;/&gt;&lt;wsp:rsid wsp:val=&quot;00DC2898&quot;/&gt;&lt;wsp:rsid wsp:val=&quot;00DD0F1A&quot;/&gt;&lt;wsp:rsid wsp:val=&quot;00DD10D4&quot;/&gt;&lt;wsp:rsid wsp:val=&quot;00DD3329&quot;/&gt;&lt;wsp:rsid wsp:val=&quot;00E04053&quot;/&gt;&lt;wsp:rsid wsp:val=&quot;00E11B1F&quot;/&gt;&lt;wsp:rsid wsp:val=&quot;00E11C44&quot;/&gt;&lt;wsp:rsid wsp:val=&quot;00E30A0E&quot;/&gt;&lt;wsp:rsid wsp:val=&quot;00E44804&quot;/&gt;&lt;wsp:rsid wsp:val=&quot;00E46FE9&quot;/&gt;&lt;wsp:rsid wsp:val=&quot;00E712D6&quot;/&gt;&lt;wsp:rsid wsp:val=&quot;00E83406&quot;/&gt;&lt;wsp:rsid wsp:val=&quot;00E91A39&quot;/&gt;&lt;wsp:rsid wsp:val=&quot;00F11E16&quot;/&gt;&lt;wsp:rsid wsp:val=&quot;00F26F4C&quot;/&gt;&lt;wsp:rsid wsp:val=&quot;00F32FB9&quot;/&gt;&lt;wsp:rsid wsp:val=&quot;00F42500&quot;/&gt;&lt;wsp:rsid wsp:val=&quot;00F5146F&quot;/&gt;&lt;wsp:rsid wsp:val=&quot;00F80A0A&quot;/&gt;&lt;wsp:rsid wsp:val=&quot;00F82398&quot;/&gt;&lt;wsp:rsid wsp:val=&quot;00FF42C6&quot;/&gt;&lt;/wsp:rsids&gt;&lt;/w:docPr&gt;&lt;w:body&gt;&lt;wx:sect&gt;&lt;w:p wsp:rsidR=&quot;00000000&quot; wsp:rsidRDefault=&quot;00592734&quot; wsp:rsidP=&quot;00592734&quot;&gt;&lt;m:oMathPara&gt;&lt;m:oMath&gt;&lt;m:sSub&gt;&lt;m:sSubPr&gt;&lt;m:ctrlPr&gt;&lt;w:rPr&gt;&lt;w:rFonts w:ascii=&quot;Cambria Math&quot; w:h-ansi=&quot;Cambria Math&quot;/&gt;&lt;wx:font wx:val=&quot;Cambria Math&quot;/&gt;&lt;w:i/&gt;&lt;w:sz w:val=&quot;28&quot;/&gt;&lt;/w:rPr&gt;&lt;/m:ctrlPr&gt;&lt;/m:sSubPr&gt;&lt;m:e&gt;&lt;m:r&gt;&lt;w:rPr&gt;&lt;w:rFonts w:ascii=&quot;Cambria Math&quot; w:h-ansi=&quot;Cambria Math&quot;/&gt;&lt;wx:font wx:val=&quot;Cambria Math&quot;/&gt;&lt;w:i/&gt;&lt;w:sz w:val=&quot;28&quot;/&gt;&lt;w:sz-cs w:val=&quot;28&quot;/&gt;&lt;w:lang w:val=&quot;EN-US&quot;/&gt;&lt;/w:rPr&gt;&lt;m:t&gt;NPV&lt;/m:t&gt;&lt;/m:r&gt;&lt;m:ctrlPr&gt;&lt;w:rPr&gt;&lt;w:rFonts w:ascii=&quot;Cambria Math&quot; w:h-ansi=&quot;Cambria Math&quot;/&gt;&lt;wx:font wx:val=&quot;Cambria Math&quot;/&gt;&lt;w:i/&gt;&lt;w:sz w:val=&quot;28&quot;/&gt;&lt;w:lang w:val=&quot;EN-US&quot;/&gt;&lt;/w:rPr&gt;&lt;/m:ctrlPr&gt;&lt;/m:e&gt;&lt;m:sub&gt;&lt;m:r&gt;&lt;w:rPr&gt;&lt;w:rFonts w:ascii=&quot;Cambria Math&quot; w:h-ansi=&quot;Cambria Math&quot;/&gt;&lt;wx:font wx:val=&quot;Cambria Math&quot;/&gt;&lt;w:i/&gt;&lt;w:sz w:val=&quot;28&quot;/&gt;&lt;w:sz-cs w:val=&quot;28&quot;/&gt;&lt;/w:rPr&gt;&lt;m:t&gt;в€ћ&lt;/m:t&gt;&lt;/m:r&gt;&lt;/m:sub&gt;&lt;/m:sSub&gt;&lt;m:r&gt;&lt;w:rPr&gt;&lt;w:rFonts w:ascii=&quot;Cambria Math&quot; w:h-ansi=&quot;Cambria Math&quot;/&gt;&lt;wx:font wx:val=&quot;Cambria Math&quot;/&gt;&lt;w:i/&gt;&lt;w:sz w:val=&quot;28&quot;/&gt;&lt;w:sz-cs w:val=&quot;28&quot;/&gt;&lt;/w:rPr&gt;&lt;m:t&gt;=NPV&lt;/m:t&gt;&lt;/m:r&gt;&lt;m:f&gt;&lt;m:fPr&gt;&lt;m:ctrlPr&gt;&lt;w:rPr&gt;&lt;w:rFonts w:ascii=&quot;Cambria Math&quot; w:h-ansi=&quot;Cambria Math&quot;/&gt;&lt;wx:font wx:val=&quot;Cambria Math&quot;/&gt;&lt;w:i/&gt;&lt;w:sz w:val=&quot;28&quot;/&gt;&lt;/w:rPr&gt;&lt;/m:ctrlPr&gt;&lt;/m:fPr&gt;&lt;m:num&gt;&lt;m:sSup&gt;&lt;m:sSupPr&gt;&lt;m:ctrlPr&gt;&lt;w:rPr&gt;&lt;w:rFonts w:ascii=&quot;Cambria Math&quot; w:h-ansi=&quot;Cambria Math&quot;/&gt;&lt;wx:font wx:val=&quot;Cambria Math&quot;/&gt;&lt;w:i/&gt;&lt;w:sz w:val=&quot;28&quot;/&gt;&lt;/w:rPr&gt;&lt;/m:ctrlPr&gt;&lt;/m:sSupPr&gt;&lt;m:e&gt;&lt;m:d&gt;&lt;m:dPr&gt;&lt;m:ctrlPr&gt;&lt;w:rPr&gt;&lt;w:rFonts w:ascii=&quot;Cambria Math&quot; w:h-ansi=&quot;Cambria Math&quot;/&gt;&lt;wx:font wx:val=&quot;Cambria Math&quot;/&gt;&lt;w:i/&gt;&lt;w:sz w:val=&quot;28&quot;/&gt;&lt;/w:rPr&gt;&lt;/m:ctrlPr&gt;&lt;/m:dPr&gt;&lt;m:e&gt;&lt;m:r&gt;&lt;w:rPr&gt;&lt;w:rFonts w:ascii=&quot;Cambria Math&quot; w:h-ansi=&quot;Cambria Math&quot;/&gt;&lt;wx:font wx:val=&quot;Cambria Math&quot;/&gt;&lt;w:i/&gt;&lt;w:sz w:val=&quot;28&quot;/&gt;&lt;w:sz-cs w:val=&quot;28&quot;/&gt;&lt;/w:rPr&gt;&lt;m:t&gt;1+r&lt;/m:t&gt;&lt;/m:r&gt;&lt;/m:e&gt;&lt;/m:d&gt;&lt;/m:e&gt;&lt;m:sup&gt;&lt;m:r&gt;&lt;w:rPr&gt;&lt;w:rFonts w:ascii=&quot;Cambria Math&quot; w:h-ansi=&quot;Cambria Math&quot;/&gt;&lt;wx:font wx:val=&quot;Cambria Math&quot;/&gt;&lt;w:i/&gt;&lt;w:sz w:val=&quot;28&quot;/&gt;&lt;w:sz-cs w:val=&quot;28&quot;/&gt;&lt;/w:rPr&gt;&lt;m:t&gt;n&lt;/m:t&gt;&lt;/m:r&gt;&lt;/m:sup&gt;&lt;/m:sSup&gt;&lt;/m:num&gt;&lt;m:den&gt;&lt;m:sSup&gt;&lt;m:sSupPr&gt;&lt;m:ctrlPr&gt;&lt;w:rPr&gt;&lt;w:rFonts w:ascii=&quot;Cambria Math&quot; w:h-ansi=&quot;Cambria Math&quot;/&gt;&lt;wx:font wx:val=&quot;Cambria Math&quot;/&gt;&lt;w:i/&gt;&lt;w:sz w:val=&quot;28&quot;/&gt;&lt;/w:rPr&gt;&lt;/m:ctrlPr&gt;&lt;/m:sSupPr&gt;&lt;m:e&gt;&lt;m:d&gt;&lt;m:dPr&gt;&lt;m:ctrlPr&gt;&lt;w:rPr&gt;&lt;w:rFonts w:ascii=&quot;Cambria Math&quot; w:h-ansi=&quot;Cambria Math&quot;/&gt;&lt;wx:font wx:val=&quot;Cambria Math&quot;/&gt;&lt;w:i/&gt;&lt;w:sz w:val=&quot;28&quot;/&gt;&lt;/w:rPr&gt;&lt;/m:ctrlPr&gt;&lt;/m:dPr&gt;&lt;m:e&gt;&lt;m:r&gt;&lt;w:rPr&gt;&lt;w:rFonts w:ascii=&quot;Cambria Math&quot; w:h-ansi=&quot;Cambria Math&quot;/&gt;&lt;wx:font wx:val=&quot;Cambria Math&quot;/&gt;&lt;w:i/&gt;&lt;w:sz w:val=&quot;28&quot;/&gt;&lt;w:sz-cs w:val=&quot;28&quot;/&gt;&lt;/w:rPr&gt;&lt;m:t&gt;1+r&lt;/m:t&gt;&lt;/m:r&gt;&lt;/m:e&gt;&lt;/m:d&gt;&lt;/m:e&gt;&lt;m:sup&gt;&lt;m:r&gt;&lt;w:rPr&gt;&lt;w:rFonts w:ascii=&quot;Cambria Math&quot; w:h-ansi=&quot;Cambria Math&quot;/&gt;&lt;wx:font wx:val=&quot;Cambria Math&quot;/&gt;&lt;w:i/&gt;&lt;w:sz w:val=&quot;28&quot;/&gt;&lt;w:sz-cs w:val=&quot;28&quot;/&gt;&lt;/w:rPr&gt;&lt;m:t&gt;n&lt;/m:t&gt;&lt;/m:r&gt;&lt;/m:sup&gt;&lt;/m:sSup&gt;&lt;m:r&gt;&lt;w:rPr&gt;&lt;w:rFonts w:ascii=&quot;Cambria Math&quot; w:h-ansi=&quot;Cambria Math&quot;/&gt;&lt;wx:font wx:val=&quot;Cambria Math&quot;/&gt;&lt;w:i/&gt;&lt;w:sz w:val=&quot;28&quot;/&gt;&lt;w:sz-cs w:val=&quot;28&quot;/&gt;&lt;/w:rPr&gt;&lt;m:t&gt;-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r w:rsidR="00A3483E" w:rsidRPr="00A3483E">
        <w:rPr>
          <w:rFonts w:ascii="Times New Roman" w:eastAsiaTheme="minorEastAsia" w:hAnsi="Times New Roman"/>
          <w:sz w:val="28"/>
          <w:szCs w:val="28"/>
        </w:rPr>
        <w:instrText xml:space="preserve"> </w:instrText>
      </w:r>
      <w:r w:rsidR="00A3483E" w:rsidRPr="00A3483E">
        <w:rPr>
          <w:rFonts w:ascii="Times New Roman" w:eastAsiaTheme="minorEastAsia" w:hAnsi="Times New Roman"/>
          <w:sz w:val="28"/>
          <w:szCs w:val="28"/>
        </w:rPr>
        <w:fldChar w:fldCharType="separate"/>
      </w:r>
      <w:r w:rsidR="00DE3D68">
        <w:rPr>
          <w:position w:val="-23"/>
        </w:rPr>
        <w:pict>
          <v:shape id="_x0000_i1028" type="#_x0000_t75" style="width:129pt;height:29.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65776&quot;/&gt;&lt;wsp:rsid wsp:val=&quot;00011AB3&quot;/&gt;&lt;wsp:rsid wsp:val=&quot;00027821&quot;/&gt;&lt;wsp:rsid wsp:val=&quot;000350B6&quot;/&gt;&lt;wsp:rsid wsp:val=&quot;000836C3&quot;/&gt;&lt;wsp:rsid wsp:val=&quot;00083EF2&quot;/&gt;&lt;wsp:rsid wsp:val=&quot;00113368&quot;/&gt;&lt;wsp:rsid wsp:val=&quot;0012089F&quot;/&gt;&lt;wsp:rsid wsp:val=&quot;001443A6&quot;/&gt;&lt;wsp:rsid wsp:val=&quot;00195162&quot;/&gt;&lt;wsp:rsid wsp:val=&quot;001A18B7&quot;/&gt;&lt;wsp:rsid wsp:val=&quot;001C309B&quot;/&gt;&lt;wsp:rsid wsp:val=&quot;001D55D5&quot;/&gt;&lt;wsp:rsid wsp:val=&quot;0020190D&quot;/&gt;&lt;wsp:rsid wsp:val=&quot;00227218&quot;/&gt;&lt;wsp:rsid wsp:val=&quot;00230E90&quot;/&gt;&lt;wsp:rsid wsp:val=&quot;00254AE3&quot;/&gt;&lt;wsp:rsid wsp:val=&quot;002621EA&quot;/&gt;&lt;wsp:rsid wsp:val=&quot;002B05C9&quot;/&gt;&lt;wsp:rsid wsp:val=&quot;002B0D2F&quot;/&gt;&lt;wsp:rsid wsp:val=&quot;002B34B4&quot;/&gt;&lt;wsp:rsid wsp:val=&quot;002B67C8&quot;/&gt;&lt;wsp:rsid wsp:val=&quot;002F3D96&quot;/&gt;&lt;wsp:rsid wsp:val=&quot;002F445F&quot;/&gt;&lt;wsp:rsid wsp:val=&quot;003449E2&quot;/&gt;&lt;wsp:rsid wsp:val=&quot;003572EA&quot;/&gt;&lt;wsp:rsid wsp:val=&quot;003811E3&quot;/&gt;&lt;wsp:rsid wsp:val=&quot;003955E0&quot;/&gt;&lt;wsp:rsid wsp:val=&quot;003962B3&quot;/&gt;&lt;wsp:rsid wsp:val=&quot;003B7E8E&quot;/&gt;&lt;wsp:rsid wsp:val=&quot;003F116B&quot;/&gt;&lt;wsp:rsid wsp:val=&quot;003F4AB1&quot;/&gt;&lt;wsp:rsid wsp:val=&quot;00407234&quot;/&gt;&lt;wsp:rsid wsp:val=&quot;00421DC2&quot;/&gt;&lt;wsp:rsid wsp:val=&quot;00423FC1&quot;/&gt;&lt;wsp:rsid wsp:val=&quot;0045031C&quot;/&gt;&lt;wsp:rsid wsp:val=&quot;00465F43&quot;/&gt;&lt;wsp:rsid wsp:val=&quot;00496EB2&quot;/&gt;&lt;wsp:rsid wsp:val=&quot;004A2D77&quot;/&gt;&lt;wsp:rsid wsp:val=&quot;004F4DAA&quot;/&gt;&lt;wsp:rsid wsp:val=&quot;004F70E0&quot;/&gt;&lt;wsp:rsid wsp:val=&quot;00513A7F&quot;/&gt;&lt;wsp:rsid wsp:val=&quot;0054223D&quot;/&gt;&lt;wsp:rsid wsp:val=&quot;00592734&quot;/&gt;&lt;wsp:rsid wsp:val=&quot;00595FF0&quot;/&gt;&lt;wsp:rsid wsp:val=&quot;005E6A57&quot;/&gt;&lt;wsp:rsid wsp:val=&quot;005F35DB&quot;/&gt;&lt;wsp:rsid wsp:val=&quot;006074E4&quot;/&gt;&lt;wsp:rsid wsp:val=&quot;0065371B&quot;/&gt;&lt;wsp:rsid wsp:val=&quot;00667545&quot;/&gt;&lt;wsp:rsid wsp:val=&quot;00693588&quot;/&gt;&lt;wsp:rsid wsp:val=&quot;006A72B7&quot;/&gt;&lt;wsp:rsid wsp:val=&quot;006D1D96&quot;/&gt;&lt;wsp:rsid wsp:val=&quot;006D6D1D&quot;/&gt;&lt;wsp:rsid wsp:val=&quot;006E2527&quot;/&gt;&lt;wsp:rsid wsp:val=&quot;00716721&quot;/&gt;&lt;wsp:rsid wsp:val=&quot;00733395&quot;/&gt;&lt;wsp:rsid wsp:val=&quot;007A2A0D&quot;/&gt;&lt;wsp:rsid wsp:val=&quot;007A5235&quot;/&gt;&lt;wsp:rsid wsp:val=&quot;007B0EDE&quot;/&gt;&lt;wsp:rsid wsp:val=&quot;007B4799&quot;/&gt;&lt;wsp:rsid wsp:val=&quot;007B4A80&quot;/&gt;&lt;wsp:rsid wsp:val=&quot;007D0813&quot;/&gt;&lt;wsp:rsid wsp:val=&quot;00874A0D&quot;/&gt;&lt;wsp:rsid wsp:val=&quot;008A6413&quot;/&gt;&lt;wsp:rsid wsp:val=&quot;008F0088&quot;/&gt;&lt;wsp:rsid wsp:val=&quot;009024E2&quot;/&gt;&lt;wsp:rsid wsp:val=&quot;00903BD9&quot;/&gt;&lt;wsp:rsid wsp:val=&quot;00904723&quot;/&gt;&lt;wsp:rsid wsp:val=&quot;0091058C&quot;/&gt;&lt;wsp:rsid wsp:val=&quot;0091292B&quot;/&gt;&lt;wsp:rsid wsp:val=&quot;00941A90&quot;/&gt;&lt;wsp:rsid wsp:val=&quot;00941FF5&quot;/&gt;&lt;wsp:rsid wsp:val=&quot;0096096E&quot;/&gt;&lt;wsp:rsid wsp:val=&quot;009659C0&quot;/&gt;&lt;wsp:rsid wsp:val=&quot;00966612&quot;/&gt;&lt;wsp:rsid wsp:val=&quot;009C1E71&quot;/&gt;&lt;wsp:rsid wsp:val=&quot;009C3300&quot;/&gt;&lt;wsp:rsid wsp:val=&quot;009C4E8C&quot;/&gt;&lt;wsp:rsid wsp:val=&quot;009F676E&quot;/&gt;&lt;wsp:rsid wsp:val=&quot;00A3133C&quot;/&gt;&lt;wsp:rsid wsp:val=&quot;00A3483E&quot;/&gt;&lt;wsp:rsid wsp:val=&quot;00A84541&quot;/&gt;&lt;wsp:rsid wsp:val=&quot;00AE0E62&quot;/&gt;&lt;wsp:rsid wsp:val=&quot;00AF3009&quot;/&gt;&lt;wsp:rsid wsp:val=&quot;00B226FC&quot;/&gt;&lt;wsp:rsid wsp:val=&quot;00B23297&quot;/&gt;&lt;wsp:rsid wsp:val=&quot;00B40255&quot;/&gt;&lt;wsp:rsid wsp:val=&quot;00B60F9B&quot;/&gt;&lt;wsp:rsid wsp:val=&quot;00BC17ED&quot;/&gt;&lt;wsp:rsid wsp:val=&quot;00C002E9&quot;/&gt;&lt;wsp:rsid wsp:val=&quot;00C348D9&quot;/&gt;&lt;wsp:rsid wsp:val=&quot;00C73E14&quot;/&gt;&lt;wsp:rsid wsp:val=&quot;00C82911&quot;/&gt;&lt;wsp:rsid wsp:val=&quot;00CA274A&quot;/&gt;&lt;wsp:rsid wsp:val=&quot;00CA3753&quot;/&gt;&lt;wsp:rsid wsp:val=&quot;00CD24B0&quot;/&gt;&lt;wsp:rsid wsp:val=&quot;00CD691D&quot;/&gt;&lt;wsp:rsid wsp:val=&quot;00CF0262&quot;/&gt;&lt;wsp:rsid wsp:val=&quot;00D103EB&quot;/&gt;&lt;wsp:rsid wsp:val=&quot;00D1414C&quot;/&gt;&lt;wsp:rsid wsp:val=&quot;00D41C40&quot;/&gt;&lt;wsp:rsid wsp:val=&quot;00D5150C&quot;/&gt;&lt;wsp:rsid wsp:val=&quot;00D517E0&quot;/&gt;&lt;wsp:rsid wsp:val=&quot;00D541B7&quot;/&gt;&lt;wsp:rsid wsp:val=&quot;00D54279&quot;/&gt;&lt;wsp:rsid wsp:val=&quot;00D65776&quot;/&gt;&lt;wsp:rsid wsp:val=&quot;00D72A09&quot;/&gt;&lt;wsp:rsid wsp:val=&quot;00D81D8F&quot;/&gt;&lt;wsp:rsid wsp:val=&quot;00DA0A5B&quot;/&gt;&lt;wsp:rsid wsp:val=&quot;00DC2898&quot;/&gt;&lt;wsp:rsid wsp:val=&quot;00DD0F1A&quot;/&gt;&lt;wsp:rsid wsp:val=&quot;00DD10D4&quot;/&gt;&lt;wsp:rsid wsp:val=&quot;00DD3329&quot;/&gt;&lt;wsp:rsid wsp:val=&quot;00E04053&quot;/&gt;&lt;wsp:rsid wsp:val=&quot;00E11B1F&quot;/&gt;&lt;wsp:rsid wsp:val=&quot;00E11C44&quot;/&gt;&lt;wsp:rsid wsp:val=&quot;00E30A0E&quot;/&gt;&lt;wsp:rsid wsp:val=&quot;00E44804&quot;/&gt;&lt;wsp:rsid wsp:val=&quot;00E46FE9&quot;/&gt;&lt;wsp:rsid wsp:val=&quot;00E712D6&quot;/&gt;&lt;wsp:rsid wsp:val=&quot;00E83406&quot;/&gt;&lt;wsp:rsid wsp:val=&quot;00E91A39&quot;/&gt;&lt;wsp:rsid wsp:val=&quot;00F11E16&quot;/&gt;&lt;wsp:rsid wsp:val=&quot;00F26F4C&quot;/&gt;&lt;wsp:rsid wsp:val=&quot;00F32FB9&quot;/&gt;&lt;wsp:rsid wsp:val=&quot;00F42500&quot;/&gt;&lt;wsp:rsid wsp:val=&quot;00F5146F&quot;/&gt;&lt;wsp:rsid wsp:val=&quot;00F80A0A&quot;/&gt;&lt;wsp:rsid wsp:val=&quot;00F82398&quot;/&gt;&lt;wsp:rsid wsp:val=&quot;00FF42C6&quot;/&gt;&lt;/wsp:rsids&gt;&lt;/w:docPr&gt;&lt;w:body&gt;&lt;wx:sect&gt;&lt;w:p wsp:rsidR=&quot;00000000&quot; wsp:rsidRDefault=&quot;00592734&quot; wsp:rsidP=&quot;00592734&quot;&gt;&lt;m:oMathPara&gt;&lt;m:oMath&gt;&lt;m:sSub&gt;&lt;m:sSubPr&gt;&lt;m:ctrlPr&gt;&lt;w:rPr&gt;&lt;w:rFonts w:ascii=&quot;Cambria Math&quot; w:h-ansi=&quot;Cambria Math&quot;/&gt;&lt;wx:font wx:val=&quot;Cambria Math&quot;/&gt;&lt;w:i/&gt;&lt;w:sz w:val=&quot;28&quot;/&gt;&lt;/w:rPr&gt;&lt;/m:ctrlPr&gt;&lt;/m:sSubPr&gt;&lt;m:e&gt;&lt;m:r&gt;&lt;w:rPr&gt;&lt;w:rFonts w:ascii=&quot;Cambria Math&quot; w:h-ansi=&quot;Cambria Math&quot;/&gt;&lt;wx:font wx:val=&quot;Cambria Math&quot;/&gt;&lt;w:i/&gt;&lt;w:sz w:val=&quot;28&quot;/&gt;&lt;w:sz-cs w:val=&quot;28&quot;/&gt;&lt;w:lang w:val=&quot;EN-US&quot;/&gt;&lt;/w:rPr&gt;&lt;m:t&gt;NPV&lt;/m:t&gt;&lt;/m:r&gt;&lt;m:ctrlPr&gt;&lt;w:rPr&gt;&lt;w:rFonts w:ascii=&quot;Cambria Math&quot; w:h-ansi=&quot;Cambria Math&quot;/&gt;&lt;wx:font wx:val=&quot;Cambria Math&quot;/&gt;&lt;w:i/&gt;&lt;w:sz w:val=&quot;28&quot;/&gt;&lt;w:lang w:val=&quot;EN-US&quot;/&gt;&lt;/w:rPr&gt;&lt;/m:ctrlPr&gt;&lt;/m:e&gt;&lt;m:sub&gt;&lt;m:r&gt;&lt;w:rPr&gt;&lt;w:rFonts w:ascii=&quot;Cambria Math&quot; w:h-ansi=&quot;Cambria Math&quot;/&gt;&lt;wx:font wx:val=&quot;Cambria Math&quot;/&gt;&lt;w:i/&gt;&lt;w:sz w:val=&quot;28&quot;/&gt;&lt;w:sz-cs w:val=&quot;28&quot;/&gt;&lt;/w:rPr&gt;&lt;m:t&gt;в€ћ&lt;/m:t&gt;&lt;/m:r&gt;&lt;/m:sub&gt;&lt;/m:sSub&gt;&lt;m:r&gt;&lt;w:rPr&gt;&lt;w:rFonts w:ascii=&quot;Cambria Math&quot; w:h-ansi=&quot;Cambria Math&quot;/&gt;&lt;wx:font wx:val=&quot;Cambria Math&quot;/&gt;&lt;w:i/&gt;&lt;w:sz w:val=&quot;28&quot;/&gt;&lt;w:sz-cs w:val=&quot;28&quot;/&gt;&lt;/w:rPr&gt;&lt;m:t&gt;=NPV&lt;/m:t&gt;&lt;/m:r&gt;&lt;m:f&gt;&lt;m:fPr&gt;&lt;m:ctrlPr&gt;&lt;w:rPr&gt;&lt;w:rFonts w:ascii=&quot;Cambria Math&quot; w:h-ansi=&quot;Cambria Math&quot;/&gt;&lt;wx:font wx:val=&quot;Cambria Math&quot;/&gt;&lt;w:i/&gt;&lt;w:sz w:val=&quot;28&quot;/&gt;&lt;/w:rPr&gt;&lt;/m:ctrlPr&gt;&lt;/m:fPr&gt;&lt;m:num&gt;&lt;m:sSup&gt;&lt;m:sSupPr&gt;&lt;m:ctrlPr&gt;&lt;w:rPr&gt;&lt;w:rFonts w:ascii=&quot;Cambria Math&quot; w:h-ansi=&quot;Cambria Math&quot;/&gt;&lt;wx:font wx:val=&quot;Cambria Math&quot;/&gt;&lt;w:i/&gt;&lt;w:sz w:val=&quot;28&quot;/&gt;&lt;/w:rPr&gt;&lt;/m:ctrlPr&gt;&lt;/m:sSupPr&gt;&lt;m:e&gt;&lt;m:d&gt;&lt;m:dPr&gt;&lt;m:ctrlPr&gt;&lt;w:rPr&gt;&lt;w:rFonts w:ascii=&quot;Cambria Math&quot; w:h-ansi=&quot;Cambria Math&quot;/&gt;&lt;wx:font wx:val=&quot;Cambria Math&quot;/&gt;&lt;w:i/&gt;&lt;w:sz w:val=&quot;28&quot;/&gt;&lt;/w:rPr&gt;&lt;/m:ctrlPr&gt;&lt;/m:dPr&gt;&lt;m:e&gt;&lt;m:r&gt;&lt;w:rPr&gt;&lt;w:rFonts w:ascii=&quot;Cambria Math&quot; w:h-ansi=&quot;Cambria Math&quot;/&gt;&lt;wx:font wx:val=&quot;Cambria Math&quot;/&gt;&lt;w:i/&gt;&lt;w:sz w:val=&quot;28&quot;/&gt;&lt;w:sz-cs w:val=&quot;28&quot;/&gt;&lt;/w:rPr&gt;&lt;m:t&gt;1+r&lt;/m:t&gt;&lt;/m:r&gt;&lt;/m:e&gt;&lt;/m:d&gt;&lt;/m:e&gt;&lt;m:sup&gt;&lt;m:r&gt;&lt;w:rPr&gt;&lt;w:rFonts w:ascii=&quot;Cambria Math&quot; w:h-ansi=&quot;Cambria Math&quot;/&gt;&lt;wx:font wx:val=&quot;Cambria Math&quot;/&gt;&lt;w:i/&gt;&lt;w:sz w:val=&quot;28&quot;/&gt;&lt;w:sz-cs w:val=&quot;28&quot;/&gt;&lt;/w:rPr&gt;&lt;m:t&gt;n&lt;/m:t&gt;&lt;/m:r&gt;&lt;/m:sup&gt;&lt;/m:sSup&gt;&lt;/m:num&gt;&lt;m:den&gt;&lt;m:sSup&gt;&lt;m:sSupPr&gt;&lt;m:ctrlPr&gt;&lt;w:rPr&gt;&lt;w:rFonts w:ascii=&quot;Cambria Math&quot; w:h-ansi=&quot;Cambria Math&quot;/&gt;&lt;wx:font wx:val=&quot;Cambria Math&quot;/&gt;&lt;w:i/&gt;&lt;w:sz w:val=&quot;28&quot;/&gt;&lt;/w:rPr&gt;&lt;/m:ctrlPr&gt;&lt;/m:sSupPr&gt;&lt;m:e&gt;&lt;m:d&gt;&lt;m:dPr&gt;&lt;m:ctrlPr&gt;&lt;w:rPr&gt;&lt;w:rFonts w:ascii=&quot;Cambria Math&quot; w:h-ansi=&quot;Cambria Math&quot;/&gt;&lt;wx:font wx:val=&quot;Cambria Math&quot;/&gt;&lt;w:i/&gt;&lt;w:sz w:val=&quot;28&quot;/&gt;&lt;/w:rPr&gt;&lt;/m:ctrlPr&gt;&lt;/m:dPr&gt;&lt;m:e&gt;&lt;m:r&gt;&lt;w:rPr&gt;&lt;w:rFonts w:ascii=&quot;Cambria Math&quot; w:h-ansi=&quot;Cambria Math&quot;/&gt;&lt;wx:font wx:val=&quot;Cambria Math&quot;/&gt;&lt;w:i/&gt;&lt;w:sz w:val=&quot;28&quot;/&gt;&lt;w:sz-cs w:val=&quot;28&quot;/&gt;&lt;/w:rPr&gt;&lt;m:t&gt;1+r&lt;/m:t&gt;&lt;/m:r&gt;&lt;/m:e&gt;&lt;/m:d&gt;&lt;/m:e&gt;&lt;m:sup&gt;&lt;m:r&gt;&lt;w:rPr&gt;&lt;w:rFonts w:ascii=&quot;Cambria Math&quot; w:h-ansi=&quot;Cambria Math&quot;/&gt;&lt;wx:font wx:val=&quot;Cambria Math&quot;/&gt;&lt;w:i/&gt;&lt;w:sz w:val=&quot;28&quot;/&gt;&lt;w:sz-cs w:val=&quot;28&quot;/&gt;&lt;/w:rPr&gt;&lt;m:t&gt;n&lt;/m:t&gt;&lt;/m:r&gt;&lt;/m:sup&gt;&lt;/m:sSup&gt;&lt;m:r&gt;&lt;w:rPr&gt;&lt;w:rFonts w:ascii=&quot;Cambria Math&quot; w:h-ansi=&quot;Cambria Math&quot;/&gt;&lt;wx:font wx:val=&quot;Cambria Math&quot;/&gt;&lt;w:i/&gt;&lt;w:sz w:val=&quot;28&quot;/&gt;&lt;w:sz-cs w:val=&quot;28&quot;/&gt;&lt;/w:rPr&gt;&lt;m:t&gt;-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r w:rsidR="00A3483E" w:rsidRPr="00A3483E">
        <w:rPr>
          <w:rFonts w:ascii="Times New Roman" w:eastAsiaTheme="minorEastAsia" w:hAnsi="Times New Roman"/>
          <w:sz w:val="28"/>
          <w:szCs w:val="28"/>
        </w:rPr>
        <w:fldChar w:fldCharType="end"/>
      </w:r>
      <w:r w:rsidR="009C4E8C" w:rsidRPr="00A3483E">
        <w:rPr>
          <w:rFonts w:ascii="Times New Roman" w:hAnsi="Times New Roman"/>
          <w:sz w:val="28"/>
          <w:szCs w:val="28"/>
        </w:rPr>
        <w:t xml:space="preserve">, где </w:t>
      </w:r>
      <w:r w:rsidR="009C4E8C" w:rsidRPr="00A3483E">
        <w:rPr>
          <w:rFonts w:ascii="Times New Roman" w:hAnsi="Times New Roman"/>
          <w:sz w:val="28"/>
          <w:szCs w:val="28"/>
          <w:lang w:val="en-US"/>
        </w:rPr>
        <w:t>n</w:t>
      </w:r>
      <w:r w:rsidR="009C4E8C" w:rsidRPr="00A3483E">
        <w:rPr>
          <w:rFonts w:ascii="Times New Roman" w:hAnsi="Times New Roman"/>
          <w:sz w:val="28"/>
          <w:szCs w:val="28"/>
        </w:rPr>
        <w:t xml:space="preserve"> – продолжительность проекта.</w:t>
      </w:r>
    </w:p>
    <w:p w:rsidR="009C4E8C" w:rsidRPr="00A3483E" w:rsidRDefault="00A3483E" w:rsidP="00A3133C">
      <w:pPr>
        <w:widowControl w:val="0"/>
        <w:shd w:val="clear" w:color="000000" w:fill="auto"/>
        <w:spacing w:after="0" w:line="360" w:lineRule="auto"/>
        <w:ind w:firstLine="709"/>
        <w:jc w:val="both"/>
        <w:rPr>
          <w:rFonts w:ascii="Times New Roman" w:hAnsi="Times New Roman"/>
          <w:sz w:val="28"/>
          <w:szCs w:val="28"/>
        </w:rPr>
      </w:pPr>
      <w:r w:rsidRPr="00A3483E">
        <w:rPr>
          <w:rFonts w:ascii="Times New Roman" w:eastAsiaTheme="minorEastAsia" w:hAnsi="Times New Roman"/>
          <w:sz w:val="28"/>
          <w:szCs w:val="28"/>
        </w:rPr>
        <w:fldChar w:fldCharType="begin"/>
      </w:r>
      <w:r w:rsidRPr="00A3483E">
        <w:rPr>
          <w:rFonts w:ascii="Times New Roman" w:eastAsiaTheme="minorEastAsia" w:hAnsi="Times New Roman"/>
          <w:sz w:val="28"/>
          <w:szCs w:val="28"/>
        </w:rPr>
        <w:instrText xml:space="preserve"> QUOTE </w:instrText>
      </w:r>
      <w:r w:rsidR="00DE3D68">
        <w:rPr>
          <w:position w:val="-11"/>
        </w:rPr>
        <w:pict>
          <v:shape id="_x0000_i1029" type="#_x0000_t75" style="width:34.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65776&quot;/&gt;&lt;wsp:rsid wsp:val=&quot;00011AB3&quot;/&gt;&lt;wsp:rsid wsp:val=&quot;00027821&quot;/&gt;&lt;wsp:rsid wsp:val=&quot;000350B6&quot;/&gt;&lt;wsp:rsid wsp:val=&quot;000836C3&quot;/&gt;&lt;wsp:rsid wsp:val=&quot;00083EF2&quot;/&gt;&lt;wsp:rsid wsp:val=&quot;00113368&quot;/&gt;&lt;wsp:rsid wsp:val=&quot;0012089F&quot;/&gt;&lt;wsp:rsid wsp:val=&quot;001443A6&quot;/&gt;&lt;wsp:rsid wsp:val=&quot;00195162&quot;/&gt;&lt;wsp:rsid wsp:val=&quot;001A18B7&quot;/&gt;&lt;wsp:rsid wsp:val=&quot;001C309B&quot;/&gt;&lt;wsp:rsid wsp:val=&quot;001D55D5&quot;/&gt;&lt;wsp:rsid wsp:val=&quot;0020190D&quot;/&gt;&lt;wsp:rsid wsp:val=&quot;00227218&quot;/&gt;&lt;wsp:rsid wsp:val=&quot;00230E90&quot;/&gt;&lt;wsp:rsid wsp:val=&quot;00254AE3&quot;/&gt;&lt;wsp:rsid wsp:val=&quot;002621EA&quot;/&gt;&lt;wsp:rsid wsp:val=&quot;002B05C9&quot;/&gt;&lt;wsp:rsid wsp:val=&quot;002B0D2F&quot;/&gt;&lt;wsp:rsid wsp:val=&quot;002B34B4&quot;/&gt;&lt;wsp:rsid wsp:val=&quot;002B67C8&quot;/&gt;&lt;wsp:rsid wsp:val=&quot;002F3D96&quot;/&gt;&lt;wsp:rsid wsp:val=&quot;002F445F&quot;/&gt;&lt;wsp:rsid wsp:val=&quot;003449E2&quot;/&gt;&lt;wsp:rsid wsp:val=&quot;003572EA&quot;/&gt;&lt;wsp:rsid wsp:val=&quot;003811E3&quot;/&gt;&lt;wsp:rsid wsp:val=&quot;003955E0&quot;/&gt;&lt;wsp:rsid wsp:val=&quot;003962B3&quot;/&gt;&lt;wsp:rsid wsp:val=&quot;003B7E8E&quot;/&gt;&lt;wsp:rsid wsp:val=&quot;003F116B&quot;/&gt;&lt;wsp:rsid wsp:val=&quot;003F4AB1&quot;/&gt;&lt;wsp:rsid wsp:val=&quot;00407234&quot;/&gt;&lt;wsp:rsid wsp:val=&quot;00421DC2&quot;/&gt;&lt;wsp:rsid wsp:val=&quot;00423FC1&quot;/&gt;&lt;wsp:rsid wsp:val=&quot;0045031C&quot;/&gt;&lt;wsp:rsid wsp:val=&quot;00465F43&quot;/&gt;&lt;wsp:rsid wsp:val=&quot;00496EB2&quot;/&gt;&lt;wsp:rsid wsp:val=&quot;004A2D77&quot;/&gt;&lt;wsp:rsid wsp:val=&quot;004F4DAA&quot;/&gt;&lt;wsp:rsid wsp:val=&quot;004F70E0&quot;/&gt;&lt;wsp:rsid wsp:val=&quot;00513A7F&quot;/&gt;&lt;wsp:rsid wsp:val=&quot;0054223D&quot;/&gt;&lt;wsp:rsid wsp:val=&quot;00595FF0&quot;/&gt;&lt;wsp:rsid wsp:val=&quot;005E6A57&quot;/&gt;&lt;wsp:rsid wsp:val=&quot;005F35DB&quot;/&gt;&lt;wsp:rsid wsp:val=&quot;006074E4&quot;/&gt;&lt;wsp:rsid wsp:val=&quot;0065371B&quot;/&gt;&lt;wsp:rsid wsp:val=&quot;00667545&quot;/&gt;&lt;wsp:rsid wsp:val=&quot;00693588&quot;/&gt;&lt;wsp:rsid wsp:val=&quot;006A72B7&quot;/&gt;&lt;wsp:rsid wsp:val=&quot;006D1D96&quot;/&gt;&lt;wsp:rsid wsp:val=&quot;006D6D1D&quot;/&gt;&lt;wsp:rsid wsp:val=&quot;006E2527&quot;/&gt;&lt;wsp:rsid wsp:val=&quot;00716721&quot;/&gt;&lt;wsp:rsid wsp:val=&quot;00733395&quot;/&gt;&lt;wsp:rsid wsp:val=&quot;007A2A0D&quot;/&gt;&lt;wsp:rsid wsp:val=&quot;007A5235&quot;/&gt;&lt;wsp:rsid wsp:val=&quot;007B0EDE&quot;/&gt;&lt;wsp:rsid wsp:val=&quot;007B4799&quot;/&gt;&lt;wsp:rsid wsp:val=&quot;007B4A80&quot;/&gt;&lt;wsp:rsid wsp:val=&quot;007D0813&quot;/&gt;&lt;wsp:rsid wsp:val=&quot;00874A0D&quot;/&gt;&lt;wsp:rsid wsp:val=&quot;008A6413&quot;/&gt;&lt;wsp:rsid wsp:val=&quot;008F0088&quot;/&gt;&lt;wsp:rsid wsp:val=&quot;009024E2&quot;/&gt;&lt;wsp:rsid wsp:val=&quot;00903BD9&quot;/&gt;&lt;wsp:rsid wsp:val=&quot;00904723&quot;/&gt;&lt;wsp:rsid wsp:val=&quot;0091058C&quot;/&gt;&lt;wsp:rsid wsp:val=&quot;0091292B&quot;/&gt;&lt;wsp:rsid wsp:val=&quot;00941A90&quot;/&gt;&lt;wsp:rsid wsp:val=&quot;00941FF5&quot;/&gt;&lt;wsp:rsid wsp:val=&quot;0096096E&quot;/&gt;&lt;wsp:rsid wsp:val=&quot;009659C0&quot;/&gt;&lt;wsp:rsid wsp:val=&quot;00966612&quot;/&gt;&lt;wsp:rsid wsp:val=&quot;009C1E71&quot;/&gt;&lt;wsp:rsid wsp:val=&quot;009C3300&quot;/&gt;&lt;wsp:rsid wsp:val=&quot;009C4E8C&quot;/&gt;&lt;wsp:rsid wsp:val=&quot;009F676E&quot;/&gt;&lt;wsp:rsid wsp:val=&quot;00A3133C&quot;/&gt;&lt;wsp:rsid wsp:val=&quot;00A3483E&quot;/&gt;&lt;wsp:rsid wsp:val=&quot;00A84541&quot;/&gt;&lt;wsp:rsid wsp:val=&quot;00AE0E62&quot;/&gt;&lt;wsp:rsid wsp:val=&quot;00AF3009&quot;/&gt;&lt;wsp:rsid wsp:val=&quot;00B226FC&quot;/&gt;&lt;wsp:rsid wsp:val=&quot;00B23297&quot;/&gt;&lt;wsp:rsid wsp:val=&quot;00B40255&quot;/&gt;&lt;wsp:rsid wsp:val=&quot;00B60F9B&quot;/&gt;&lt;wsp:rsid wsp:val=&quot;00BC17ED&quot;/&gt;&lt;wsp:rsid wsp:val=&quot;00C002E9&quot;/&gt;&lt;wsp:rsid wsp:val=&quot;00C348D9&quot;/&gt;&lt;wsp:rsid wsp:val=&quot;00C73E14&quot;/&gt;&lt;wsp:rsid wsp:val=&quot;00C82911&quot;/&gt;&lt;wsp:rsid wsp:val=&quot;00CA274A&quot;/&gt;&lt;wsp:rsid wsp:val=&quot;00CA3753&quot;/&gt;&lt;wsp:rsid wsp:val=&quot;00CD24B0&quot;/&gt;&lt;wsp:rsid wsp:val=&quot;00CD691D&quot;/&gt;&lt;wsp:rsid wsp:val=&quot;00CF0262&quot;/&gt;&lt;wsp:rsid wsp:val=&quot;00D103EB&quot;/&gt;&lt;wsp:rsid wsp:val=&quot;00D1414C&quot;/&gt;&lt;wsp:rsid wsp:val=&quot;00D41C40&quot;/&gt;&lt;wsp:rsid wsp:val=&quot;00D5150C&quot;/&gt;&lt;wsp:rsid wsp:val=&quot;00D517E0&quot;/&gt;&lt;wsp:rsid wsp:val=&quot;00D541B7&quot;/&gt;&lt;wsp:rsid wsp:val=&quot;00D54279&quot;/&gt;&lt;wsp:rsid wsp:val=&quot;00D65776&quot;/&gt;&lt;wsp:rsid wsp:val=&quot;00D72A09&quot;/&gt;&lt;wsp:rsid wsp:val=&quot;00D81D8F&quot;/&gt;&lt;wsp:rsid wsp:val=&quot;00DA0A5B&quot;/&gt;&lt;wsp:rsid wsp:val=&quot;00DC2898&quot;/&gt;&lt;wsp:rsid wsp:val=&quot;00DD0F1A&quot;/&gt;&lt;wsp:rsid wsp:val=&quot;00DD10D4&quot;/&gt;&lt;wsp:rsid wsp:val=&quot;00DD3329&quot;/&gt;&lt;wsp:rsid wsp:val=&quot;00E04053&quot;/&gt;&lt;wsp:rsid wsp:val=&quot;00E11B1F&quot;/&gt;&lt;wsp:rsid wsp:val=&quot;00E11C44&quot;/&gt;&lt;wsp:rsid wsp:val=&quot;00E30A0E&quot;/&gt;&lt;wsp:rsid wsp:val=&quot;00E44804&quot;/&gt;&lt;wsp:rsid wsp:val=&quot;00E46FE9&quot;/&gt;&lt;wsp:rsid wsp:val=&quot;00E712D6&quot;/&gt;&lt;wsp:rsid wsp:val=&quot;00E83406&quot;/&gt;&lt;wsp:rsid wsp:val=&quot;00E91A39&quot;/&gt;&lt;wsp:rsid wsp:val=&quot;00F11E16&quot;/&gt;&lt;wsp:rsid wsp:val=&quot;00F26F4C&quot;/&gt;&lt;wsp:rsid wsp:val=&quot;00F32FB9&quot;/&gt;&lt;wsp:rsid wsp:val=&quot;00F42500&quot;/&gt;&lt;wsp:rsid wsp:val=&quot;00F5146F&quot;/&gt;&lt;wsp:rsid wsp:val=&quot;00F80A0A&quot;/&gt;&lt;wsp:rsid wsp:val=&quot;00F82398&quot;/&gt;&lt;wsp:rsid wsp:val=&quot;00FA58EE&quot;/&gt;&lt;wsp:rsid wsp:val=&quot;00FF42C6&quot;/&gt;&lt;/wsp:rsids&gt;&lt;/w:docPr&gt;&lt;w:body&gt;&lt;wx:sect&gt;&lt;w:p wsp:rsidR=&quot;00000000&quot; wsp:rsidRDefault=&quot;00FA58EE&quot; wsp:rsidP=&quot;00FA58EE&quot;&gt;&lt;m:oMathPara&gt;&lt;m:oMath&gt;&lt;m:sSub&gt;&lt;m:sSubPr&gt;&lt;m:ctrlPr&gt;&lt;w:rPr&gt;&lt;w:rFonts w:ascii=&quot;Cambria Math&quot; w:h-ansi=&quot;Cambria Math&quot;/&gt;&lt;wx:font wx:val=&quot;Cambria Math&quot;/&gt;&lt;w:i/&gt;&lt;w:sz w:val=&quot;28&quot;/&gt;&lt;/w:rPr&gt;&lt;/m:ctrlPr&gt;&lt;/m:sSubPr&gt;&lt;m:e&gt;&lt;m:r&gt;&lt;w:rPr&gt;&lt;w:rFonts w:ascii=&quot;Cambria Math&quot; w:h-ansi=&quot;Cambria Math&quot;/&gt;&lt;wx:font wx:val=&quot;Cambria Math&quot;/&gt;&lt;w:i/&gt;&lt;w:sz w:val=&quot;28&quot;/&gt;&lt;w:sz-cs w:val=&quot;28&quot;/&gt;&lt;w:lang w:val=&quot;EN-US&quot;/&gt;&lt;/w:rPr&gt;&lt;m:t&gt;NPV&lt;/m:t&gt;&lt;/m:r&gt;&lt;m:ctrlPr&gt;&lt;w:rPr&gt;&lt;w:rFonts w:ascii=&quot;Cambria Math&quot; w:h-ansi=&quot;Cambria Math&quot;/&gt;&lt;wx:font wx:val=&quot;Cambria Math&quot;/&gt;&lt;w:i/&gt;&lt;w:sz w:val=&quot;28&quot;/&gt;&lt;w:lang w:val=&quot;EN-US&quot;/&gt;&lt;/w:rPr&gt;&lt;/m:ctrlPr&gt;&lt;/m:e&gt;&lt;m:sub&gt;&lt;m:r&gt;&lt;w:rPr&gt;&lt;w:rFonts w:ascii=&quot;Cambria Math&quot; w:h-ansi=&quot;Cambria Math&quot;/&gt;&lt;wx:font wx:val=&quot;Cambria Math&quot;/&gt;&lt;w:i/&gt;&lt;w:sz w:val=&quot;28&quot;/&gt;&lt;w:sz-cs w:val=&quot;28&quot;/&gt;&lt;/w:rPr&gt;&lt;m:t&gt;в€ћ&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 o:title="" chromakey="white"/>
          </v:shape>
        </w:pict>
      </w:r>
      <w:r w:rsidRPr="00A3483E">
        <w:rPr>
          <w:rFonts w:ascii="Times New Roman" w:eastAsiaTheme="minorEastAsia" w:hAnsi="Times New Roman"/>
          <w:sz w:val="28"/>
          <w:szCs w:val="28"/>
        </w:rPr>
        <w:instrText xml:space="preserve"> </w:instrText>
      </w:r>
      <w:r w:rsidRPr="00A3483E">
        <w:rPr>
          <w:rFonts w:ascii="Times New Roman" w:eastAsiaTheme="minorEastAsia" w:hAnsi="Times New Roman"/>
          <w:sz w:val="28"/>
          <w:szCs w:val="28"/>
        </w:rPr>
        <w:fldChar w:fldCharType="separate"/>
      </w:r>
      <w:r w:rsidR="00DE3D68">
        <w:rPr>
          <w:position w:val="-11"/>
        </w:rPr>
        <w:pict>
          <v:shape id="_x0000_i1030" type="#_x0000_t75" style="width:34.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65776&quot;/&gt;&lt;wsp:rsid wsp:val=&quot;00011AB3&quot;/&gt;&lt;wsp:rsid wsp:val=&quot;00027821&quot;/&gt;&lt;wsp:rsid wsp:val=&quot;000350B6&quot;/&gt;&lt;wsp:rsid wsp:val=&quot;000836C3&quot;/&gt;&lt;wsp:rsid wsp:val=&quot;00083EF2&quot;/&gt;&lt;wsp:rsid wsp:val=&quot;00113368&quot;/&gt;&lt;wsp:rsid wsp:val=&quot;0012089F&quot;/&gt;&lt;wsp:rsid wsp:val=&quot;001443A6&quot;/&gt;&lt;wsp:rsid wsp:val=&quot;00195162&quot;/&gt;&lt;wsp:rsid wsp:val=&quot;001A18B7&quot;/&gt;&lt;wsp:rsid wsp:val=&quot;001C309B&quot;/&gt;&lt;wsp:rsid wsp:val=&quot;001D55D5&quot;/&gt;&lt;wsp:rsid wsp:val=&quot;0020190D&quot;/&gt;&lt;wsp:rsid wsp:val=&quot;00227218&quot;/&gt;&lt;wsp:rsid wsp:val=&quot;00230E90&quot;/&gt;&lt;wsp:rsid wsp:val=&quot;00254AE3&quot;/&gt;&lt;wsp:rsid wsp:val=&quot;002621EA&quot;/&gt;&lt;wsp:rsid wsp:val=&quot;002B05C9&quot;/&gt;&lt;wsp:rsid wsp:val=&quot;002B0D2F&quot;/&gt;&lt;wsp:rsid wsp:val=&quot;002B34B4&quot;/&gt;&lt;wsp:rsid wsp:val=&quot;002B67C8&quot;/&gt;&lt;wsp:rsid wsp:val=&quot;002F3D96&quot;/&gt;&lt;wsp:rsid wsp:val=&quot;002F445F&quot;/&gt;&lt;wsp:rsid wsp:val=&quot;003449E2&quot;/&gt;&lt;wsp:rsid wsp:val=&quot;003572EA&quot;/&gt;&lt;wsp:rsid wsp:val=&quot;003811E3&quot;/&gt;&lt;wsp:rsid wsp:val=&quot;003955E0&quot;/&gt;&lt;wsp:rsid wsp:val=&quot;003962B3&quot;/&gt;&lt;wsp:rsid wsp:val=&quot;003B7E8E&quot;/&gt;&lt;wsp:rsid wsp:val=&quot;003F116B&quot;/&gt;&lt;wsp:rsid wsp:val=&quot;003F4AB1&quot;/&gt;&lt;wsp:rsid wsp:val=&quot;00407234&quot;/&gt;&lt;wsp:rsid wsp:val=&quot;00421DC2&quot;/&gt;&lt;wsp:rsid wsp:val=&quot;00423FC1&quot;/&gt;&lt;wsp:rsid wsp:val=&quot;0045031C&quot;/&gt;&lt;wsp:rsid wsp:val=&quot;00465F43&quot;/&gt;&lt;wsp:rsid wsp:val=&quot;00496EB2&quot;/&gt;&lt;wsp:rsid wsp:val=&quot;004A2D77&quot;/&gt;&lt;wsp:rsid wsp:val=&quot;004F4DAA&quot;/&gt;&lt;wsp:rsid wsp:val=&quot;004F70E0&quot;/&gt;&lt;wsp:rsid wsp:val=&quot;00513A7F&quot;/&gt;&lt;wsp:rsid wsp:val=&quot;0054223D&quot;/&gt;&lt;wsp:rsid wsp:val=&quot;00595FF0&quot;/&gt;&lt;wsp:rsid wsp:val=&quot;005E6A57&quot;/&gt;&lt;wsp:rsid wsp:val=&quot;005F35DB&quot;/&gt;&lt;wsp:rsid wsp:val=&quot;006074E4&quot;/&gt;&lt;wsp:rsid wsp:val=&quot;0065371B&quot;/&gt;&lt;wsp:rsid wsp:val=&quot;00667545&quot;/&gt;&lt;wsp:rsid wsp:val=&quot;00693588&quot;/&gt;&lt;wsp:rsid wsp:val=&quot;006A72B7&quot;/&gt;&lt;wsp:rsid wsp:val=&quot;006D1D96&quot;/&gt;&lt;wsp:rsid wsp:val=&quot;006D6D1D&quot;/&gt;&lt;wsp:rsid wsp:val=&quot;006E2527&quot;/&gt;&lt;wsp:rsid wsp:val=&quot;00716721&quot;/&gt;&lt;wsp:rsid wsp:val=&quot;00733395&quot;/&gt;&lt;wsp:rsid wsp:val=&quot;007A2A0D&quot;/&gt;&lt;wsp:rsid wsp:val=&quot;007A5235&quot;/&gt;&lt;wsp:rsid wsp:val=&quot;007B0EDE&quot;/&gt;&lt;wsp:rsid wsp:val=&quot;007B4799&quot;/&gt;&lt;wsp:rsid wsp:val=&quot;007B4A80&quot;/&gt;&lt;wsp:rsid wsp:val=&quot;007D0813&quot;/&gt;&lt;wsp:rsid wsp:val=&quot;00874A0D&quot;/&gt;&lt;wsp:rsid wsp:val=&quot;008A6413&quot;/&gt;&lt;wsp:rsid wsp:val=&quot;008F0088&quot;/&gt;&lt;wsp:rsid wsp:val=&quot;009024E2&quot;/&gt;&lt;wsp:rsid wsp:val=&quot;00903BD9&quot;/&gt;&lt;wsp:rsid wsp:val=&quot;00904723&quot;/&gt;&lt;wsp:rsid wsp:val=&quot;0091058C&quot;/&gt;&lt;wsp:rsid wsp:val=&quot;0091292B&quot;/&gt;&lt;wsp:rsid wsp:val=&quot;00941A90&quot;/&gt;&lt;wsp:rsid wsp:val=&quot;00941FF5&quot;/&gt;&lt;wsp:rsid wsp:val=&quot;0096096E&quot;/&gt;&lt;wsp:rsid wsp:val=&quot;009659C0&quot;/&gt;&lt;wsp:rsid wsp:val=&quot;00966612&quot;/&gt;&lt;wsp:rsid wsp:val=&quot;009C1E71&quot;/&gt;&lt;wsp:rsid wsp:val=&quot;009C3300&quot;/&gt;&lt;wsp:rsid wsp:val=&quot;009C4E8C&quot;/&gt;&lt;wsp:rsid wsp:val=&quot;009F676E&quot;/&gt;&lt;wsp:rsid wsp:val=&quot;00A3133C&quot;/&gt;&lt;wsp:rsid wsp:val=&quot;00A3483E&quot;/&gt;&lt;wsp:rsid wsp:val=&quot;00A84541&quot;/&gt;&lt;wsp:rsid wsp:val=&quot;00AE0E62&quot;/&gt;&lt;wsp:rsid wsp:val=&quot;00AF3009&quot;/&gt;&lt;wsp:rsid wsp:val=&quot;00B226FC&quot;/&gt;&lt;wsp:rsid wsp:val=&quot;00B23297&quot;/&gt;&lt;wsp:rsid wsp:val=&quot;00B40255&quot;/&gt;&lt;wsp:rsid wsp:val=&quot;00B60F9B&quot;/&gt;&lt;wsp:rsid wsp:val=&quot;00BC17ED&quot;/&gt;&lt;wsp:rsid wsp:val=&quot;00C002E9&quot;/&gt;&lt;wsp:rsid wsp:val=&quot;00C348D9&quot;/&gt;&lt;wsp:rsid wsp:val=&quot;00C73E14&quot;/&gt;&lt;wsp:rsid wsp:val=&quot;00C82911&quot;/&gt;&lt;wsp:rsid wsp:val=&quot;00CA274A&quot;/&gt;&lt;wsp:rsid wsp:val=&quot;00CA3753&quot;/&gt;&lt;wsp:rsid wsp:val=&quot;00CD24B0&quot;/&gt;&lt;wsp:rsid wsp:val=&quot;00CD691D&quot;/&gt;&lt;wsp:rsid wsp:val=&quot;00CF0262&quot;/&gt;&lt;wsp:rsid wsp:val=&quot;00D103EB&quot;/&gt;&lt;wsp:rsid wsp:val=&quot;00D1414C&quot;/&gt;&lt;wsp:rsid wsp:val=&quot;00D41C40&quot;/&gt;&lt;wsp:rsid wsp:val=&quot;00D5150C&quot;/&gt;&lt;wsp:rsid wsp:val=&quot;00D517E0&quot;/&gt;&lt;wsp:rsid wsp:val=&quot;00D541B7&quot;/&gt;&lt;wsp:rsid wsp:val=&quot;00D54279&quot;/&gt;&lt;wsp:rsid wsp:val=&quot;00D65776&quot;/&gt;&lt;wsp:rsid wsp:val=&quot;00D72A09&quot;/&gt;&lt;wsp:rsid wsp:val=&quot;00D81D8F&quot;/&gt;&lt;wsp:rsid wsp:val=&quot;00DA0A5B&quot;/&gt;&lt;wsp:rsid wsp:val=&quot;00DC2898&quot;/&gt;&lt;wsp:rsid wsp:val=&quot;00DD0F1A&quot;/&gt;&lt;wsp:rsid wsp:val=&quot;00DD10D4&quot;/&gt;&lt;wsp:rsid wsp:val=&quot;00DD3329&quot;/&gt;&lt;wsp:rsid wsp:val=&quot;00E04053&quot;/&gt;&lt;wsp:rsid wsp:val=&quot;00E11B1F&quot;/&gt;&lt;wsp:rsid wsp:val=&quot;00E11C44&quot;/&gt;&lt;wsp:rsid wsp:val=&quot;00E30A0E&quot;/&gt;&lt;wsp:rsid wsp:val=&quot;00E44804&quot;/&gt;&lt;wsp:rsid wsp:val=&quot;00E46FE9&quot;/&gt;&lt;wsp:rsid wsp:val=&quot;00E712D6&quot;/&gt;&lt;wsp:rsid wsp:val=&quot;00E83406&quot;/&gt;&lt;wsp:rsid wsp:val=&quot;00E91A39&quot;/&gt;&lt;wsp:rsid wsp:val=&quot;00F11E16&quot;/&gt;&lt;wsp:rsid wsp:val=&quot;00F26F4C&quot;/&gt;&lt;wsp:rsid wsp:val=&quot;00F32FB9&quot;/&gt;&lt;wsp:rsid wsp:val=&quot;00F42500&quot;/&gt;&lt;wsp:rsid wsp:val=&quot;00F5146F&quot;/&gt;&lt;wsp:rsid wsp:val=&quot;00F80A0A&quot;/&gt;&lt;wsp:rsid wsp:val=&quot;00F82398&quot;/&gt;&lt;wsp:rsid wsp:val=&quot;00FA58EE&quot;/&gt;&lt;wsp:rsid wsp:val=&quot;00FF42C6&quot;/&gt;&lt;/wsp:rsids&gt;&lt;/w:docPr&gt;&lt;w:body&gt;&lt;wx:sect&gt;&lt;w:p wsp:rsidR=&quot;00000000&quot; wsp:rsidRDefault=&quot;00FA58EE&quot; wsp:rsidP=&quot;00FA58EE&quot;&gt;&lt;m:oMathPara&gt;&lt;m:oMath&gt;&lt;m:sSub&gt;&lt;m:sSubPr&gt;&lt;m:ctrlPr&gt;&lt;w:rPr&gt;&lt;w:rFonts w:ascii=&quot;Cambria Math&quot; w:h-ansi=&quot;Cambria Math&quot;/&gt;&lt;wx:font wx:val=&quot;Cambria Math&quot;/&gt;&lt;w:i/&gt;&lt;w:sz w:val=&quot;28&quot;/&gt;&lt;/w:rPr&gt;&lt;/m:ctrlPr&gt;&lt;/m:sSubPr&gt;&lt;m:e&gt;&lt;m:r&gt;&lt;w:rPr&gt;&lt;w:rFonts w:ascii=&quot;Cambria Math&quot; w:h-ansi=&quot;Cambria Math&quot;/&gt;&lt;wx:font wx:val=&quot;Cambria Math&quot;/&gt;&lt;w:i/&gt;&lt;w:sz w:val=&quot;28&quot;/&gt;&lt;w:sz-cs w:val=&quot;28&quot;/&gt;&lt;w:lang w:val=&quot;EN-US&quot;/&gt;&lt;/w:rPr&gt;&lt;m:t&gt;NPV&lt;/m:t&gt;&lt;/m:r&gt;&lt;m:ctrlPr&gt;&lt;w:rPr&gt;&lt;w:rFonts w:ascii=&quot;Cambria Math&quot; w:h-ansi=&quot;Cambria Math&quot;/&gt;&lt;wx:font wx:val=&quot;Cambria Math&quot;/&gt;&lt;w:i/&gt;&lt;w:sz w:val=&quot;28&quot;/&gt;&lt;w:lang w:val=&quot;EN-US&quot;/&gt;&lt;/w:rPr&gt;&lt;/m:ctrlPr&gt;&lt;/m:e&gt;&lt;m:sub&gt;&lt;m:r&gt;&lt;w:rPr&gt;&lt;w:rFonts w:ascii=&quot;Cambria Math&quot; w:h-ansi=&quot;Cambria Math&quot;/&gt;&lt;wx:font wx:val=&quot;Cambria Math&quot;/&gt;&lt;w:i/&gt;&lt;w:sz w:val=&quot;28&quot;/&gt;&lt;w:sz-cs w:val=&quot;28&quot;/&gt;&lt;/w:rPr&gt;&lt;m:t&gt;в€ћ&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 o:title="" chromakey="white"/>
          </v:shape>
        </w:pict>
      </w:r>
      <w:r w:rsidRPr="00A3483E">
        <w:rPr>
          <w:rFonts w:ascii="Times New Roman" w:eastAsiaTheme="minorEastAsia" w:hAnsi="Times New Roman"/>
          <w:sz w:val="28"/>
          <w:szCs w:val="28"/>
        </w:rPr>
        <w:fldChar w:fldCharType="end"/>
      </w:r>
      <w:r w:rsidR="009C3300" w:rsidRPr="00A3483E">
        <w:rPr>
          <w:rFonts w:ascii="Times New Roman" w:hAnsi="Times New Roman"/>
          <w:sz w:val="28"/>
          <w:szCs w:val="28"/>
        </w:rPr>
        <w:t>(А)=1,56</w:t>
      </w:r>
    </w:p>
    <w:p w:rsidR="009C3300" w:rsidRPr="00A3483E" w:rsidRDefault="00A3483E" w:rsidP="00A3133C">
      <w:pPr>
        <w:widowControl w:val="0"/>
        <w:shd w:val="clear" w:color="000000" w:fill="auto"/>
        <w:spacing w:after="0" w:line="360" w:lineRule="auto"/>
        <w:ind w:firstLine="709"/>
        <w:jc w:val="both"/>
        <w:rPr>
          <w:rFonts w:ascii="Times New Roman" w:hAnsi="Times New Roman"/>
          <w:sz w:val="28"/>
          <w:szCs w:val="28"/>
        </w:rPr>
      </w:pPr>
      <w:r w:rsidRPr="00A3483E">
        <w:rPr>
          <w:rFonts w:ascii="Times New Roman" w:eastAsiaTheme="minorEastAsia" w:hAnsi="Times New Roman"/>
          <w:sz w:val="28"/>
          <w:szCs w:val="28"/>
        </w:rPr>
        <w:fldChar w:fldCharType="begin"/>
      </w:r>
      <w:r w:rsidRPr="00A3483E">
        <w:rPr>
          <w:rFonts w:ascii="Times New Roman" w:eastAsiaTheme="minorEastAsia" w:hAnsi="Times New Roman"/>
          <w:sz w:val="28"/>
          <w:szCs w:val="28"/>
        </w:rPr>
        <w:instrText xml:space="preserve"> QUOTE </w:instrText>
      </w:r>
      <w:r w:rsidR="00DE3D68">
        <w:rPr>
          <w:position w:val="-11"/>
        </w:rPr>
        <w:pict>
          <v:shape id="_x0000_i1031" type="#_x0000_t75" style="width:34.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65776&quot;/&gt;&lt;wsp:rsid wsp:val=&quot;00011AB3&quot;/&gt;&lt;wsp:rsid wsp:val=&quot;00027821&quot;/&gt;&lt;wsp:rsid wsp:val=&quot;000350B6&quot;/&gt;&lt;wsp:rsid wsp:val=&quot;000836C3&quot;/&gt;&lt;wsp:rsid wsp:val=&quot;00083EF2&quot;/&gt;&lt;wsp:rsid wsp:val=&quot;00113368&quot;/&gt;&lt;wsp:rsid wsp:val=&quot;0012089F&quot;/&gt;&lt;wsp:rsid wsp:val=&quot;001443A6&quot;/&gt;&lt;wsp:rsid wsp:val=&quot;00195162&quot;/&gt;&lt;wsp:rsid wsp:val=&quot;001A18B7&quot;/&gt;&lt;wsp:rsid wsp:val=&quot;001C309B&quot;/&gt;&lt;wsp:rsid wsp:val=&quot;001D55D5&quot;/&gt;&lt;wsp:rsid wsp:val=&quot;0020190D&quot;/&gt;&lt;wsp:rsid wsp:val=&quot;00227218&quot;/&gt;&lt;wsp:rsid wsp:val=&quot;00230E90&quot;/&gt;&lt;wsp:rsid wsp:val=&quot;00254AE3&quot;/&gt;&lt;wsp:rsid wsp:val=&quot;002621EA&quot;/&gt;&lt;wsp:rsid wsp:val=&quot;002B05C9&quot;/&gt;&lt;wsp:rsid wsp:val=&quot;002B0D2F&quot;/&gt;&lt;wsp:rsid wsp:val=&quot;002B34B4&quot;/&gt;&lt;wsp:rsid wsp:val=&quot;002B67C8&quot;/&gt;&lt;wsp:rsid wsp:val=&quot;002F3D96&quot;/&gt;&lt;wsp:rsid wsp:val=&quot;002F445F&quot;/&gt;&lt;wsp:rsid wsp:val=&quot;003449E2&quot;/&gt;&lt;wsp:rsid wsp:val=&quot;003572EA&quot;/&gt;&lt;wsp:rsid wsp:val=&quot;003811E3&quot;/&gt;&lt;wsp:rsid wsp:val=&quot;003955E0&quot;/&gt;&lt;wsp:rsid wsp:val=&quot;003962B3&quot;/&gt;&lt;wsp:rsid wsp:val=&quot;003B7E8E&quot;/&gt;&lt;wsp:rsid wsp:val=&quot;003F116B&quot;/&gt;&lt;wsp:rsid wsp:val=&quot;003F4AB1&quot;/&gt;&lt;wsp:rsid wsp:val=&quot;00407234&quot;/&gt;&lt;wsp:rsid wsp:val=&quot;00421DC2&quot;/&gt;&lt;wsp:rsid wsp:val=&quot;00423FC1&quot;/&gt;&lt;wsp:rsid wsp:val=&quot;0045031C&quot;/&gt;&lt;wsp:rsid wsp:val=&quot;00465F43&quot;/&gt;&lt;wsp:rsid wsp:val=&quot;00496EB2&quot;/&gt;&lt;wsp:rsid wsp:val=&quot;004A2D77&quot;/&gt;&lt;wsp:rsid wsp:val=&quot;004F4DAA&quot;/&gt;&lt;wsp:rsid wsp:val=&quot;004F70E0&quot;/&gt;&lt;wsp:rsid wsp:val=&quot;00513A7F&quot;/&gt;&lt;wsp:rsid wsp:val=&quot;0054223D&quot;/&gt;&lt;wsp:rsid wsp:val=&quot;00595FF0&quot;/&gt;&lt;wsp:rsid wsp:val=&quot;005E6A57&quot;/&gt;&lt;wsp:rsid wsp:val=&quot;005F35DB&quot;/&gt;&lt;wsp:rsid wsp:val=&quot;006074E4&quot;/&gt;&lt;wsp:rsid wsp:val=&quot;0065371B&quot;/&gt;&lt;wsp:rsid wsp:val=&quot;00667545&quot;/&gt;&lt;wsp:rsid wsp:val=&quot;00693588&quot;/&gt;&lt;wsp:rsid wsp:val=&quot;006A72B7&quot;/&gt;&lt;wsp:rsid wsp:val=&quot;006D1D96&quot;/&gt;&lt;wsp:rsid wsp:val=&quot;006D6D1D&quot;/&gt;&lt;wsp:rsid wsp:val=&quot;006E2527&quot;/&gt;&lt;wsp:rsid wsp:val=&quot;00716721&quot;/&gt;&lt;wsp:rsid wsp:val=&quot;00733395&quot;/&gt;&lt;wsp:rsid wsp:val=&quot;007A2A0D&quot;/&gt;&lt;wsp:rsid wsp:val=&quot;007A5235&quot;/&gt;&lt;wsp:rsid wsp:val=&quot;007B0EDE&quot;/&gt;&lt;wsp:rsid wsp:val=&quot;007B4799&quot;/&gt;&lt;wsp:rsid wsp:val=&quot;007B4A80&quot;/&gt;&lt;wsp:rsid wsp:val=&quot;007D0813&quot;/&gt;&lt;wsp:rsid wsp:val=&quot;00874A0D&quot;/&gt;&lt;wsp:rsid wsp:val=&quot;008A6413&quot;/&gt;&lt;wsp:rsid wsp:val=&quot;008F0088&quot;/&gt;&lt;wsp:rsid wsp:val=&quot;009024E2&quot;/&gt;&lt;wsp:rsid wsp:val=&quot;00903BD9&quot;/&gt;&lt;wsp:rsid wsp:val=&quot;00904723&quot;/&gt;&lt;wsp:rsid wsp:val=&quot;0091058C&quot;/&gt;&lt;wsp:rsid wsp:val=&quot;0091292B&quot;/&gt;&lt;wsp:rsid wsp:val=&quot;00941A90&quot;/&gt;&lt;wsp:rsid wsp:val=&quot;00941FF5&quot;/&gt;&lt;wsp:rsid wsp:val=&quot;0096096E&quot;/&gt;&lt;wsp:rsid wsp:val=&quot;009659C0&quot;/&gt;&lt;wsp:rsid wsp:val=&quot;00966612&quot;/&gt;&lt;wsp:rsid wsp:val=&quot;009C1E71&quot;/&gt;&lt;wsp:rsid wsp:val=&quot;009C3300&quot;/&gt;&lt;wsp:rsid wsp:val=&quot;009C4E8C&quot;/&gt;&lt;wsp:rsid wsp:val=&quot;009F676E&quot;/&gt;&lt;wsp:rsid wsp:val=&quot;00A3133C&quot;/&gt;&lt;wsp:rsid wsp:val=&quot;00A3483E&quot;/&gt;&lt;wsp:rsid wsp:val=&quot;00A84541&quot;/&gt;&lt;wsp:rsid wsp:val=&quot;00AE0E62&quot;/&gt;&lt;wsp:rsid wsp:val=&quot;00AF3009&quot;/&gt;&lt;wsp:rsid wsp:val=&quot;00B226FC&quot;/&gt;&lt;wsp:rsid wsp:val=&quot;00B23297&quot;/&gt;&lt;wsp:rsid wsp:val=&quot;00B40255&quot;/&gt;&lt;wsp:rsid wsp:val=&quot;00B60F9B&quot;/&gt;&lt;wsp:rsid wsp:val=&quot;00BC17ED&quot;/&gt;&lt;wsp:rsid wsp:val=&quot;00C002E9&quot;/&gt;&lt;wsp:rsid wsp:val=&quot;00C348D9&quot;/&gt;&lt;wsp:rsid wsp:val=&quot;00C73E14&quot;/&gt;&lt;wsp:rsid wsp:val=&quot;00C82911&quot;/&gt;&lt;wsp:rsid wsp:val=&quot;00CA274A&quot;/&gt;&lt;wsp:rsid wsp:val=&quot;00CA3753&quot;/&gt;&lt;wsp:rsid wsp:val=&quot;00CD24B0&quot;/&gt;&lt;wsp:rsid wsp:val=&quot;00CD691D&quot;/&gt;&lt;wsp:rsid wsp:val=&quot;00CF0262&quot;/&gt;&lt;wsp:rsid wsp:val=&quot;00D103EB&quot;/&gt;&lt;wsp:rsid wsp:val=&quot;00D1414C&quot;/&gt;&lt;wsp:rsid wsp:val=&quot;00D41C40&quot;/&gt;&lt;wsp:rsid wsp:val=&quot;00D5150C&quot;/&gt;&lt;wsp:rsid wsp:val=&quot;00D517E0&quot;/&gt;&lt;wsp:rsid wsp:val=&quot;00D541B7&quot;/&gt;&lt;wsp:rsid wsp:val=&quot;00D54279&quot;/&gt;&lt;wsp:rsid wsp:val=&quot;00D65776&quot;/&gt;&lt;wsp:rsid wsp:val=&quot;00D72A09&quot;/&gt;&lt;wsp:rsid wsp:val=&quot;00D81D8F&quot;/&gt;&lt;wsp:rsid wsp:val=&quot;00DA0A5B&quot;/&gt;&lt;wsp:rsid wsp:val=&quot;00DC2898&quot;/&gt;&lt;wsp:rsid wsp:val=&quot;00DD0F1A&quot;/&gt;&lt;wsp:rsid wsp:val=&quot;00DD10D4&quot;/&gt;&lt;wsp:rsid wsp:val=&quot;00DD3329&quot;/&gt;&lt;wsp:rsid wsp:val=&quot;00E04053&quot;/&gt;&lt;wsp:rsid wsp:val=&quot;00E11B1F&quot;/&gt;&lt;wsp:rsid wsp:val=&quot;00E11C44&quot;/&gt;&lt;wsp:rsid wsp:val=&quot;00E30A0E&quot;/&gt;&lt;wsp:rsid wsp:val=&quot;00E44804&quot;/&gt;&lt;wsp:rsid wsp:val=&quot;00E46FE9&quot;/&gt;&lt;wsp:rsid wsp:val=&quot;00E712D6&quot;/&gt;&lt;wsp:rsid wsp:val=&quot;00E83406&quot;/&gt;&lt;wsp:rsid wsp:val=&quot;00E91A39&quot;/&gt;&lt;wsp:rsid wsp:val=&quot;00ED113C&quot;/&gt;&lt;wsp:rsid wsp:val=&quot;00F11E16&quot;/&gt;&lt;wsp:rsid wsp:val=&quot;00F26F4C&quot;/&gt;&lt;wsp:rsid wsp:val=&quot;00F32FB9&quot;/&gt;&lt;wsp:rsid wsp:val=&quot;00F42500&quot;/&gt;&lt;wsp:rsid wsp:val=&quot;00F5146F&quot;/&gt;&lt;wsp:rsid wsp:val=&quot;00F80A0A&quot;/&gt;&lt;wsp:rsid wsp:val=&quot;00F82398&quot;/&gt;&lt;wsp:rsid wsp:val=&quot;00FF42C6&quot;/&gt;&lt;/wsp:rsids&gt;&lt;/w:docPr&gt;&lt;w:body&gt;&lt;wx:sect&gt;&lt;w:p wsp:rsidR=&quot;00000000&quot; wsp:rsidRDefault=&quot;00ED113C&quot; wsp:rsidP=&quot;00ED113C&quot;&gt;&lt;m:oMathPara&gt;&lt;m:oMath&gt;&lt;m:sSub&gt;&lt;m:sSubPr&gt;&lt;m:ctrlPr&gt;&lt;w:rPr&gt;&lt;w:rFonts w:ascii=&quot;Cambria Math&quot; w:h-ansi=&quot;Cambria Math&quot;/&gt;&lt;wx:font wx:val=&quot;Cambria Math&quot;/&gt;&lt;w:i/&gt;&lt;w:sz w:val=&quot;28&quot;/&gt;&lt;/w:rPr&gt;&lt;/m:ctrlPr&gt;&lt;/m:sSubPr&gt;&lt;m:e&gt;&lt;m:r&gt;&lt;w:rPr&gt;&lt;w:rFonts w:ascii=&quot;Cambria Math&quot; w:h-ansi=&quot;Cambria Math&quot;/&gt;&lt;wx:font wx:val=&quot;Cambria Math&quot;/&gt;&lt;w:i/&gt;&lt;w:sz w:val=&quot;28&quot;/&gt;&lt;w:sz-cs w:val=&quot;28&quot;/&gt;&lt;w:lang w:val=&quot;EN-US&quot;/&gt;&lt;/w:rPr&gt;&lt;m:t&gt;NPV&lt;/m:t&gt;&lt;/m:r&gt;&lt;m:ctrlPr&gt;&lt;w:rPr&gt;&lt;w:rFonts w:ascii=&quot;Cambria Math&quot; w:h-ansi=&quot;Cambria Math&quot;/&gt;&lt;wx:font wx:val=&quot;Cambria Math&quot;/&gt;&lt;w:i/&gt;&lt;w:sz w:val=&quot;28&quot;/&gt;&lt;w:lang w:val=&quot;EN-US&quot;/&gt;&lt;/w:rPr&gt;&lt;/m:ctrlPr&gt;&lt;/m:e&gt;&lt;m:sub&gt;&lt;m:r&gt;&lt;w:rPr&gt;&lt;w:rFonts w:ascii=&quot;Cambria Math&quot; w:h-ansi=&quot;Cambria Math&quot;/&gt;&lt;wx:font wx:val=&quot;Cambria Math&quot;/&gt;&lt;w:i/&gt;&lt;w:sz w:val=&quot;28&quot;/&gt;&lt;w:sz-cs w:val=&quot;28&quot;/&gt;&lt;/w:rPr&gt;&lt;m:t&gt;в€ћ&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 o:title="" chromakey="white"/>
          </v:shape>
        </w:pict>
      </w:r>
      <w:r w:rsidRPr="00A3483E">
        <w:rPr>
          <w:rFonts w:ascii="Times New Roman" w:eastAsiaTheme="minorEastAsia" w:hAnsi="Times New Roman"/>
          <w:sz w:val="28"/>
          <w:szCs w:val="28"/>
        </w:rPr>
        <w:instrText xml:space="preserve"> </w:instrText>
      </w:r>
      <w:r w:rsidRPr="00A3483E">
        <w:rPr>
          <w:rFonts w:ascii="Times New Roman" w:eastAsiaTheme="minorEastAsia" w:hAnsi="Times New Roman"/>
          <w:sz w:val="28"/>
          <w:szCs w:val="28"/>
        </w:rPr>
        <w:fldChar w:fldCharType="separate"/>
      </w:r>
      <w:r w:rsidR="00DE3D68">
        <w:rPr>
          <w:position w:val="-11"/>
        </w:rPr>
        <w:pict>
          <v:shape id="_x0000_i1032" type="#_x0000_t75" style="width:34.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65776&quot;/&gt;&lt;wsp:rsid wsp:val=&quot;00011AB3&quot;/&gt;&lt;wsp:rsid wsp:val=&quot;00027821&quot;/&gt;&lt;wsp:rsid wsp:val=&quot;000350B6&quot;/&gt;&lt;wsp:rsid wsp:val=&quot;000836C3&quot;/&gt;&lt;wsp:rsid wsp:val=&quot;00083EF2&quot;/&gt;&lt;wsp:rsid wsp:val=&quot;00113368&quot;/&gt;&lt;wsp:rsid wsp:val=&quot;0012089F&quot;/&gt;&lt;wsp:rsid wsp:val=&quot;001443A6&quot;/&gt;&lt;wsp:rsid wsp:val=&quot;00195162&quot;/&gt;&lt;wsp:rsid wsp:val=&quot;001A18B7&quot;/&gt;&lt;wsp:rsid wsp:val=&quot;001C309B&quot;/&gt;&lt;wsp:rsid wsp:val=&quot;001D55D5&quot;/&gt;&lt;wsp:rsid wsp:val=&quot;0020190D&quot;/&gt;&lt;wsp:rsid wsp:val=&quot;00227218&quot;/&gt;&lt;wsp:rsid wsp:val=&quot;00230E90&quot;/&gt;&lt;wsp:rsid wsp:val=&quot;00254AE3&quot;/&gt;&lt;wsp:rsid wsp:val=&quot;002621EA&quot;/&gt;&lt;wsp:rsid wsp:val=&quot;002B05C9&quot;/&gt;&lt;wsp:rsid wsp:val=&quot;002B0D2F&quot;/&gt;&lt;wsp:rsid wsp:val=&quot;002B34B4&quot;/&gt;&lt;wsp:rsid wsp:val=&quot;002B67C8&quot;/&gt;&lt;wsp:rsid wsp:val=&quot;002F3D96&quot;/&gt;&lt;wsp:rsid wsp:val=&quot;002F445F&quot;/&gt;&lt;wsp:rsid wsp:val=&quot;003449E2&quot;/&gt;&lt;wsp:rsid wsp:val=&quot;003572EA&quot;/&gt;&lt;wsp:rsid wsp:val=&quot;003811E3&quot;/&gt;&lt;wsp:rsid wsp:val=&quot;003955E0&quot;/&gt;&lt;wsp:rsid wsp:val=&quot;003962B3&quot;/&gt;&lt;wsp:rsid wsp:val=&quot;003B7E8E&quot;/&gt;&lt;wsp:rsid wsp:val=&quot;003F116B&quot;/&gt;&lt;wsp:rsid wsp:val=&quot;003F4AB1&quot;/&gt;&lt;wsp:rsid wsp:val=&quot;00407234&quot;/&gt;&lt;wsp:rsid wsp:val=&quot;00421DC2&quot;/&gt;&lt;wsp:rsid wsp:val=&quot;00423FC1&quot;/&gt;&lt;wsp:rsid wsp:val=&quot;0045031C&quot;/&gt;&lt;wsp:rsid wsp:val=&quot;00465F43&quot;/&gt;&lt;wsp:rsid wsp:val=&quot;00496EB2&quot;/&gt;&lt;wsp:rsid wsp:val=&quot;004A2D77&quot;/&gt;&lt;wsp:rsid wsp:val=&quot;004F4DAA&quot;/&gt;&lt;wsp:rsid wsp:val=&quot;004F70E0&quot;/&gt;&lt;wsp:rsid wsp:val=&quot;00513A7F&quot;/&gt;&lt;wsp:rsid wsp:val=&quot;0054223D&quot;/&gt;&lt;wsp:rsid wsp:val=&quot;00595FF0&quot;/&gt;&lt;wsp:rsid wsp:val=&quot;005E6A57&quot;/&gt;&lt;wsp:rsid wsp:val=&quot;005F35DB&quot;/&gt;&lt;wsp:rsid wsp:val=&quot;006074E4&quot;/&gt;&lt;wsp:rsid wsp:val=&quot;0065371B&quot;/&gt;&lt;wsp:rsid wsp:val=&quot;00667545&quot;/&gt;&lt;wsp:rsid wsp:val=&quot;00693588&quot;/&gt;&lt;wsp:rsid wsp:val=&quot;006A72B7&quot;/&gt;&lt;wsp:rsid wsp:val=&quot;006D1D96&quot;/&gt;&lt;wsp:rsid wsp:val=&quot;006D6D1D&quot;/&gt;&lt;wsp:rsid wsp:val=&quot;006E2527&quot;/&gt;&lt;wsp:rsid wsp:val=&quot;00716721&quot;/&gt;&lt;wsp:rsid wsp:val=&quot;00733395&quot;/&gt;&lt;wsp:rsid wsp:val=&quot;007A2A0D&quot;/&gt;&lt;wsp:rsid wsp:val=&quot;007A5235&quot;/&gt;&lt;wsp:rsid wsp:val=&quot;007B0EDE&quot;/&gt;&lt;wsp:rsid wsp:val=&quot;007B4799&quot;/&gt;&lt;wsp:rsid wsp:val=&quot;007B4A80&quot;/&gt;&lt;wsp:rsid wsp:val=&quot;007D0813&quot;/&gt;&lt;wsp:rsid wsp:val=&quot;00874A0D&quot;/&gt;&lt;wsp:rsid wsp:val=&quot;008A6413&quot;/&gt;&lt;wsp:rsid wsp:val=&quot;008F0088&quot;/&gt;&lt;wsp:rsid wsp:val=&quot;009024E2&quot;/&gt;&lt;wsp:rsid wsp:val=&quot;00903BD9&quot;/&gt;&lt;wsp:rsid wsp:val=&quot;00904723&quot;/&gt;&lt;wsp:rsid wsp:val=&quot;0091058C&quot;/&gt;&lt;wsp:rsid wsp:val=&quot;0091292B&quot;/&gt;&lt;wsp:rsid wsp:val=&quot;00941A90&quot;/&gt;&lt;wsp:rsid wsp:val=&quot;00941FF5&quot;/&gt;&lt;wsp:rsid wsp:val=&quot;0096096E&quot;/&gt;&lt;wsp:rsid wsp:val=&quot;009659C0&quot;/&gt;&lt;wsp:rsid wsp:val=&quot;00966612&quot;/&gt;&lt;wsp:rsid wsp:val=&quot;009C1E71&quot;/&gt;&lt;wsp:rsid wsp:val=&quot;009C3300&quot;/&gt;&lt;wsp:rsid wsp:val=&quot;009C4E8C&quot;/&gt;&lt;wsp:rsid wsp:val=&quot;009F676E&quot;/&gt;&lt;wsp:rsid wsp:val=&quot;00A3133C&quot;/&gt;&lt;wsp:rsid wsp:val=&quot;00A3483E&quot;/&gt;&lt;wsp:rsid wsp:val=&quot;00A84541&quot;/&gt;&lt;wsp:rsid wsp:val=&quot;00AE0E62&quot;/&gt;&lt;wsp:rsid wsp:val=&quot;00AF3009&quot;/&gt;&lt;wsp:rsid wsp:val=&quot;00B226FC&quot;/&gt;&lt;wsp:rsid wsp:val=&quot;00B23297&quot;/&gt;&lt;wsp:rsid wsp:val=&quot;00B40255&quot;/&gt;&lt;wsp:rsid wsp:val=&quot;00B60F9B&quot;/&gt;&lt;wsp:rsid wsp:val=&quot;00BC17ED&quot;/&gt;&lt;wsp:rsid wsp:val=&quot;00C002E9&quot;/&gt;&lt;wsp:rsid wsp:val=&quot;00C348D9&quot;/&gt;&lt;wsp:rsid wsp:val=&quot;00C73E14&quot;/&gt;&lt;wsp:rsid wsp:val=&quot;00C82911&quot;/&gt;&lt;wsp:rsid wsp:val=&quot;00CA274A&quot;/&gt;&lt;wsp:rsid wsp:val=&quot;00CA3753&quot;/&gt;&lt;wsp:rsid wsp:val=&quot;00CD24B0&quot;/&gt;&lt;wsp:rsid wsp:val=&quot;00CD691D&quot;/&gt;&lt;wsp:rsid wsp:val=&quot;00CF0262&quot;/&gt;&lt;wsp:rsid wsp:val=&quot;00D103EB&quot;/&gt;&lt;wsp:rsid wsp:val=&quot;00D1414C&quot;/&gt;&lt;wsp:rsid wsp:val=&quot;00D41C40&quot;/&gt;&lt;wsp:rsid wsp:val=&quot;00D5150C&quot;/&gt;&lt;wsp:rsid wsp:val=&quot;00D517E0&quot;/&gt;&lt;wsp:rsid wsp:val=&quot;00D541B7&quot;/&gt;&lt;wsp:rsid wsp:val=&quot;00D54279&quot;/&gt;&lt;wsp:rsid wsp:val=&quot;00D65776&quot;/&gt;&lt;wsp:rsid wsp:val=&quot;00D72A09&quot;/&gt;&lt;wsp:rsid wsp:val=&quot;00D81D8F&quot;/&gt;&lt;wsp:rsid wsp:val=&quot;00DA0A5B&quot;/&gt;&lt;wsp:rsid wsp:val=&quot;00DC2898&quot;/&gt;&lt;wsp:rsid wsp:val=&quot;00DD0F1A&quot;/&gt;&lt;wsp:rsid wsp:val=&quot;00DD10D4&quot;/&gt;&lt;wsp:rsid wsp:val=&quot;00DD3329&quot;/&gt;&lt;wsp:rsid wsp:val=&quot;00E04053&quot;/&gt;&lt;wsp:rsid wsp:val=&quot;00E11B1F&quot;/&gt;&lt;wsp:rsid wsp:val=&quot;00E11C44&quot;/&gt;&lt;wsp:rsid wsp:val=&quot;00E30A0E&quot;/&gt;&lt;wsp:rsid wsp:val=&quot;00E44804&quot;/&gt;&lt;wsp:rsid wsp:val=&quot;00E46FE9&quot;/&gt;&lt;wsp:rsid wsp:val=&quot;00E712D6&quot;/&gt;&lt;wsp:rsid wsp:val=&quot;00E83406&quot;/&gt;&lt;wsp:rsid wsp:val=&quot;00E91A39&quot;/&gt;&lt;wsp:rsid wsp:val=&quot;00ED113C&quot;/&gt;&lt;wsp:rsid wsp:val=&quot;00F11E16&quot;/&gt;&lt;wsp:rsid wsp:val=&quot;00F26F4C&quot;/&gt;&lt;wsp:rsid wsp:val=&quot;00F32FB9&quot;/&gt;&lt;wsp:rsid wsp:val=&quot;00F42500&quot;/&gt;&lt;wsp:rsid wsp:val=&quot;00F5146F&quot;/&gt;&lt;wsp:rsid wsp:val=&quot;00F80A0A&quot;/&gt;&lt;wsp:rsid wsp:val=&quot;00F82398&quot;/&gt;&lt;wsp:rsid wsp:val=&quot;00FF42C6&quot;/&gt;&lt;/wsp:rsids&gt;&lt;/w:docPr&gt;&lt;w:body&gt;&lt;wx:sect&gt;&lt;w:p wsp:rsidR=&quot;00000000&quot; wsp:rsidRDefault=&quot;00ED113C&quot; wsp:rsidP=&quot;00ED113C&quot;&gt;&lt;m:oMathPara&gt;&lt;m:oMath&gt;&lt;m:sSub&gt;&lt;m:sSubPr&gt;&lt;m:ctrlPr&gt;&lt;w:rPr&gt;&lt;w:rFonts w:ascii=&quot;Cambria Math&quot; w:h-ansi=&quot;Cambria Math&quot;/&gt;&lt;wx:font wx:val=&quot;Cambria Math&quot;/&gt;&lt;w:i/&gt;&lt;w:sz w:val=&quot;28&quot;/&gt;&lt;/w:rPr&gt;&lt;/m:ctrlPr&gt;&lt;/m:sSubPr&gt;&lt;m:e&gt;&lt;m:r&gt;&lt;w:rPr&gt;&lt;w:rFonts w:ascii=&quot;Cambria Math&quot; w:h-ansi=&quot;Cambria Math&quot;/&gt;&lt;wx:font wx:val=&quot;Cambria Math&quot;/&gt;&lt;w:i/&gt;&lt;w:sz w:val=&quot;28&quot;/&gt;&lt;w:sz-cs w:val=&quot;28&quot;/&gt;&lt;w:lang w:val=&quot;EN-US&quot;/&gt;&lt;/w:rPr&gt;&lt;m:t&gt;NPV&lt;/m:t&gt;&lt;/m:r&gt;&lt;m:ctrlPr&gt;&lt;w:rPr&gt;&lt;w:rFonts w:ascii=&quot;Cambria Math&quot; w:h-ansi=&quot;Cambria Math&quot;/&gt;&lt;wx:font wx:val=&quot;Cambria Math&quot;/&gt;&lt;w:i/&gt;&lt;w:sz w:val=&quot;28&quot;/&gt;&lt;w:lang w:val=&quot;EN-US&quot;/&gt;&lt;/w:rPr&gt;&lt;/m:ctrlPr&gt;&lt;/m:e&gt;&lt;m:sub&gt;&lt;m:r&gt;&lt;w:rPr&gt;&lt;w:rFonts w:ascii=&quot;Cambria Math&quot; w:h-ansi=&quot;Cambria Math&quot;/&gt;&lt;wx:font wx:val=&quot;Cambria Math&quot;/&gt;&lt;w:i/&gt;&lt;w:sz w:val=&quot;28&quot;/&gt;&lt;w:sz-cs w:val=&quot;28&quot;/&gt;&lt;/w:rPr&gt;&lt;m:t&gt;в€ћ&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 o:title="" chromakey="white"/>
          </v:shape>
        </w:pict>
      </w:r>
      <w:r w:rsidRPr="00A3483E">
        <w:rPr>
          <w:rFonts w:ascii="Times New Roman" w:eastAsiaTheme="minorEastAsia" w:hAnsi="Times New Roman"/>
          <w:sz w:val="28"/>
          <w:szCs w:val="28"/>
        </w:rPr>
        <w:fldChar w:fldCharType="end"/>
      </w:r>
      <w:r w:rsidR="009C3300" w:rsidRPr="00A3483E">
        <w:rPr>
          <w:rFonts w:ascii="Times New Roman" w:hAnsi="Times New Roman"/>
          <w:sz w:val="28"/>
          <w:szCs w:val="28"/>
        </w:rPr>
        <w:t>(Б)=9,58</w:t>
      </w:r>
    </w:p>
    <w:p w:rsidR="009C3300" w:rsidRPr="00A3483E" w:rsidRDefault="00A3483E" w:rsidP="00A3133C">
      <w:pPr>
        <w:widowControl w:val="0"/>
        <w:shd w:val="clear" w:color="000000" w:fill="auto"/>
        <w:spacing w:after="0" w:line="360" w:lineRule="auto"/>
        <w:ind w:firstLine="709"/>
        <w:jc w:val="both"/>
        <w:rPr>
          <w:rFonts w:ascii="Times New Roman" w:hAnsi="Times New Roman"/>
          <w:sz w:val="28"/>
          <w:szCs w:val="28"/>
        </w:rPr>
      </w:pPr>
      <w:r w:rsidRPr="00A3483E">
        <w:rPr>
          <w:rFonts w:ascii="Times New Roman" w:eastAsiaTheme="minorEastAsia" w:hAnsi="Times New Roman"/>
          <w:sz w:val="28"/>
          <w:szCs w:val="28"/>
        </w:rPr>
        <w:fldChar w:fldCharType="begin"/>
      </w:r>
      <w:r w:rsidRPr="00A3483E">
        <w:rPr>
          <w:rFonts w:ascii="Times New Roman" w:eastAsiaTheme="minorEastAsia" w:hAnsi="Times New Roman"/>
          <w:sz w:val="28"/>
          <w:szCs w:val="28"/>
        </w:rPr>
        <w:instrText xml:space="preserve"> QUOTE </w:instrText>
      </w:r>
      <w:r w:rsidR="00DE3D68">
        <w:rPr>
          <w:position w:val="-11"/>
        </w:rPr>
        <w:pict>
          <v:shape id="_x0000_i1033" type="#_x0000_t75" style="width:34.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65776&quot;/&gt;&lt;wsp:rsid wsp:val=&quot;00011AB3&quot;/&gt;&lt;wsp:rsid wsp:val=&quot;00027821&quot;/&gt;&lt;wsp:rsid wsp:val=&quot;000350B6&quot;/&gt;&lt;wsp:rsid wsp:val=&quot;000836C3&quot;/&gt;&lt;wsp:rsid wsp:val=&quot;00083EF2&quot;/&gt;&lt;wsp:rsid wsp:val=&quot;00113368&quot;/&gt;&lt;wsp:rsid wsp:val=&quot;0012089F&quot;/&gt;&lt;wsp:rsid wsp:val=&quot;001443A6&quot;/&gt;&lt;wsp:rsid wsp:val=&quot;00195162&quot;/&gt;&lt;wsp:rsid wsp:val=&quot;001A18B7&quot;/&gt;&lt;wsp:rsid wsp:val=&quot;001C309B&quot;/&gt;&lt;wsp:rsid wsp:val=&quot;001D55D5&quot;/&gt;&lt;wsp:rsid wsp:val=&quot;0020190D&quot;/&gt;&lt;wsp:rsid wsp:val=&quot;00216EE1&quot;/&gt;&lt;wsp:rsid wsp:val=&quot;00227218&quot;/&gt;&lt;wsp:rsid wsp:val=&quot;00230E90&quot;/&gt;&lt;wsp:rsid wsp:val=&quot;00254AE3&quot;/&gt;&lt;wsp:rsid wsp:val=&quot;002621EA&quot;/&gt;&lt;wsp:rsid wsp:val=&quot;002B05C9&quot;/&gt;&lt;wsp:rsid wsp:val=&quot;002B0D2F&quot;/&gt;&lt;wsp:rsid wsp:val=&quot;002B34B4&quot;/&gt;&lt;wsp:rsid wsp:val=&quot;002B67C8&quot;/&gt;&lt;wsp:rsid wsp:val=&quot;002F3D96&quot;/&gt;&lt;wsp:rsid wsp:val=&quot;002F445F&quot;/&gt;&lt;wsp:rsid wsp:val=&quot;003449E2&quot;/&gt;&lt;wsp:rsid wsp:val=&quot;003572EA&quot;/&gt;&lt;wsp:rsid wsp:val=&quot;003811E3&quot;/&gt;&lt;wsp:rsid wsp:val=&quot;003955E0&quot;/&gt;&lt;wsp:rsid wsp:val=&quot;003962B3&quot;/&gt;&lt;wsp:rsid wsp:val=&quot;003B7E8E&quot;/&gt;&lt;wsp:rsid wsp:val=&quot;003F116B&quot;/&gt;&lt;wsp:rsid wsp:val=&quot;003F4AB1&quot;/&gt;&lt;wsp:rsid wsp:val=&quot;00407234&quot;/&gt;&lt;wsp:rsid wsp:val=&quot;00421DC2&quot;/&gt;&lt;wsp:rsid wsp:val=&quot;00423FC1&quot;/&gt;&lt;wsp:rsid wsp:val=&quot;0045031C&quot;/&gt;&lt;wsp:rsid wsp:val=&quot;00465F43&quot;/&gt;&lt;wsp:rsid wsp:val=&quot;00496EB2&quot;/&gt;&lt;wsp:rsid wsp:val=&quot;004A2D77&quot;/&gt;&lt;wsp:rsid wsp:val=&quot;004F4DAA&quot;/&gt;&lt;wsp:rsid wsp:val=&quot;004F70E0&quot;/&gt;&lt;wsp:rsid wsp:val=&quot;00513A7F&quot;/&gt;&lt;wsp:rsid wsp:val=&quot;0054223D&quot;/&gt;&lt;wsp:rsid wsp:val=&quot;00595FF0&quot;/&gt;&lt;wsp:rsid wsp:val=&quot;005E6A57&quot;/&gt;&lt;wsp:rsid wsp:val=&quot;005F35DB&quot;/&gt;&lt;wsp:rsid wsp:val=&quot;006074E4&quot;/&gt;&lt;wsp:rsid wsp:val=&quot;0065371B&quot;/&gt;&lt;wsp:rsid wsp:val=&quot;00667545&quot;/&gt;&lt;wsp:rsid wsp:val=&quot;00693588&quot;/&gt;&lt;wsp:rsid wsp:val=&quot;006A72B7&quot;/&gt;&lt;wsp:rsid wsp:val=&quot;006D1D96&quot;/&gt;&lt;wsp:rsid wsp:val=&quot;006D6D1D&quot;/&gt;&lt;wsp:rsid wsp:val=&quot;006E2527&quot;/&gt;&lt;wsp:rsid wsp:val=&quot;00716721&quot;/&gt;&lt;wsp:rsid wsp:val=&quot;00733395&quot;/&gt;&lt;wsp:rsid wsp:val=&quot;007A2A0D&quot;/&gt;&lt;wsp:rsid wsp:val=&quot;007A5235&quot;/&gt;&lt;wsp:rsid wsp:val=&quot;007B0EDE&quot;/&gt;&lt;wsp:rsid wsp:val=&quot;007B4799&quot;/&gt;&lt;wsp:rsid wsp:val=&quot;007B4A80&quot;/&gt;&lt;wsp:rsid wsp:val=&quot;007D0813&quot;/&gt;&lt;wsp:rsid wsp:val=&quot;00874A0D&quot;/&gt;&lt;wsp:rsid wsp:val=&quot;008A6413&quot;/&gt;&lt;wsp:rsid wsp:val=&quot;008F0088&quot;/&gt;&lt;wsp:rsid wsp:val=&quot;009024E2&quot;/&gt;&lt;wsp:rsid wsp:val=&quot;00903BD9&quot;/&gt;&lt;wsp:rsid wsp:val=&quot;00904723&quot;/&gt;&lt;wsp:rsid wsp:val=&quot;0091058C&quot;/&gt;&lt;wsp:rsid wsp:val=&quot;0091292B&quot;/&gt;&lt;wsp:rsid wsp:val=&quot;00941A90&quot;/&gt;&lt;wsp:rsid wsp:val=&quot;00941FF5&quot;/&gt;&lt;wsp:rsid wsp:val=&quot;0096096E&quot;/&gt;&lt;wsp:rsid wsp:val=&quot;009659C0&quot;/&gt;&lt;wsp:rsid wsp:val=&quot;00966612&quot;/&gt;&lt;wsp:rsid wsp:val=&quot;009C1E71&quot;/&gt;&lt;wsp:rsid wsp:val=&quot;009C3300&quot;/&gt;&lt;wsp:rsid wsp:val=&quot;009C4E8C&quot;/&gt;&lt;wsp:rsid wsp:val=&quot;009F676E&quot;/&gt;&lt;wsp:rsid wsp:val=&quot;00A3133C&quot;/&gt;&lt;wsp:rsid wsp:val=&quot;00A3483E&quot;/&gt;&lt;wsp:rsid wsp:val=&quot;00A84541&quot;/&gt;&lt;wsp:rsid wsp:val=&quot;00AE0E62&quot;/&gt;&lt;wsp:rsid wsp:val=&quot;00AF3009&quot;/&gt;&lt;wsp:rsid wsp:val=&quot;00B226FC&quot;/&gt;&lt;wsp:rsid wsp:val=&quot;00B23297&quot;/&gt;&lt;wsp:rsid wsp:val=&quot;00B40255&quot;/&gt;&lt;wsp:rsid wsp:val=&quot;00B60F9B&quot;/&gt;&lt;wsp:rsid wsp:val=&quot;00BC17ED&quot;/&gt;&lt;wsp:rsid wsp:val=&quot;00C002E9&quot;/&gt;&lt;wsp:rsid wsp:val=&quot;00C348D9&quot;/&gt;&lt;wsp:rsid wsp:val=&quot;00C73E14&quot;/&gt;&lt;wsp:rsid wsp:val=&quot;00C82911&quot;/&gt;&lt;wsp:rsid wsp:val=&quot;00CA274A&quot;/&gt;&lt;wsp:rsid wsp:val=&quot;00CA3753&quot;/&gt;&lt;wsp:rsid wsp:val=&quot;00CD24B0&quot;/&gt;&lt;wsp:rsid wsp:val=&quot;00CD691D&quot;/&gt;&lt;wsp:rsid wsp:val=&quot;00CF0262&quot;/&gt;&lt;wsp:rsid wsp:val=&quot;00D103EB&quot;/&gt;&lt;wsp:rsid wsp:val=&quot;00D1414C&quot;/&gt;&lt;wsp:rsid wsp:val=&quot;00D41C40&quot;/&gt;&lt;wsp:rsid wsp:val=&quot;00D5150C&quot;/&gt;&lt;wsp:rsid wsp:val=&quot;00D517E0&quot;/&gt;&lt;wsp:rsid wsp:val=&quot;00D541B7&quot;/&gt;&lt;wsp:rsid wsp:val=&quot;00D54279&quot;/&gt;&lt;wsp:rsid wsp:val=&quot;00D65776&quot;/&gt;&lt;wsp:rsid wsp:val=&quot;00D72A09&quot;/&gt;&lt;wsp:rsid wsp:val=&quot;00D81D8F&quot;/&gt;&lt;wsp:rsid wsp:val=&quot;00DA0A5B&quot;/&gt;&lt;wsp:rsid wsp:val=&quot;00DC2898&quot;/&gt;&lt;wsp:rsid wsp:val=&quot;00DD0F1A&quot;/&gt;&lt;wsp:rsid wsp:val=&quot;00DD10D4&quot;/&gt;&lt;wsp:rsid wsp:val=&quot;00DD3329&quot;/&gt;&lt;wsp:rsid wsp:val=&quot;00E04053&quot;/&gt;&lt;wsp:rsid wsp:val=&quot;00E11B1F&quot;/&gt;&lt;wsp:rsid wsp:val=&quot;00E11C44&quot;/&gt;&lt;wsp:rsid wsp:val=&quot;00E30A0E&quot;/&gt;&lt;wsp:rsid wsp:val=&quot;00E44804&quot;/&gt;&lt;wsp:rsid wsp:val=&quot;00E46FE9&quot;/&gt;&lt;wsp:rsid wsp:val=&quot;00E712D6&quot;/&gt;&lt;wsp:rsid wsp:val=&quot;00E83406&quot;/&gt;&lt;wsp:rsid wsp:val=&quot;00E91A39&quot;/&gt;&lt;wsp:rsid wsp:val=&quot;00F11E16&quot;/&gt;&lt;wsp:rsid wsp:val=&quot;00F26F4C&quot;/&gt;&lt;wsp:rsid wsp:val=&quot;00F32FB9&quot;/&gt;&lt;wsp:rsid wsp:val=&quot;00F42500&quot;/&gt;&lt;wsp:rsid wsp:val=&quot;00F5146F&quot;/&gt;&lt;wsp:rsid wsp:val=&quot;00F80A0A&quot;/&gt;&lt;wsp:rsid wsp:val=&quot;00F82398&quot;/&gt;&lt;wsp:rsid wsp:val=&quot;00FF42C6&quot;/&gt;&lt;/wsp:rsids&gt;&lt;/w:docPr&gt;&lt;w:body&gt;&lt;wx:sect&gt;&lt;w:p wsp:rsidR=&quot;00000000&quot; wsp:rsidRDefault=&quot;00216EE1&quot; wsp:rsidP=&quot;00216EE1&quot;&gt;&lt;m:oMathPara&gt;&lt;m:oMath&gt;&lt;m:sSub&gt;&lt;m:sSubPr&gt;&lt;m:ctrlPr&gt;&lt;w:rPr&gt;&lt;w:rFonts w:ascii=&quot;Cambria Math&quot; w:h-ansi=&quot;Cambria Math&quot;/&gt;&lt;wx:font wx:val=&quot;Cambria Math&quot;/&gt;&lt;w:i/&gt;&lt;w:sz w:val=&quot;28&quot;/&gt;&lt;/w:rPr&gt;&lt;/m:ctrlPr&gt;&lt;/m:sSubPr&gt;&lt;m:e&gt;&lt;m:r&gt;&lt;w:rPr&gt;&lt;w:rFonts w:ascii=&quot;Cambria Math&quot; w:h-ansi=&quot;Cambria Math&quot;/&gt;&lt;wx:font wx:val=&quot;Cambria Math&quot;/&gt;&lt;w:i/&gt;&lt;w:sz w:val=&quot;28&quot;/&gt;&lt;w:sz-cs w:val=&quot;28&quot;/&gt;&lt;w:lang w:val=&quot;EN-US&quot;/&gt;&lt;/w:rPr&gt;&lt;m:t&gt;NPV&lt;/m:t&gt;&lt;/m:r&gt;&lt;m:ctrlPr&gt;&lt;w:rPr&gt;&lt;w:rFonts w:ascii=&quot;Cambria Math&quot; w:h-ansi=&quot;Cambria Math&quot;/&gt;&lt;wx:font wx:val=&quot;Cambria Math&quot;/&gt;&lt;w:i/&gt;&lt;w:sz w:val=&quot;28&quot;/&gt;&lt;w:lang w:val=&quot;EN-US&quot;/&gt;&lt;/w:rPr&gt;&lt;/m:ctrlPr&gt;&lt;/m:e&gt;&lt;m:sub&gt;&lt;m:r&gt;&lt;w:rPr&gt;&lt;w:rFonts w:ascii=&quot;Cambria Math&quot; w:h-ansi=&quot;Cambria Math&quot;/&gt;&lt;wx:font wx:val=&quot;Cambria Math&quot;/&gt;&lt;w:i/&gt;&lt;w:sz w:val=&quot;28&quot;/&gt;&lt;w:sz-cs w:val=&quot;28&quot;/&gt;&lt;/w:rPr&gt;&lt;m:t&gt;в€ћ&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 o:title="" chromakey="white"/>
          </v:shape>
        </w:pict>
      </w:r>
      <w:r w:rsidRPr="00A3483E">
        <w:rPr>
          <w:rFonts w:ascii="Times New Roman" w:eastAsiaTheme="minorEastAsia" w:hAnsi="Times New Roman"/>
          <w:sz w:val="28"/>
          <w:szCs w:val="28"/>
        </w:rPr>
        <w:instrText xml:space="preserve"> </w:instrText>
      </w:r>
      <w:r w:rsidRPr="00A3483E">
        <w:rPr>
          <w:rFonts w:ascii="Times New Roman" w:eastAsiaTheme="minorEastAsia" w:hAnsi="Times New Roman"/>
          <w:sz w:val="28"/>
          <w:szCs w:val="28"/>
        </w:rPr>
        <w:fldChar w:fldCharType="separate"/>
      </w:r>
      <w:r w:rsidR="00DE3D68">
        <w:rPr>
          <w:position w:val="-11"/>
        </w:rPr>
        <w:pict>
          <v:shape id="_x0000_i1034" type="#_x0000_t75" style="width:34.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65776&quot;/&gt;&lt;wsp:rsid wsp:val=&quot;00011AB3&quot;/&gt;&lt;wsp:rsid wsp:val=&quot;00027821&quot;/&gt;&lt;wsp:rsid wsp:val=&quot;000350B6&quot;/&gt;&lt;wsp:rsid wsp:val=&quot;000836C3&quot;/&gt;&lt;wsp:rsid wsp:val=&quot;00083EF2&quot;/&gt;&lt;wsp:rsid wsp:val=&quot;00113368&quot;/&gt;&lt;wsp:rsid wsp:val=&quot;0012089F&quot;/&gt;&lt;wsp:rsid wsp:val=&quot;001443A6&quot;/&gt;&lt;wsp:rsid wsp:val=&quot;00195162&quot;/&gt;&lt;wsp:rsid wsp:val=&quot;001A18B7&quot;/&gt;&lt;wsp:rsid wsp:val=&quot;001C309B&quot;/&gt;&lt;wsp:rsid wsp:val=&quot;001D55D5&quot;/&gt;&lt;wsp:rsid wsp:val=&quot;0020190D&quot;/&gt;&lt;wsp:rsid wsp:val=&quot;00216EE1&quot;/&gt;&lt;wsp:rsid wsp:val=&quot;00227218&quot;/&gt;&lt;wsp:rsid wsp:val=&quot;00230E90&quot;/&gt;&lt;wsp:rsid wsp:val=&quot;00254AE3&quot;/&gt;&lt;wsp:rsid wsp:val=&quot;002621EA&quot;/&gt;&lt;wsp:rsid wsp:val=&quot;002B05C9&quot;/&gt;&lt;wsp:rsid wsp:val=&quot;002B0D2F&quot;/&gt;&lt;wsp:rsid wsp:val=&quot;002B34B4&quot;/&gt;&lt;wsp:rsid wsp:val=&quot;002B67C8&quot;/&gt;&lt;wsp:rsid wsp:val=&quot;002F3D96&quot;/&gt;&lt;wsp:rsid wsp:val=&quot;002F445F&quot;/&gt;&lt;wsp:rsid wsp:val=&quot;003449E2&quot;/&gt;&lt;wsp:rsid wsp:val=&quot;003572EA&quot;/&gt;&lt;wsp:rsid wsp:val=&quot;003811E3&quot;/&gt;&lt;wsp:rsid wsp:val=&quot;003955E0&quot;/&gt;&lt;wsp:rsid wsp:val=&quot;003962B3&quot;/&gt;&lt;wsp:rsid wsp:val=&quot;003B7E8E&quot;/&gt;&lt;wsp:rsid wsp:val=&quot;003F116B&quot;/&gt;&lt;wsp:rsid wsp:val=&quot;003F4AB1&quot;/&gt;&lt;wsp:rsid wsp:val=&quot;00407234&quot;/&gt;&lt;wsp:rsid wsp:val=&quot;00421DC2&quot;/&gt;&lt;wsp:rsid wsp:val=&quot;00423FC1&quot;/&gt;&lt;wsp:rsid wsp:val=&quot;0045031C&quot;/&gt;&lt;wsp:rsid wsp:val=&quot;00465F43&quot;/&gt;&lt;wsp:rsid wsp:val=&quot;00496EB2&quot;/&gt;&lt;wsp:rsid wsp:val=&quot;004A2D77&quot;/&gt;&lt;wsp:rsid wsp:val=&quot;004F4DAA&quot;/&gt;&lt;wsp:rsid wsp:val=&quot;004F70E0&quot;/&gt;&lt;wsp:rsid wsp:val=&quot;00513A7F&quot;/&gt;&lt;wsp:rsid wsp:val=&quot;0054223D&quot;/&gt;&lt;wsp:rsid wsp:val=&quot;00595FF0&quot;/&gt;&lt;wsp:rsid wsp:val=&quot;005E6A57&quot;/&gt;&lt;wsp:rsid wsp:val=&quot;005F35DB&quot;/&gt;&lt;wsp:rsid wsp:val=&quot;006074E4&quot;/&gt;&lt;wsp:rsid wsp:val=&quot;0065371B&quot;/&gt;&lt;wsp:rsid wsp:val=&quot;00667545&quot;/&gt;&lt;wsp:rsid wsp:val=&quot;00693588&quot;/&gt;&lt;wsp:rsid wsp:val=&quot;006A72B7&quot;/&gt;&lt;wsp:rsid wsp:val=&quot;006D1D96&quot;/&gt;&lt;wsp:rsid wsp:val=&quot;006D6D1D&quot;/&gt;&lt;wsp:rsid wsp:val=&quot;006E2527&quot;/&gt;&lt;wsp:rsid wsp:val=&quot;00716721&quot;/&gt;&lt;wsp:rsid wsp:val=&quot;00733395&quot;/&gt;&lt;wsp:rsid wsp:val=&quot;007A2A0D&quot;/&gt;&lt;wsp:rsid wsp:val=&quot;007A5235&quot;/&gt;&lt;wsp:rsid wsp:val=&quot;007B0EDE&quot;/&gt;&lt;wsp:rsid wsp:val=&quot;007B4799&quot;/&gt;&lt;wsp:rsid wsp:val=&quot;007B4A80&quot;/&gt;&lt;wsp:rsid wsp:val=&quot;007D0813&quot;/&gt;&lt;wsp:rsid wsp:val=&quot;00874A0D&quot;/&gt;&lt;wsp:rsid wsp:val=&quot;008A6413&quot;/&gt;&lt;wsp:rsid wsp:val=&quot;008F0088&quot;/&gt;&lt;wsp:rsid wsp:val=&quot;009024E2&quot;/&gt;&lt;wsp:rsid wsp:val=&quot;00903BD9&quot;/&gt;&lt;wsp:rsid wsp:val=&quot;00904723&quot;/&gt;&lt;wsp:rsid wsp:val=&quot;0091058C&quot;/&gt;&lt;wsp:rsid wsp:val=&quot;0091292B&quot;/&gt;&lt;wsp:rsid wsp:val=&quot;00941A90&quot;/&gt;&lt;wsp:rsid wsp:val=&quot;00941FF5&quot;/&gt;&lt;wsp:rsid wsp:val=&quot;0096096E&quot;/&gt;&lt;wsp:rsid wsp:val=&quot;009659C0&quot;/&gt;&lt;wsp:rsid wsp:val=&quot;00966612&quot;/&gt;&lt;wsp:rsid wsp:val=&quot;009C1E71&quot;/&gt;&lt;wsp:rsid wsp:val=&quot;009C3300&quot;/&gt;&lt;wsp:rsid wsp:val=&quot;009C4E8C&quot;/&gt;&lt;wsp:rsid wsp:val=&quot;009F676E&quot;/&gt;&lt;wsp:rsid wsp:val=&quot;00A3133C&quot;/&gt;&lt;wsp:rsid wsp:val=&quot;00A3483E&quot;/&gt;&lt;wsp:rsid wsp:val=&quot;00A84541&quot;/&gt;&lt;wsp:rsid wsp:val=&quot;00AE0E62&quot;/&gt;&lt;wsp:rsid wsp:val=&quot;00AF3009&quot;/&gt;&lt;wsp:rsid wsp:val=&quot;00B226FC&quot;/&gt;&lt;wsp:rsid wsp:val=&quot;00B23297&quot;/&gt;&lt;wsp:rsid wsp:val=&quot;00B40255&quot;/&gt;&lt;wsp:rsid wsp:val=&quot;00B60F9B&quot;/&gt;&lt;wsp:rsid wsp:val=&quot;00BC17ED&quot;/&gt;&lt;wsp:rsid wsp:val=&quot;00C002E9&quot;/&gt;&lt;wsp:rsid wsp:val=&quot;00C348D9&quot;/&gt;&lt;wsp:rsid wsp:val=&quot;00C73E14&quot;/&gt;&lt;wsp:rsid wsp:val=&quot;00C82911&quot;/&gt;&lt;wsp:rsid wsp:val=&quot;00CA274A&quot;/&gt;&lt;wsp:rsid wsp:val=&quot;00CA3753&quot;/&gt;&lt;wsp:rsid wsp:val=&quot;00CD24B0&quot;/&gt;&lt;wsp:rsid wsp:val=&quot;00CD691D&quot;/&gt;&lt;wsp:rsid wsp:val=&quot;00CF0262&quot;/&gt;&lt;wsp:rsid wsp:val=&quot;00D103EB&quot;/&gt;&lt;wsp:rsid wsp:val=&quot;00D1414C&quot;/&gt;&lt;wsp:rsid wsp:val=&quot;00D41C40&quot;/&gt;&lt;wsp:rsid wsp:val=&quot;00D5150C&quot;/&gt;&lt;wsp:rsid wsp:val=&quot;00D517E0&quot;/&gt;&lt;wsp:rsid wsp:val=&quot;00D541B7&quot;/&gt;&lt;wsp:rsid wsp:val=&quot;00D54279&quot;/&gt;&lt;wsp:rsid wsp:val=&quot;00D65776&quot;/&gt;&lt;wsp:rsid wsp:val=&quot;00D72A09&quot;/&gt;&lt;wsp:rsid wsp:val=&quot;00D81D8F&quot;/&gt;&lt;wsp:rsid wsp:val=&quot;00DA0A5B&quot;/&gt;&lt;wsp:rsid wsp:val=&quot;00DC2898&quot;/&gt;&lt;wsp:rsid wsp:val=&quot;00DD0F1A&quot;/&gt;&lt;wsp:rsid wsp:val=&quot;00DD10D4&quot;/&gt;&lt;wsp:rsid wsp:val=&quot;00DD3329&quot;/&gt;&lt;wsp:rsid wsp:val=&quot;00E04053&quot;/&gt;&lt;wsp:rsid wsp:val=&quot;00E11B1F&quot;/&gt;&lt;wsp:rsid wsp:val=&quot;00E11C44&quot;/&gt;&lt;wsp:rsid wsp:val=&quot;00E30A0E&quot;/&gt;&lt;wsp:rsid wsp:val=&quot;00E44804&quot;/&gt;&lt;wsp:rsid wsp:val=&quot;00E46FE9&quot;/&gt;&lt;wsp:rsid wsp:val=&quot;00E712D6&quot;/&gt;&lt;wsp:rsid wsp:val=&quot;00E83406&quot;/&gt;&lt;wsp:rsid wsp:val=&quot;00E91A39&quot;/&gt;&lt;wsp:rsid wsp:val=&quot;00F11E16&quot;/&gt;&lt;wsp:rsid wsp:val=&quot;00F26F4C&quot;/&gt;&lt;wsp:rsid wsp:val=&quot;00F32FB9&quot;/&gt;&lt;wsp:rsid wsp:val=&quot;00F42500&quot;/&gt;&lt;wsp:rsid wsp:val=&quot;00F5146F&quot;/&gt;&lt;wsp:rsid wsp:val=&quot;00F80A0A&quot;/&gt;&lt;wsp:rsid wsp:val=&quot;00F82398&quot;/&gt;&lt;wsp:rsid wsp:val=&quot;00FF42C6&quot;/&gt;&lt;/wsp:rsids&gt;&lt;/w:docPr&gt;&lt;w:body&gt;&lt;wx:sect&gt;&lt;w:p wsp:rsidR=&quot;00000000&quot; wsp:rsidRDefault=&quot;00216EE1&quot; wsp:rsidP=&quot;00216EE1&quot;&gt;&lt;m:oMathPara&gt;&lt;m:oMath&gt;&lt;m:sSub&gt;&lt;m:sSubPr&gt;&lt;m:ctrlPr&gt;&lt;w:rPr&gt;&lt;w:rFonts w:ascii=&quot;Cambria Math&quot; w:h-ansi=&quot;Cambria Math&quot;/&gt;&lt;wx:font wx:val=&quot;Cambria Math&quot;/&gt;&lt;w:i/&gt;&lt;w:sz w:val=&quot;28&quot;/&gt;&lt;/w:rPr&gt;&lt;/m:ctrlPr&gt;&lt;/m:sSubPr&gt;&lt;m:e&gt;&lt;m:r&gt;&lt;w:rPr&gt;&lt;w:rFonts w:ascii=&quot;Cambria Math&quot; w:h-ansi=&quot;Cambria Math&quot;/&gt;&lt;wx:font wx:val=&quot;Cambria Math&quot;/&gt;&lt;w:i/&gt;&lt;w:sz w:val=&quot;28&quot;/&gt;&lt;w:sz-cs w:val=&quot;28&quot;/&gt;&lt;w:lang w:val=&quot;EN-US&quot;/&gt;&lt;/w:rPr&gt;&lt;m:t&gt;NPV&lt;/m:t&gt;&lt;/m:r&gt;&lt;m:ctrlPr&gt;&lt;w:rPr&gt;&lt;w:rFonts w:ascii=&quot;Cambria Math&quot; w:h-ansi=&quot;Cambria Math&quot;/&gt;&lt;wx:font wx:val=&quot;Cambria Math&quot;/&gt;&lt;w:i/&gt;&lt;w:sz w:val=&quot;28&quot;/&gt;&lt;w:lang w:val=&quot;EN-US&quot;/&gt;&lt;/w:rPr&gt;&lt;/m:ctrlPr&gt;&lt;/m:e&gt;&lt;m:sub&gt;&lt;m:r&gt;&lt;w:rPr&gt;&lt;w:rFonts w:ascii=&quot;Cambria Math&quot; w:h-ansi=&quot;Cambria Math&quot;/&gt;&lt;wx:font wx:val=&quot;Cambria Math&quot;/&gt;&lt;w:i/&gt;&lt;w:sz w:val=&quot;28&quot;/&gt;&lt;w:sz-cs w:val=&quot;28&quot;/&gt;&lt;/w:rPr&gt;&lt;m:t&gt;в€ћ&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 o:title="" chromakey="white"/>
          </v:shape>
        </w:pict>
      </w:r>
      <w:r w:rsidRPr="00A3483E">
        <w:rPr>
          <w:rFonts w:ascii="Times New Roman" w:eastAsiaTheme="minorEastAsia" w:hAnsi="Times New Roman"/>
          <w:sz w:val="28"/>
          <w:szCs w:val="28"/>
        </w:rPr>
        <w:fldChar w:fldCharType="end"/>
      </w:r>
      <w:r w:rsidR="009C3300" w:rsidRPr="00A3483E">
        <w:rPr>
          <w:rFonts w:ascii="Times New Roman" w:hAnsi="Times New Roman"/>
          <w:sz w:val="28"/>
          <w:szCs w:val="28"/>
        </w:rPr>
        <w:t>(В)=20,12</w:t>
      </w:r>
    </w:p>
    <w:p w:rsidR="009C3300" w:rsidRPr="00A3133C" w:rsidRDefault="000836C3" w:rsidP="00A3133C">
      <w:pPr>
        <w:widowControl w:val="0"/>
        <w:shd w:val="clear" w:color="000000" w:fill="auto"/>
        <w:spacing w:after="0" w:line="360" w:lineRule="auto"/>
        <w:ind w:firstLine="709"/>
        <w:jc w:val="both"/>
        <w:rPr>
          <w:rFonts w:ascii="Times New Roman" w:hAnsi="Times New Roman"/>
          <w:sz w:val="28"/>
          <w:szCs w:val="28"/>
        </w:rPr>
      </w:pPr>
      <w:r w:rsidRPr="00A3133C">
        <w:rPr>
          <w:rFonts w:ascii="Times New Roman" w:hAnsi="Times New Roman"/>
          <w:sz w:val="28"/>
          <w:szCs w:val="28"/>
        </w:rPr>
        <w:t>Итак, проект В является оптимальным.</w:t>
      </w:r>
    </w:p>
    <w:p w:rsidR="000836C3" w:rsidRPr="00A3133C" w:rsidRDefault="000836C3" w:rsidP="00A3133C">
      <w:pPr>
        <w:widowControl w:val="0"/>
        <w:shd w:val="clear" w:color="000000" w:fill="auto"/>
        <w:spacing w:after="0" w:line="360" w:lineRule="auto"/>
        <w:ind w:firstLine="709"/>
        <w:jc w:val="both"/>
        <w:rPr>
          <w:rFonts w:ascii="Times New Roman" w:hAnsi="Times New Roman"/>
          <w:sz w:val="28"/>
          <w:szCs w:val="28"/>
        </w:rPr>
      </w:pPr>
    </w:p>
    <w:p w:rsidR="00A3133C" w:rsidRDefault="00A3133C">
      <w:pPr>
        <w:rPr>
          <w:rFonts w:ascii="Times New Roman" w:hAnsi="Times New Roman"/>
          <w:sz w:val="28"/>
          <w:szCs w:val="28"/>
        </w:rPr>
      </w:pPr>
      <w:r>
        <w:rPr>
          <w:rFonts w:ascii="Times New Roman" w:hAnsi="Times New Roman"/>
          <w:sz w:val="28"/>
          <w:szCs w:val="28"/>
        </w:rPr>
        <w:br w:type="page"/>
      </w:r>
    </w:p>
    <w:p w:rsidR="00733395" w:rsidRPr="00A3133C" w:rsidRDefault="00733395" w:rsidP="00A3133C">
      <w:pPr>
        <w:widowControl w:val="0"/>
        <w:shd w:val="clear" w:color="000000" w:fill="auto"/>
        <w:spacing w:after="0" w:line="360" w:lineRule="auto"/>
        <w:ind w:firstLine="709"/>
        <w:jc w:val="both"/>
        <w:rPr>
          <w:rFonts w:ascii="Times New Roman" w:hAnsi="Times New Roman"/>
          <w:b/>
          <w:sz w:val="28"/>
          <w:szCs w:val="28"/>
        </w:rPr>
      </w:pPr>
      <w:r w:rsidRPr="00A3133C">
        <w:rPr>
          <w:rFonts w:ascii="Times New Roman" w:hAnsi="Times New Roman"/>
          <w:b/>
          <w:sz w:val="28"/>
          <w:szCs w:val="28"/>
        </w:rPr>
        <w:t>Литература</w:t>
      </w:r>
    </w:p>
    <w:p w:rsidR="00A3133C" w:rsidRDefault="00A3133C" w:rsidP="00A3133C">
      <w:pPr>
        <w:widowControl w:val="0"/>
        <w:shd w:val="clear" w:color="000000" w:fill="auto"/>
        <w:spacing w:after="0" w:line="360" w:lineRule="auto"/>
        <w:ind w:firstLine="709"/>
        <w:jc w:val="both"/>
        <w:rPr>
          <w:rFonts w:ascii="Times New Roman" w:hAnsi="Times New Roman"/>
          <w:sz w:val="28"/>
          <w:szCs w:val="28"/>
        </w:rPr>
      </w:pPr>
    </w:p>
    <w:p w:rsidR="00F26F4C" w:rsidRPr="00A3133C" w:rsidRDefault="00595FF0" w:rsidP="00A3133C">
      <w:pPr>
        <w:widowControl w:val="0"/>
        <w:shd w:val="clear" w:color="000000" w:fill="auto"/>
        <w:spacing w:after="0" w:line="360" w:lineRule="auto"/>
        <w:rPr>
          <w:rFonts w:ascii="Times New Roman" w:hAnsi="Times New Roman"/>
          <w:sz w:val="28"/>
          <w:szCs w:val="28"/>
        </w:rPr>
      </w:pPr>
      <w:r w:rsidRPr="00A3133C">
        <w:rPr>
          <w:rFonts w:ascii="Times New Roman" w:hAnsi="Times New Roman"/>
          <w:sz w:val="28"/>
          <w:szCs w:val="28"/>
        </w:rPr>
        <w:t>1</w:t>
      </w:r>
      <w:r w:rsidR="00F82398" w:rsidRPr="00A3133C">
        <w:rPr>
          <w:rFonts w:ascii="Times New Roman" w:hAnsi="Times New Roman"/>
          <w:sz w:val="28"/>
          <w:szCs w:val="28"/>
        </w:rPr>
        <w:t>. Бочаров В. В. Инвестиционный менеджмент. - СПб: Питер, 2002.</w:t>
      </w:r>
    </w:p>
    <w:p w:rsidR="00F26F4C" w:rsidRPr="00A3133C" w:rsidRDefault="00595FF0" w:rsidP="00A3133C">
      <w:pPr>
        <w:widowControl w:val="0"/>
        <w:shd w:val="clear" w:color="000000" w:fill="auto"/>
        <w:spacing w:after="0" w:line="360" w:lineRule="auto"/>
        <w:rPr>
          <w:rFonts w:ascii="Times New Roman" w:hAnsi="Times New Roman"/>
          <w:sz w:val="28"/>
          <w:szCs w:val="28"/>
        </w:rPr>
      </w:pPr>
      <w:r w:rsidRPr="00A3133C">
        <w:rPr>
          <w:rFonts w:ascii="Times New Roman" w:hAnsi="Times New Roman"/>
          <w:sz w:val="28"/>
          <w:szCs w:val="28"/>
        </w:rPr>
        <w:t>2</w:t>
      </w:r>
      <w:r w:rsidR="00F26F4C" w:rsidRPr="00A3133C">
        <w:rPr>
          <w:rFonts w:ascii="Times New Roman" w:hAnsi="Times New Roman"/>
          <w:sz w:val="28"/>
          <w:szCs w:val="28"/>
        </w:rPr>
        <w:t>. Гришина И.В. Региональные особенности инвестирования в современной России: методология и результаты исследования // Финансы и кредит. - 2006. - №6.</w:t>
      </w:r>
    </w:p>
    <w:p w:rsidR="005F35DB" w:rsidRPr="00A3133C" w:rsidRDefault="00595FF0" w:rsidP="00A3133C">
      <w:pPr>
        <w:widowControl w:val="0"/>
        <w:shd w:val="clear" w:color="000000" w:fill="auto"/>
        <w:spacing w:after="0" w:line="360" w:lineRule="auto"/>
        <w:rPr>
          <w:rFonts w:ascii="Times New Roman" w:hAnsi="Times New Roman"/>
          <w:bCs/>
          <w:sz w:val="28"/>
          <w:szCs w:val="28"/>
        </w:rPr>
      </w:pPr>
      <w:r w:rsidRPr="00A3133C">
        <w:rPr>
          <w:rFonts w:ascii="Times New Roman" w:hAnsi="Times New Roman"/>
          <w:bCs/>
          <w:sz w:val="28"/>
          <w:szCs w:val="28"/>
        </w:rPr>
        <w:t>3</w:t>
      </w:r>
      <w:r w:rsidR="005F35DB" w:rsidRPr="00A3133C">
        <w:rPr>
          <w:rFonts w:ascii="Times New Roman" w:hAnsi="Times New Roman"/>
          <w:bCs/>
          <w:sz w:val="28"/>
          <w:szCs w:val="28"/>
        </w:rPr>
        <w:t xml:space="preserve">. Ковалев В.В. </w:t>
      </w:r>
      <w:r w:rsidR="005F35DB" w:rsidRPr="00A3133C">
        <w:rPr>
          <w:rFonts w:ascii="Times New Roman" w:hAnsi="Times New Roman"/>
          <w:sz w:val="28"/>
          <w:szCs w:val="28"/>
        </w:rPr>
        <w:t>Введение в финансовый менеджмент. - М.: Финансы и статистика,</w:t>
      </w:r>
      <w:r w:rsidR="005F35DB" w:rsidRPr="00A3133C">
        <w:rPr>
          <w:rFonts w:ascii="Times New Roman" w:hAnsi="Times New Roman"/>
          <w:bCs/>
          <w:sz w:val="28"/>
          <w:szCs w:val="28"/>
        </w:rPr>
        <w:t xml:space="preserve"> </w:t>
      </w:r>
      <w:r w:rsidR="005F35DB" w:rsidRPr="00A3133C">
        <w:rPr>
          <w:rFonts w:ascii="Times New Roman" w:hAnsi="Times New Roman"/>
          <w:sz w:val="28"/>
          <w:szCs w:val="28"/>
        </w:rPr>
        <w:t>2004.</w:t>
      </w:r>
    </w:p>
    <w:p w:rsidR="00F26F4C" w:rsidRPr="00A3133C" w:rsidRDefault="00595FF0" w:rsidP="00A3133C">
      <w:pPr>
        <w:widowControl w:val="0"/>
        <w:shd w:val="clear" w:color="000000" w:fill="auto"/>
        <w:spacing w:after="0" w:line="360" w:lineRule="auto"/>
        <w:rPr>
          <w:rFonts w:ascii="Times New Roman" w:hAnsi="Times New Roman"/>
          <w:sz w:val="28"/>
          <w:szCs w:val="28"/>
        </w:rPr>
      </w:pPr>
      <w:r w:rsidRPr="00A3133C">
        <w:rPr>
          <w:rFonts w:ascii="Times New Roman" w:hAnsi="Times New Roman"/>
          <w:iCs/>
          <w:sz w:val="28"/>
          <w:szCs w:val="28"/>
        </w:rPr>
        <w:t>4</w:t>
      </w:r>
      <w:r w:rsidRPr="00A3133C">
        <w:rPr>
          <w:rFonts w:ascii="Times New Roman" w:hAnsi="Times New Roman"/>
          <w:i/>
          <w:iCs/>
          <w:sz w:val="28"/>
          <w:szCs w:val="28"/>
        </w:rPr>
        <w:t xml:space="preserve">. </w:t>
      </w:r>
      <w:r w:rsidRPr="00A3133C">
        <w:rPr>
          <w:rFonts w:ascii="Times New Roman" w:hAnsi="Times New Roman"/>
          <w:iCs/>
          <w:sz w:val="28"/>
          <w:szCs w:val="28"/>
        </w:rPr>
        <w:t>Попков В. П., Семенов В. П</w:t>
      </w:r>
      <w:r w:rsidRPr="00A3133C">
        <w:rPr>
          <w:rFonts w:ascii="Times New Roman" w:hAnsi="Times New Roman"/>
          <w:i/>
          <w:iCs/>
          <w:sz w:val="28"/>
          <w:szCs w:val="28"/>
        </w:rPr>
        <w:t xml:space="preserve">. </w:t>
      </w:r>
      <w:r w:rsidRPr="00A3133C">
        <w:rPr>
          <w:rFonts w:ascii="Times New Roman" w:hAnsi="Times New Roman"/>
          <w:sz w:val="28"/>
          <w:szCs w:val="28"/>
        </w:rPr>
        <w:t>Организация и финансирование инвестиций. — СПб: Питер, 2001.</w:t>
      </w:r>
    </w:p>
    <w:p w:rsidR="00595FF0" w:rsidRPr="00A3133C" w:rsidRDefault="00595FF0" w:rsidP="00A3133C">
      <w:pPr>
        <w:widowControl w:val="0"/>
        <w:shd w:val="clear" w:color="000000" w:fill="auto"/>
        <w:spacing w:after="0" w:line="360" w:lineRule="auto"/>
        <w:rPr>
          <w:rFonts w:ascii="Times New Roman" w:hAnsi="Times New Roman"/>
          <w:sz w:val="28"/>
          <w:szCs w:val="28"/>
        </w:rPr>
      </w:pPr>
      <w:r w:rsidRPr="00A3133C">
        <w:rPr>
          <w:rFonts w:ascii="Times New Roman" w:hAnsi="Times New Roman"/>
          <w:sz w:val="28"/>
          <w:szCs w:val="28"/>
        </w:rPr>
        <w:t>5. Рынок ценных бумаг: Учебник / Под ред. В.А. Галанова, А.И. Басова. - 2-е изд., перераб. и доп. - М.: Финансы и статистика, 2006.</w:t>
      </w:r>
    </w:p>
    <w:p w:rsidR="00595FF0" w:rsidRPr="00A3133C" w:rsidRDefault="00595FF0" w:rsidP="00A3133C">
      <w:pPr>
        <w:widowControl w:val="0"/>
        <w:shd w:val="clear" w:color="000000" w:fill="auto"/>
        <w:spacing w:after="0" w:line="360" w:lineRule="auto"/>
        <w:rPr>
          <w:rFonts w:ascii="Times New Roman" w:hAnsi="Times New Roman"/>
          <w:sz w:val="28"/>
          <w:szCs w:val="28"/>
        </w:rPr>
      </w:pPr>
      <w:r w:rsidRPr="00A3133C">
        <w:rPr>
          <w:rFonts w:ascii="Times New Roman" w:hAnsi="Times New Roman"/>
          <w:sz w:val="28"/>
          <w:szCs w:val="28"/>
        </w:rPr>
        <w:t>6. Рынок ценных бумаг и биржевое дело: Учебник для вузов / Под ред. проф. О. И. Дегтяревой, проф. Н. М. Коршунова, проф. Е. Ф. Жукова. - М.: ЮНИТИ - ДАНА, 2002.</w:t>
      </w:r>
      <w:bookmarkStart w:id="0" w:name="_GoBack"/>
      <w:bookmarkEnd w:id="0"/>
    </w:p>
    <w:sectPr w:rsidR="00595FF0" w:rsidRPr="00A3133C" w:rsidSect="00A3133C">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D93" w:rsidRDefault="00496D93" w:rsidP="001A18B7">
      <w:pPr>
        <w:spacing w:after="0" w:line="240" w:lineRule="auto"/>
      </w:pPr>
      <w:r>
        <w:separator/>
      </w:r>
    </w:p>
  </w:endnote>
  <w:endnote w:type="continuationSeparator" w:id="0">
    <w:p w:rsidR="00496D93" w:rsidRDefault="00496D93" w:rsidP="001A1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D93" w:rsidRDefault="00496D93" w:rsidP="001A18B7">
      <w:pPr>
        <w:spacing w:after="0" w:line="240" w:lineRule="auto"/>
      </w:pPr>
      <w:r>
        <w:separator/>
      </w:r>
    </w:p>
  </w:footnote>
  <w:footnote w:type="continuationSeparator" w:id="0">
    <w:p w:rsidR="00496D93" w:rsidRDefault="00496D93" w:rsidP="001A18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87438B"/>
    <w:multiLevelType w:val="multilevel"/>
    <w:tmpl w:val="F586A68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5C2F3CB8"/>
    <w:multiLevelType w:val="multilevel"/>
    <w:tmpl w:val="45E0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7F7303"/>
    <w:multiLevelType w:val="multilevel"/>
    <w:tmpl w:val="3904E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0B167D"/>
    <w:multiLevelType w:val="multilevel"/>
    <w:tmpl w:val="C776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5776"/>
    <w:rsid w:val="00011AB3"/>
    <w:rsid w:val="00027821"/>
    <w:rsid w:val="000350B6"/>
    <w:rsid w:val="000836C3"/>
    <w:rsid w:val="00083EF2"/>
    <w:rsid w:val="00113368"/>
    <w:rsid w:val="0012089F"/>
    <w:rsid w:val="001443A6"/>
    <w:rsid w:val="00195162"/>
    <w:rsid w:val="001A18B7"/>
    <w:rsid w:val="001C309B"/>
    <w:rsid w:val="001D55D5"/>
    <w:rsid w:val="0020190D"/>
    <w:rsid w:val="00227218"/>
    <w:rsid w:val="00230E90"/>
    <w:rsid w:val="00254AE3"/>
    <w:rsid w:val="002621EA"/>
    <w:rsid w:val="002B05C9"/>
    <w:rsid w:val="002B0D2F"/>
    <w:rsid w:val="002B34B4"/>
    <w:rsid w:val="002B67C8"/>
    <w:rsid w:val="002F3D96"/>
    <w:rsid w:val="002F445F"/>
    <w:rsid w:val="003449E2"/>
    <w:rsid w:val="003572EA"/>
    <w:rsid w:val="003811E3"/>
    <w:rsid w:val="003955E0"/>
    <w:rsid w:val="003962B3"/>
    <w:rsid w:val="003B7E8E"/>
    <w:rsid w:val="003F116B"/>
    <w:rsid w:val="003F4AB1"/>
    <w:rsid w:val="00407234"/>
    <w:rsid w:val="00421DC2"/>
    <w:rsid w:val="00423FC1"/>
    <w:rsid w:val="0045031C"/>
    <w:rsid w:val="00465F43"/>
    <w:rsid w:val="00496D93"/>
    <w:rsid w:val="00496EB2"/>
    <w:rsid w:val="004A2D77"/>
    <w:rsid w:val="004F4DAA"/>
    <w:rsid w:val="004F70E0"/>
    <w:rsid w:val="00513A7F"/>
    <w:rsid w:val="0054223D"/>
    <w:rsid w:val="00595FF0"/>
    <w:rsid w:val="005E6A57"/>
    <w:rsid w:val="005F35DB"/>
    <w:rsid w:val="006074E4"/>
    <w:rsid w:val="0065371B"/>
    <w:rsid w:val="00667545"/>
    <w:rsid w:val="00693588"/>
    <w:rsid w:val="006A72B7"/>
    <w:rsid w:val="006D1D96"/>
    <w:rsid w:val="006D6D1D"/>
    <w:rsid w:val="006E2527"/>
    <w:rsid w:val="00716721"/>
    <w:rsid w:val="00733395"/>
    <w:rsid w:val="007A2A0D"/>
    <w:rsid w:val="007A5235"/>
    <w:rsid w:val="007B0EDE"/>
    <w:rsid w:val="007B4799"/>
    <w:rsid w:val="007B4A80"/>
    <w:rsid w:val="007D0813"/>
    <w:rsid w:val="00874A0D"/>
    <w:rsid w:val="008A6413"/>
    <w:rsid w:val="008F0088"/>
    <w:rsid w:val="009024E2"/>
    <w:rsid w:val="00903BD9"/>
    <w:rsid w:val="00904723"/>
    <w:rsid w:val="0091058C"/>
    <w:rsid w:val="0091292B"/>
    <w:rsid w:val="00941A90"/>
    <w:rsid w:val="00941FF5"/>
    <w:rsid w:val="0096096E"/>
    <w:rsid w:val="009659C0"/>
    <w:rsid w:val="00966612"/>
    <w:rsid w:val="009C1E71"/>
    <w:rsid w:val="009C3300"/>
    <w:rsid w:val="009C4E8C"/>
    <w:rsid w:val="009F676E"/>
    <w:rsid w:val="00A3133C"/>
    <w:rsid w:val="00A3483E"/>
    <w:rsid w:val="00A84541"/>
    <w:rsid w:val="00A86574"/>
    <w:rsid w:val="00AE0E62"/>
    <w:rsid w:val="00AF3009"/>
    <w:rsid w:val="00B226FC"/>
    <w:rsid w:val="00B23297"/>
    <w:rsid w:val="00B40255"/>
    <w:rsid w:val="00B60F9B"/>
    <w:rsid w:val="00BC17ED"/>
    <w:rsid w:val="00C002E9"/>
    <w:rsid w:val="00C348D9"/>
    <w:rsid w:val="00C73E14"/>
    <w:rsid w:val="00C82911"/>
    <w:rsid w:val="00CA274A"/>
    <w:rsid w:val="00CA3753"/>
    <w:rsid w:val="00CD24B0"/>
    <w:rsid w:val="00CD691D"/>
    <w:rsid w:val="00CF0262"/>
    <w:rsid w:val="00D103EB"/>
    <w:rsid w:val="00D1414C"/>
    <w:rsid w:val="00D41C40"/>
    <w:rsid w:val="00D5150C"/>
    <w:rsid w:val="00D517E0"/>
    <w:rsid w:val="00D541B7"/>
    <w:rsid w:val="00D54279"/>
    <w:rsid w:val="00D65776"/>
    <w:rsid w:val="00D72A09"/>
    <w:rsid w:val="00D81D8F"/>
    <w:rsid w:val="00DA0A5B"/>
    <w:rsid w:val="00DC2898"/>
    <w:rsid w:val="00DD0F1A"/>
    <w:rsid w:val="00DD10D4"/>
    <w:rsid w:val="00DD3329"/>
    <w:rsid w:val="00DE3D68"/>
    <w:rsid w:val="00E04053"/>
    <w:rsid w:val="00E11B1F"/>
    <w:rsid w:val="00E11C44"/>
    <w:rsid w:val="00E30A0E"/>
    <w:rsid w:val="00E44804"/>
    <w:rsid w:val="00E46FE9"/>
    <w:rsid w:val="00E712D6"/>
    <w:rsid w:val="00E83406"/>
    <w:rsid w:val="00E91A39"/>
    <w:rsid w:val="00F11E16"/>
    <w:rsid w:val="00F26F4C"/>
    <w:rsid w:val="00F32FB9"/>
    <w:rsid w:val="00F42500"/>
    <w:rsid w:val="00F5146F"/>
    <w:rsid w:val="00F80A0A"/>
    <w:rsid w:val="00F82398"/>
    <w:rsid w:val="00FF42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chartTrackingRefBased/>
  <w15:docId w15:val="{7A2A8D67-846C-4FB0-8BF7-737044484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089F"/>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A18B7"/>
    <w:pPr>
      <w:tabs>
        <w:tab w:val="center" w:pos="4677"/>
        <w:tab w:val="right" w:pos="9355"/>
      </w:tabs>
      <w:spacing w:after="0" w:line="240" w:lineRule="auto"/>
    </w:pPr>
  </w:style>
  <w:style w:type="character" w:customStyle="1" w:styleId="a4">
    <w:name w:val="Верхний колонтитул Знак"/>
    <w:link w:val="a3"/>
    <w:uiPriority w:val="99"/>
    <w:semiHidden/>
    <w:locked/>
    <w:rsid w:val="001A18B7"/>
    <w:rPr>
      <w:rFonts w:cs="Times New Roman"/>
    </w:rPr>
  </w:style>
  <w:style w:type="paragraph" w:styleId="a5">
    <w:name w:val="footer"/>
    <w:basedOn w:val="a"/>
    <w:link w:val="a6"/>
    <w:uiPriority w:val="99"/>
    <w:unhideWhenUsed/>
    <w:rsid w:val="001A18B7"/>
    <w:pPr>
      <w:tabs>
        <w:tab w:val="center" w:pos="4677"/>
        <w:tab w:val="right" w:pos="9355"/>
      </w:tabs>
      <w:spacing w:after="0" w:line="240" w:lineRule="auto"/>
    </w:pPr>
  </w:style>
  <w:style w:type="character" w:customStyle="1" w:styleId="a6">
    <w:name w:val="Нижний колонтитул Знак"/>
    <w:link w:val="a5"/>
    <w:uiPriority w:val="99"/>
    <w:locked/>
    <w:rsid w:val="001A18B7"/>
    <w:rPr>
      <w:rFonts w:cs="Times New Roman"/>
    </w:rPr>
  </w:style>
  <w:style w:type="character" w:styleId="a7">
    <w:name w:val="Hyperlink"/>
    <w:uiPriority w:val="99"/>
    <w:unhideWhenUsed/>
    <w:rsid w:val="0065371B"/>
    <w:rPr>
      <w:rFonts w:cs="Times New Roman"/>
      <w:color w:val="0000FF"/>
      <w:u w:val="single"/>
    </w:rPr>
  </w:style>
  <w:style w:type="paragraph" w:styleId="a8">
    <w:name w:val="Normal (Web)"/>
    <w:basedOn w:val="a"/>
    <w:uiPriority w:val="99"/>
    <w:semiHidden/>
    <w:unhideWhenUsed/>
    <w:rsid w:val="00227218"/>
    <w:rPr>
      <w:rFonts w:ascii="Times New Roman" w:hAnsi="Times New Roman"/>
      <w:sz w:val="24"/>
      <w:szCs w:val="24"/>
    </w:rPr>
  </w:style>
  <w:style w:type="table" w:styleId="a9">
    <w:name w:val="Table Grid"/>
    <w:basedOn w:val="a1"/>
    <w:uiPriority w:val="59"/>
    <w:rsid w:val="00513A7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513A7F"/>
    <w:pPr>
      <w:autoSpaceDE w:val="0"/>
      <w:autoSpaceDN w:val="0"/>
      <w:adjustRightInd w:val="0"/>
    </w:pPr>
    <w:rPr>
      <w:rFonts w:ascii="Times New Roman" w:hAnsi="Times New Roman" w:cs="Times New Roman"/>
      <w:color w:val="000000"/>
      <w:sz w:val="24"/>
      <w:szCs w:val="24"/>
      <w:lang w:eastAsia="en-US"/>
    </w:rPr>
  </w:style>
  <w:style w:type="paragraph" w:customStyle="1" w:styleId="aa">
    <w:name w:val="........ ..... . ........"/>
    <w:basedOn w:val="Default"/>
    <w:next w:val="Default"/>
    <w:uiPriority w:val="99"/>
    <w:rsid w:val="00513A7F"/>
    <w:rPr>
      <w:color w:val="auto"/>
    </w:rPr>
  </w:style>
  <w:style w:type="paragraph" w:styleId="ab">
    <w:name w:val="endnote text"/>
    <w:basedOn w:val="a"/>
    <w:link w:val="ac"/>
    <w:uiPriority w:val="99"/>
    <w:semiHidden/>
    <w:unhideWhenUsed/>
    <w:rsid w:val="00513A7F"/>
    <w:pPr>
      <w:spacing w:after="0" w:line="240" w:lineRule="auto"/>
    </w:pPr>
    <w:rPr>
      <w:sz w:val="20"/>
      <w:szCs w:val="20"/>
    </w:rPr>
  </w:style>
  <w:style w:type="character" w:customStyle="1" w:styleId="ac">
    <w:name w:val="Текст концевой сноски Знак"/>
    <w:link w:val="ab"/>
    <w:uiPriority w:val="99"/>
    <w:semiHidden/>
    <w:locked/>
    <w:rsid w:val="00513A7F"/>
    <w:rPr>
      <w:rFonts w:cs="Times New Roman"/>
      <w:sz w:val="20"/>
      <w:szCs w:val="20"/>
    </w:rPr>
  </w:style>
  <w:style w:type="character" w:styleId="ad">
    <w:name w:val="endnote reference"/>
    <w:uiPriority w:val="99"/>
    <w:semiHidden/>
    <w:unhideWhenUsed/>
    <w:rsid w:val="00513A7F"/>
    <w:rPr>
      <w:rFonts w:cs="Times New Roman"/>
      <w:vertAlign w:val="superscript"/>
    </w:rPr>
  </w:style>
  <w:style w:type="character" w:styleId="ae">
    <w:name w:val="Placeholder Text"/>
    <w:uiPriority w:val="99"/>
    <w:semiHidden/>
    <w:rsid w:val="002B67C8"/>
    <w:rPr>
      <w:rFonts w:cs="Times New Roman"/>
      <w:color w:val="808080"/>
    </w:rPr>
  </w:style>
  <w:style w:type="paragraph" w:styleId="af">
    <w:name w:val="Balloon Text"/>
    <w:basedOn w:val="a"/>
    <w:link w:val="af0"/>
    <w:uiPriority w:val="99"/>
    <w:semiHidden/>
    <w:unhideWhenUsed/>
    <w:rsid w:val="002B67C8"/>
    <w:pPr>
      <w:spacing w:after="0" w:line="240" w:lineRule="auto"/>
    </w:pPr>
    <w:rPr>
      <w:rFonts w:ascii="Tahoma" w:hAnsi="Tahoma" w:cs="Tahoma"/>
      <w:sz w:val="16"/>
      <w:szCs w:val="16"/>
    </w:rPr>
  </w:style>
  <w:style w:type="character" w:customStyle="1" w:styleId="af0">
    <w:name w:val="Текст выноски Знак"/>
    <w:link w:val="af"/>
    <w:uiPriority w:val="99"/>
    <w:semiHidden/>
    <w:locked/>
    <w:rsid w:val="002B67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435605">
      <w:marLeft w:val="0"/>
      <w:marRight w:val="0"/>
      <w:marTop w:val="0"/>
      <w:marBottom w:val="0"/>
      <w:divBdr>
        <w:top w:val="none" w:sz="0" w:space="0" w:color="auto"/>
        <w:left w:val="none" w:sz="0" w:space="0" w:color="auto"/>
        <w:bottom w:val="none" w:sz="0" w:space="0" w:color="auto"/>
        <w:right w:val="none" w:sz="0" w:space="0" w:color="auto"/>
      </w:divBdr>
      <w:divsChild>
        <w:div w:id="1003435694">
          <w:marLeft w:val="0"/>
          <w:marRight w:val="0"/>
          <w:marTop w:val="0"/>
          <w:marBottom w:val="0"/>
          <w:divBdr>
            <w:top w:val="none" w:sz="0" w:space="0" w:color="auto"/>
            <w:left w:val="none" w:sz="0" w:space="0" w:color="auto"/>
            <w:bottom w:val="none" w:sz="0" w:space="0" w:color="auto"/>
            <w:right w:val="none" w:sz="0" w:space="0" w:color="auto"/>
          </w:divBdr>
        </w:div>
      </w:divsChild>
    </w:div>
    <w:div w:id="1003435608">
      <w:marLeft w:val="0"/>
      <w:marRight w:val="0"/>
      <w:marTop w:val="0"/>
      <w:marBottom w:val="0"/>
      <w:divBdr>
        <w:top w:val="none" w:sz="0" w:space="0" w:color="auto"/>
        <w:left w:val="none" w:sz="0" w:space="0" w:color="auto"/>
        <w:bottom w:val="none" w:sz="0" w:space="0" w:color="auto"/>
        <w:right w:val="none" w:sz="0" w:space="0" w:color="auto"/>
      </w:divBdr>
      <w:divsChild>
        <w:div w:id="1003435661">
          <w:marLeft w:val="0"/>
          <w:marRight w:val="0"/>
          <w:marTop w:val="0"/>
          <w:marBottom w:val="0"/>
          <w:divBdr>
            <w:top w:val="none" w:sz="0" w:space="0" w:color="auto"/>
            <w:left w:val="none" w:sz="0" w:space="0" w:color="auto"/>
            <w:bottom w:val="none" w:sz="0" w:space="0" w:color="auto"/>
            <w:right w:val="none" w:sz="0" w:space="0" w:color="auto"/>
          </w:divBdr>
          <w:divsChild>
            <w:div w:id="1003435655">
              <w:marLeft w:val="0"/>
              <w:marRight w:val="0"/>
              <w:marTop w:val="0"/>
              <w:marBottom w:val="0"/>
              <w:divBdr>
                <w:top w:val="none" w:sz="0" w:space="0" w:color="auto"/>
                <w:left w:val="none" w:sz="0" w:space="0" w:color="auto"/>
                <w:bottom w:val="none" w:sz="0" w:space="0" w:color="auto"/>
                <w:right w:val="none" w:sz="0" w:space="0" w:color="auto"/>
              </w:divBdr>
              <w:divsChild>
                <w:div w:id="1003435688">
                  <w:marLeft w:val="0"/>
                  <w:marRight w:val="0"/>
                  <w:marTop w:val="0"/>
                  <w:marBottom w:val="0"/>
                  <w:divBdr>
                    <w:top w:val="none" w:sz="0" w:space="0" w:color="auto"/>
                    <w:left w:val="none" w:sz="0" w:space="0" w:color="auto"/>
                    <w:bottom w:val="none" w:sz="0" w:space="0" w:color="auto"/>
                    <w:right w:val="none" w:sz="0" w:space="0" w:color="auto"/>
                  </w:divBdr>
                  <w:divsChild>
                    <w:div w:id="100343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435609">
      <w:marLeft w:val="0"/>
      <w:marRight w:val="0"/>
      <w:marTop w:val="0"/>
      <w:marBottom w:val="0"/>
      <w:divBdr>
        <w:top w:val="none" w:sz="0" w:space="0" w:color="auto"/>
        <w:left w:val="none" w:sz="0" w:space="0" w:color="auto"/>
        <w:bottom w:val="none" w:sz="0" w:space="0" w:color="auto"/>
        <w:right w:val="none" w:sz="0" w:space="0" w:color="auto"/>
      </w:divBdr>
      <w:divsChild>
        <w:div w:id="1003435666">
          <w:marLeft w:val="0"/>
          <w:marRight w:val="0"/>
          <w:marTop w:val="0"/>
          <w:marBottom w:val="0"/>
          <w:divBdr>
            <w:top w:val="none" w:sz="0" w:space="0" w:color="auto"/>
            <w:left w:val="none" w:sz="0" w:space="0" w:color="auto"/>
            <w:bottom w:val="none" w:sz="0" w:space="0" w:color="auto"/>
            <w:right w:val="none" w:sz="0" w:space="0" w:color="auto"/>
          </w:divBdr>
          <w:divsChild>
            <w:div w:id="1003435673">
              <w:marLeft w:val="0"/>
              <w:marRight w:val="0"/>
              <w:marTop w:val="0"/>
              <w:marBottom w:val="0"/>
              <w:divBdr>
                <w:top w:val="none" w:sz="0" w:space="0" w:color="auto"/>
                <w:left w:val="none" w:sz="0" w:space="0" w:color="auto"/>
                <w:bottom w:val="none" w:sz="0" w:space="0" w:color="auto"/>
                <w:right w:val="none" w:sz="0" w:space="0" w:color="auto"/>
              </w:divBdr>
              <w:divsChild>
                <w:div w:id="1003435676">
                  <w:marLeft w:val="0"/>
                  <w:marRight w:val="0"/>
                  <w:marTop w:val="0"/>
                  <w:marBottom w:val="0"/>
                  <w:divBdr>
                    <w:top w:val="none" w:sz="0" w:space="0" w:color="auto"/>
                    <w:left w:val="none" w:sz="0" w:space="0" w:color="auto"/>
                    <w:bottom w:val="none" w:sz="0" w:space="0" w:color="auto"/>
                    <w:right w:val="none" w:sz="0" w:space="0" w:color="auto"/>
                  </w:divBdr>
                  <w:divsChild>
                    <w:div w:id="10034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435610">
      <w:marLeft w:val="0"/>
      <w:marRight w:val="0"/>
      <w:marTop w:val="0"/>
      <w:marBottom w:val="0"/>
      <w:divBdr>
        <w:top w:val="none" w:sz="0" w:space="0" w:color="auto"/>
        <w:left w:val="none" w:sz="0" w:space="0" w:color="auto"/>
        <w:bottom w:val="none" w:sz="0" w:space="0" w:color="auto"/>
        <w:right w:val="none" w:sz="0" w:space="0" w:color="auto"/>
      </w:divBdr>
      <w:divsChild>
        <w:div w:id="1003435631">
          <w:marLeft w:val="0"/>
          <w:marRight w:val="0"/>
          <w:marTop w:val="0"/>
          <w:marBottom w:val="0"/>
          <w:divBdr>
            <w:top w:val="none" w:sz="0" w:space="0" w:color="auto"/>
            <w:left w:val="none" w:sz="0" w:space="0" w:color="auto"/>
            <w:bottom w:val="none" w:sz="0" w:space="0" w:color="auto"/>
            <w:right w:val="none" w:sz="0" w:space="0" w:color="auto"/>
          </w:divBdr>
        </w:div>
      </w:divsChild>
    </w:div>
    <w:div w:id="1003435614">
      <w:marLeft w:val="0"/>
      <w:marRight w:val="0"/>
      <w:marTop w:val="0"/>
      <w:marBottom w:val="0"/>
      <w:divBdr>
        <w:top w:val="none" w:sz="0" w:space="0" w:color="auto"/>
        <w:left w:val="none" w:sz="0" w:space="0" w:color="auto"/>
        <w:bottom w:val="none" w:sz="0" w:space="0" w:color="auto"/>
        <w:right w:val="none" w:sz="0" w:space="0" w:color="auto"/>
      </w:divBdr>
      <w:divsChild>
        <w:div w:id="1003435727">
          <w:marLeft w:val="0"/>
          <w:marRight w:val="0"/>
          <w:marTop w:val="0"/>
          <w:marBottom w:val="0"/>
          <w:divBdr>
            <w:top w:val="none" w:sz="0" w:space="0" w:color="auto"/>
            <w:left w:val="none" w:sz="0" w:space="0" w:color="auto"/>
            <w:bottom w:val="none" w:sz="0" w:space="0" w:color="auto"/>
            <w:right w:val="none" w:sz="0" w:space="0" w:color="auto"/>
          </w:divBdr>
          <w:divsChild>
            <w:div w:id="1003435663">
              <w:marLeft w:val="0"/>
              <w:marRight w:val="0"/>
              <w:marTop w:val="0"/>
              <w:marBottom w:val="0"/>
              <w:divBdr>
                <w:top w:val="none" w:sz="0" w:space="0" w:color="auto"/>
                <w:left w:val="none" w:sz="0" w:space="0" w:color="auto"/>
                <w:bottom w:val="none" w:sz="0" w:space="0" w:color="auto"/>
                <w:right w:val="none" w:sz="0" w:space="0" w:color="auto"/>
              </w:divBdr>
              <w:divsChild>
                <w:div w:id="1003435706">
                  <w:marLeft w:val="0"/>
                  <w:marRight w:val="0"/>
                  <w:marTop w:val="0"/>
                  <w:marBottom w:val="0"/>
                  <w:divBdr>
                    <w:top w:val="none" w:sz="0" w:space="0" w:color="auto"/>
                    <w:left w:val="none" w:sz="0" w:space="0" w:color="auto"/>
                    <w:bottom w:val="none" w:sz="0" w:space="0" w:color="auto"/>
                    <w:right w:val="none" w:sz="0" w:space="0" w:color="auto"/>
                  </w:divBdr>
                  <w:divsChild>
                    <w:div w:id="100343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435627">
      <w:marLeft w:val="0"/>
      <w:marRight w:val="0"/>
      <w:marTop w:val="0"/>
      <w:marBottom w:val="0"/>
      <w:divBdr>
        <w:top w:val="none" w:sz="0" w:space="0" w:color="auto"/>
        <w:left w:val="none" w:sz="0" w:space="0" w:color="auto"/>
        <w:bottom w:val="none" w:sz="0" w:space="0" w:color="auto"/>
        <w:right w:val="none" w:sz="0" w:space="0" w:color="auto"/>
      </w:divBdr>
      <w:divsChild>
        <w:div w:id="1003435722">
          <w:marLeft w:val="0"/>
          <w:marRight w:val="0"/>
          <w:marTop w:val="0"/>
          <w:marBottom w:val="0"/>
          <w:divBdr>
            <w:top w:val="none" w:sz="0" w:space="0" w:color="auto"/>
            <w:left w:val="none" w:sz="0" w:space="0" w:color="auto"/>
            <w:bottom w:val="none" w:sz="0" w:space="0" w:color="auto"/>
            <w:right w:val="none" w:sz="0" w:space="0" w:color="auto"/>
          </w:divBdr>
          <w:divsChild>
            <w:div w:id="1003435626">
              <w:marLeft w:val="0"/>
              <w:marRight w:val="0"/>
              <w:marTop w:val="0"/>
              <w:marBottom w:val="0"/>
              <w:divBdr>
                <w:top w:val="none" w:sz="0" w:space="0" w:color="auto"/>
                <w:left w:val="none" w:sz="0" w:space="0" w:color="auto"/>
                <w:bottom w:val="none" w:sz="0" w:space="0" w:color="auto"/>
                <w:right w:val="none" w:sz="0" w:space="0" w:color="auto"/>
              </w:divBdr>
              <w:divsChild>
                <w:div w:id="1003435732">
                  <w:marLeft w:val="0"/>
                  <w:marRight w:val="0"/>
                  <w:marTop w:val="0"/>
                  <w:marBottom w:val="0"/>
                  <w:divBdr>
                    <w:top w:val="none" w:sz="0" w:space="0" w:color="auto"/>
                    <w:left w:val="none" w:sz="0" w:space="0" w:color="auto"/>
                    <w:bottom w:val="none" w:sz="0" w:space="0" w:color="auto"/>
                    <w:right w:val="none" w:sz="0" w:space="0" w:color="auto"/>
                  </w:divBdr>
                  <w:divsChild>
                    <w:div w:id="100343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435630">
      <w:marLeft w:val="0"/>
      <w:marRight w:val="0"/>
      <w:marTop w:val="0"/>
      <w:marBottom w:val="0"/>
      <w:divBdr>
        <w:top w:val="none" w:sz="0" w:space="0" w:color="auto"/>
        <w:left w:val="none" w:sz="0" w:space="0" w:color="auto"/>
        <w:bottom w:val="none" w:sz="0" w:space="0" w:color="auto"/>
        <w:right w:val="none" w:sz="0" w:space="0" w:color="auto"/>
      </w:divBdr>
      <w:divsChild>
        <w:div w:id="1003435622">
          <w:marLeft w:val="0"/>
          <w:marRight w:val="0"/>
          <w:marTop w:val="0"/>
          <w:marBottom w:val="0"/>
          <w:divBdr>
            <w:top w:val="none" w:sz="0" w:space="0" w:color="auto"/>
            <w:left w:val="none" w:sz="0" w:space="0" w:color="auto"/>
            <w:bottom w:val="none" w:sz="0" w:space="0" w:color="auto"/>
            <w:right w:val="none" w:sz="0" w:space="0" w:color="auto"/>
          </w:divBdr>
        </w:div>
      </w:divsChild>
    </w:div>
    <w:div w:id="1003435650">
      <w:marLeft w:val="0"/>
      <w:marRight w:val="0"/>
      <w:marTop w:val="0"/>
      <w:marBottom w:val="0"/>
      <w:divBdr>
        <w:top w:val="none" w:sz="0" w:space="0" w:color="auto"/>
        <w:left w:val="none" w:sz="0" w:space="0" w:color="auto"/>
        <w:bottom w:val="none" w:sz="0" w:space="0" w:color="auto"/>
        <w:right w:val="none" w:sz="0" w:space="0" w:color="auto"/>
      </w:divBdr>
      <w:divsChild>
        <w:div w:id="1003435637">
          <w:marLeft w:val="0"/>
          <w:marRight w:val="0"/>
          <w:marTop w:val="0"/>
          <w:marBottom w:val="0"/>
          <w:divBdr>
            <w:top w:val="none" w:sz="0" w:space="0" w:color="auto"/>
            <w:left w:val="none" w:sz="0" w:space="0" w:color="auto"/>
            <w:bottom w:val="none" w:sz="0" w:space="0" w:color="auto"/>
            <w:right w:val="none" w:sz="0" w:space="0" w:color="auto"/>
          </w:divBdr>
          <w:divsChild>
            <w:div w:id="1003435645">
              <w:marLeft w:val="0"/>
              <w:marRight w:val="0"/>
              <w:marTop w:val="0"/>
              <w:marBottom w:val="0"/>
              <w:divBdr>
                <w:top w:val="none" w:sz="0" w:space="0" w:color="auto"/>
                <w:left w:val="none" w:sz="0" w:space="0" w:color="auto"/>
                <w:bottom w:val="none" w:sz="0" w:space="0" w:color="auto"/>
                <w:right w:val="none" w:sz="0" w:space="0" w:color="auto"/>
              </w:divBdr>
              <w:divsChild>
                <w:div w:id="1003435649">
                  <w:marLeft w:val="0"/>
                  <w:marRight w:val="0"/>
                  <w:marTop w:val="0"/>
                  <w:marBottom w:val="0"/>
                  <w:divBdr>
                    <w:top w:val="none" w:sz="0" w:space="0" w:color="auto"/>
                    <w:left w:val="none" w:sz="0" w:space="0" w:color="auto"/>
                    <w:bottom w:val="none" w:sz="0" w:space="0" w:color="auto"/>
                    <w:right w:val="none" w:sz="0" w:space="0" w:color="auto"/>
                  </w:divBdr>
                  <w:divsChild>
                    <w:div w:id="100343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435652">
      <w:marLeft w:val="0"/>
      <w:marRight w:val="0"/>
      <w:marTop w:val="0"/>
      <w:marBottom w:val="0"/>
      <w:divBdr>
        <w:top w:val="none" w:sz="0" w:space="0" w:color="auto"/>
        <w:left w:val="none" w:sz="0" w:space="0" w:color="auto"/>
        <w:bottom w:val="none" w:sz="0" w:space="0" w:color="auto"/>
        <w:right w:val="none" w:sz="0" w:space="0" w:color="auto"/>
      </w:divBdr>
      <w:divsChild>
        <w:div w:id="1003435698">
          <w:marLeft w:val="0"/>
          <w:marRight w:val="0"/>
          <w:marTop w:val="0"/>
          <w:marBottom w:val="0"/>
          <w:divBdr>
            <w:top w:val="none" w:sz="0" w:space="0" w:color="auto"/>
            <w:left w:val="none" w:sz="0" w:space="0" w:color="auto"/>
            <w:bottom w:val="none" w:sz="0" w:space="0" w:color="auto"/>
            <w:right w:val="none" w:sz="0" w:space="0" w:color="auto"/>
          </w:divBdr>
          <w:divsChild>
            <w:div w:id="1003435623">
              <w:marLeft w:val="0"/>
              <w:marRight w:val="0"/>
              <w:marTop w:val="0"/>
              <w:marBottom w:val="0"/>
              <w:divBdr>
                <w:top w:val="none" w:sz="0" w:space="0" w:color="auto"/>
                <w:left w:val="none" w:sz="0" w:space="0" w:color="auto"/>
                <w:bottom w:val="none" w:sz="0" w:space="0" w:color="auto"/>
                <w:right w:val="none" w:sz="0" w:space="0" w:color="auto"/>
              </w:divBdr>
              <w:divsChild>
                <w:div w:id="1003435711">
                  <w:marLeft w:val="0"/>
                  <w:marRight w:val="0"/>
                  <w:marTop w:val="0"/>
                  <w:marBottom w:val="0"/>
                  <w:divBdr>
                    <w:top w:val="none" w:sz="0" w:space="0" w:color="auto"/>
                    <w:left w:val="none" w:sz="0" w:space="0" w:color="auto"/>
                    <w:bottom w:val="none" w:sz="0" w:space="0" w:color="auto"/>
                    <w:right w:val="none" w:sz="0" w:space="0" w:color="auto"/>
                  </w:divBdr>
                  <w:divsChild>
                    <w:div w:id="100343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435653">
      <w:marLeft w:val="0"/>
      <w:marRight w:val="0"/>
      <w:marTop w:val="0"/>
      <w:marBottom w:val="0"/>
      <w:divBdr>
        <w:top w:val="none" w:sz="0" w:space="0" w:color="auto"/>
        <w:left w:val="none" w:sz="0" w:space="0" w:color="auto"/>
        <w:bottom w:val="none" w:sz="0" w:space="0" w:color="auto"/>
        <w:right w:val="none" w:sz="0" w:space="0" w:color="auto"/>
      </w:divBdr>
      <w:divsChild>
        <w:div w:id="1003435678">
          <w:marLeft w:val="0"/>
          <w:marRight w:val="0"/>
          <w:marTop w:val="0"/>
          <w:marBottom w:val="0"/>
          <w:divBdr>
            <w:top w:val="none" w:sz="0" w:space="0" w:color="auto"/>
            <w:left w:val="none" w:sz="0" w:space="0" w:color="auto"/>
            <w:bottom w:val="none" w:sz="0" w:space="0" w:color="auto"/>
            <w:right w:val="none" w:sz="0" w:space="0" w:color="auto"/>
          </w:divBdr>
          <w:divsChild>
            <w:div w:id="1003435703">
              <w:marLeft w:val="0"/>
              <w:marRight w:val="0"/>
              <w:marTop w:val="0"/>
              <w:marBottom w:val="0"/>
              <w:divBdr>
                <w:top w:val="none" w:sz="0" w:space="0" w:color="auto"/>
                <w:left w:val="none" w:sz="0" w:space="0" w:color="auto"/>
                <w:bottom w:val="none" w:sz="0" w:space="0" w:color="auto"/>
                <w:right w:val="none" w:sz="0" w:space="0" w:color="auto"/>
              </w:divBdr>
              <w:divsChild>
                <w:div w:id="1003435620">
                  <w:marLeft w:val="0"/>
                  <w:marRight w:val="0"/>
                  <w:marTop w:val="0"/>
                  <w:marBottom w:val="0"/>
                  <w:divBdr>
                    <w:top w:val="none" w:sz="0" w:space="0" w:color="auto"/>
                    <w:left w:val="none" w:sz="0" w:space="0" w:color="auto"/>
                    <w:bottom w:val="none" w:sz="0" w:space="0" w:color="auto"/>
                    <w:right w:val="none" w:sz="0" w:space="0" w:color="auto"/>
                  </w:divBdr>
                  <w:divsChild>
                    <w:div w:id="100343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435654">
      <w:marLeft w:val="0"/>
      <w:marRight w:val="0"/>
      <w:marTop w:val="0"/>
      <w:marBottom w:val="0"/>
      <w:divBdr>
        <w:top w:val="none" w:sz="0" w:space="0" w:color="auto"/>
        <w:left w:val="none" w:sz="0" w:space="0" w:color="auto"/>
        <w:bottom w:val="none" w:sz="0" w:space="0" w:color="auto"/>
        <w:right w:val="none" w:sz="0" w:space="0" w:color="auto"/>
      </w:divBdr>
      <w:divsChild>
        <w:div w:id="1003435670">
          <w:marLeft w:val="0"/>
          <w:marRight w:val="0"/>
          <w:marTop w:val="0"/>
          <w:marBottom w:val="0"/>
          <w:divBdr>
            <w:top w:val="none" w:sz="0" w:space="0" w:color="auto"/>
            <w:left w:val="none" w:sz="0" w:space="0" w:color="auto"/>
            <w:bottom w:val="none" w:sz="0" w:space="0" w:color="auto"/>
            <w:right w:val="none" w:sz="0" w:space="0" w:color="auto"/>
          </w:divBdr>
          <w:divsChild>
            <w:div w:id="1003435651">
              <w:marLeft w:val="0"/>
              <w:marRight w:val="0"/>
              <w:marTop w:val="0"/>
              <w:marBottom w:val="0"/>
              <w:divBdr>
                <w:top w:val="none" w:sz="0" w:space="0" w:color="auto"/>
                <w:left w:val="none" w:sz="0" w:space="0" w:color="auto"/>
                <w:bottom w:val="none" w:sz="0" w:space="0" w:color="auto"/>
                <w:right w:val="none" w:sz="0" w:space="0" w:color="auto"/>
              </w:divBdr>
              <w:divsChild>
                <w:div w:id="1003435683">
                  <w:marLeft w:val="0"/>
                  <w:marRight w:val="0"/>
                  <w:marTop w:val="0"/>
                  <w:marBottom w:val="0"/>
                  <w:divBdr>
                    <w:top w:val="none" w:sz="0" w:space="0" w:color="auto"/>
                    <w:left w:val="none" w:sz="0" w:space="0" w:color="auto"/>
                    <w:bottom w:val="none" w:sz="0" w:space="0" w:color="auto"/>
                    <w:right w:val="none" w:sz="0" w:space="0" w:color="auto"/>
                  </w:divBdr>
                  <w:divsChild>
                    <w:div w:id="100343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435657">
      <w:marLeft w:val="0"/>
      <w:marRight w:val="0"/>
      <w:marTop w:val="0"/>
      <w:marBottom w:val="0"/>
      <w:divBdr>
        <w:top w:val="none" w:sz="0" w:space="0" w:color="auto"/>
        <w:left w:val="none" w:sz="0" w:space="0" w:color="auto"/>
        <w:bottom w:val="none" w:sz="0" w:space="0" w:color="auto"/>
        <w:right w:val="none" w:sz="0" w:space="0" w:color="auto"/>
      </w:divBdr>
      <w:divsChild>
        <w:div w:id="1003435640">
          <w:marLeft w:val="0"/>
          <w:marRight w:val="0"/>
          <w:marTop w:val="0"/>
          <w:marBottom w:val="0"/>
          <w:divBdr>
            <w:top w:val="none" w:sz="0" w:space="0" w:color="auto"/>
            <w:left w:val="none" w:sz="0" w:space="0" w:color="auto"/>
            <w:bottom w:val="none" w:sz="0" w:space="0" w:color="auto"/>
            <w:right w:val="none" w:sz="0" w:space="0" w:color="auto"/>
          </w:divBdr>
          <w:divsChild>
            <w:div w:id="1003435617">
              <w:marLeft w:val="0"/>
              <w:marRight w:val="0"/>
              <w:marTop w:val="0"/>
              <w:marBottom w:val="0"/>
              <w:divBdr>
                <w:top w:val="none" w:sz="0" w:space="0" w:color="auto"/>
                <w:left w:val="none" w:sz="0" w:space="0" w:color="auto"/>
                <w:bottom w:val="none" w:sz="0" w:space="0" w:color="auto"/>
                <w:right w:val="none" w:sz="0" w:space="0" w:color="auto"/>
              </w:divBdr>
              <w:divsChild>
                <w:div w:id="1003435695">
                  <w:marLeft w:val="0"/>
                  <w:marRight w:val="0"/>
                  <w:marTop w:val="0"/>
                  <w:marBottom w:val="0"/>
                  <w:divBdr>
                    <w:top w:val="none" w:sz="0" w:space="0" w:color="auto"/>
                    <w:left w:val="none" w:sz="0" w:space="0" w:color="auto"/>
                    <w:bottom w:val="none" w:sz="0" w:space="0" w:color="auto"/>
                    <w:right w:val="none" w:sz="0" w:space="0" w:color="auto"/>
                  </w:divBdr>
                  <w:divsChild>
                    <w:div w:id="100343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435659">
      <w:marLeft w:val="0"/>
      <w:marRight w:val="0"/>
      <w:marTop w:val="0"/>
      <w:marBottom w:val="0"/>
      <w:divBdr>
        <w:top w:val="none" w:sz="0" w:space="0" w:color="auto"/>
        <w:left w:val="none" w:sz="0" w:space="0" w:color="auto"/>
        <w:bottom w:val="none" w:sz="0" w:space="0" w:color="auto"/>
        <w:right w:val="none" w:sz="0" w:space="0" w:color="auto"/>
      </w:divBdr>
      <w:divsChild>
        <w:div w:id="1003435687">
          <w:marLeft w:val="0"/>
          <w:marRight w:val="0"/>
          <w:marTop w:val="0"/>
          <w:marBottom w:val="0"/>
          <w:divBdr>
            <w:top w:val="none" w:sz="0" w:space="0" w:color="auto"/>
            <w:left w:val="none" w:sz="0" w:space="0" w:color="auto"/>
            <w:bottom w:val="none" w:sz="0" w:space="0" w:color="auto"/>
            <w:right w:val="none" w:sz="0" w:space="0" w:color="auto"/>
          </w:divBdr>
          <w:divsChild>
            <w:div w:id="1003435719">
              <w:marLeft w:val="0"/>
              <w:marRight w:val="0"/>
              <w:marTop w:val="0"/>
              <w:marBottom w:val="0"/>
              <w:divBdr>
                <w:top w:val="none" w:sz="0" w:space="0" w:color="auto"/>
                <w:left w:val="none" w:sz="0" w:space="0" w:color="auto"/>
                <w:bottom w:val="none" w:sz="0" w:space="0" w:color="auto"/>
                <w:right w:val="none" w:sz="0" w:space="0" w:color="auto"/>
              </w:divBdr>
              <w:divsChild>
                <w:div w:id="1003435707">
                  <w:marLeft w:val="0"/>
                  <w:marRight w:val="0"/>
                  <w:marTop w:val="0"/>
                  <w:marBottom w:val="0"/>
                  <w:divBdr>
                    <w:top w:val="none" w:sz="0" w:space="0" w:color="auto"/>
                    <w:left w:val="none" w:sz="0" w:space="0" w:color="auto"/>
                    <w:bottom w:val="none" w:sz="0" w:space="0" w:color="auto"/>
                    <w:right w:val="none" w:sz="0" w:space="0" w:color="auto"/>
                  </w:divBdr>
                  <w:divsChild>
                    <w:div w:id="100343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435667">
      <w:marLeft w:val="0"/>
      <w:marRight w:val="0"/>
      <w:marTop w:val="0"/>
      <w:marBottom w:val="0"/>
      <w:divBdr>
        <w:top w:val="none" w:sz="0" w:space="0" w:color="auto"/>
        <w:left w:val="none" w:sz="0" w:space="0" w:color="auto"/>
        <w:bottom w:val="none" w:sz="0" w:space="0" w:color="auto"/>
        <w:right w:val="none" w:sz="0" w:space="0" w:color="auto"/>
      </w:divBdr>
      <w:divsChild>
        <w:div w:id="1003435714">
          <w:marLeft w:val="0"/>
          <w:marRight w:val="0"/>
          <w:marTop w:val="0"/>
          <w:marBottom w:val="0"/>
          <w:divBdr>
            <w:top w:val="none" w:sz="0" w:space="0" w:color="auto"/>
            <w:left w:val="none" w:sz="0" w:space="0" w:color="auto"/>
            <w:bottom w:val="none" w:sz="0" w:space="0" w:color="auto"/>
            <w:right w:val="none" w:sz="0" w:space="0" w:color="auto"/>
          </w:divBdr>
          <w:divsChild>
            <w:div w:id="1003435619">
              <w:marLeft w:val="0"/>
              <w:marRight w:val="0"/>
              <w:marTop w:val="0"/>
              <w:marBottom w:val="0"/>
              <w:divBdr>
                <w:top w:val="none" w:sz="0" w:space="0" w:color="auto"/>
                <w:left w:val="none" w:sz="0" w:space="0" w:color="auto"/>
                <w:bottom w:val="none" w:sz="0" w:space="0" w:color="auto"/>
                <w:right w:val="none" w:sz="0" w:space="0" w:color="auto"/>
              </w:divBdr>
              <w:divsChild>
                <w:div w:id="1003435625">
                  <w:marLeft w:val="0"/>
                  <w:marRight w:val="0"/>
                  <w:marTop w:val="0"/>
                  <w:marBottom w:val="0"/>
                  <w:divBdr>
                    <w:top w:val="none" w:sz="0" w:space="0" w:color="auto"/>
                    <w:left w:val="none" w:sz="0" w:space="0" w:color="auto"/>
                    <w:bottom w:val="none" w:sz="0" w:space="0" w:color="auto"/>
                    <w:right w:val="none" w:sz="0" w:space="0" w:color="auto"/>
                  </w:divBdr>
                  <w:divsChild>
                    <w:div w:id="100343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435668">
      <w:marLeft w:val="0"/>
      <w:marRight w:val="0"/>
      <w:marTop w:val="0"/>
      <w:marBottom w:val="0"/>
      <w:divBdr>
        <w:top w:val="none" w:sz="0" w:space="0" w:color="auto"/>
        <w:left w:val="none" w:sz="0" w:space="0" w:color="auto"/>
        <w:bottom w:val="none" w:sz="0" w:space="0" w:color="auto"/>
        <w:right w:val="none" w:sz="0" w:space="0" w:color="auto"/>
      </w:divBdr>
      <w:divsChild>
        <w:div w:id="1003435685">
          <w:marLeft w:val="0"/>
          <w:marRight w:val="0"/>
          <w:marTop w:val="0"/>
          <w:marBottom w:val="0"/>
          <w:divBdr>
            <w:top w:val="none" w:sz="0" w:space="0" w:color="auto"/>
            <w:left w:val="none" w:sz="0" w:space="0" w:color="auto"/>
            <w:bottom w:val="none" w:sz="0" w:space="0" w:color="auto"/>
            <w:right w:val="none" w:sz="0" w:space="0" w:color="auto"/>
          </w:divBdr>
        </w:div>
      </w:divsChild>
    </w:div>
    <w:div w:id="1003435682">
      <w:marLeft w:val="0"/>
      <w:marRight w:val="0"/>
      <w:marTop w:val="0"/>
      <w:marBottom w:val="0"/>
      <w:divBdr>
        <w:top w:val="none" w:sz="0" w:space="0" w:color="auto"/>
        <w:left w:val="none" w:sz="0" w:space="0" w:color="auto"/>
        <w:bottom w:val="none" w:sz="0" w:space="0" w:color="auto"/>
        <w:right w:val="none" w:sz="0" w:space="0" w:color="auto"/>
      </w:divBdr>
      <w:divsChild>
        <w:div w:id="1003435611">
          <w:marLeft w:val="0"/>
          <w:marRight w:val="0"/>
          <w:marTop w:val="0"/>
          <w:marBottom w:val="0"/>
          <w:divBdr>
            <w:top w:val="none" w:sz="0" w:space="0" w:color="auto"/>
            <w:left w:val="none" w:sz="0" w:space="0" w:color="auto"/>
            <w:bottom w:val="none" w:sz="0" w:space="0" w:color="auto"/>
            <w:right w:val="none" w:sz="0" w:space="0" w:color="auto"/>
          </w:divBdr>
        </w:div>
      </w:divsChild>
    </w:div>
    <w:div w:id="1003435686">
      <w:marLeft w:val="0"/>
      <w:marRight w:val="0"/>
      <w:marTop w:val="0"/>
      <w:marBottom w:val="0"/>
      <w:divBdr>
        <w:top w:val="none" w:sz="0" w:space="0" w:color="auto"/>
        <w:left w:val="none" w:sz="0" w:space="0" w:color="auto"/>
        <w:bottom w:val="none" w:sz="0" w:space="0" w:color="auto"/>
        <w:right w:val="none" w:sz="0" w:space="0" w:color="auto"/>
      </w:divBdr>
      <w:divsChild>
        <w:div w:id="1003435715">
          <w:marLeft w:val="0"/>
          <w:marRight w:val="0"/>
          <w:marTop w:val="0"/>
          <w:marBottom w:val="0"/>
          <w:divBdr>
            <w:top w:val="none" w:sz="0" w:space="0" w:color="auto"/>
            <w:left w:val="none" w:sz="0" w:space="0" w:color="auto"/>
            <w:bottom w:val="none" w:sz="0" w:space="0" w:color="auto"/>
            <w:right w:val="none" w:sz="0" w:space="0" w:color="auto"/>
          </w:divBdr>
          <w:divsChild>
            <w:div w:id="1003435603">
              <w:marLeft w:val="0"/>
              <w:marRight w:val="0"/>
              <w:marTop w:val="0"/>
              <w:marBottom w:val="0"/>
              <w:divBdr>
                <w:top w:val="none" w:sz="0" w:space="0" w:color="auto"/>
                <w:left w:val="none" w:sz="0" w:space="0" w:color="auto"/>
                <w:bottom w:val="none" w:sz="0" w:space="0" w:color="auto"/>
                <w:right w:val="none" w:sz="0" w:space="0" w:color="auto"/>
              </w:divBdr>
              <w:divsChild>
                <w:div w:id="1003435648">
                  <w:marLeft w:val="0"/>
                  <w:marRight w:val="0"/>
                  <w:marTop w:val="0"/>
                  <w:marBottom w:val="0"/>
                  <w:divBdr>
                    <w:top w:val="none" w:sz="0" w:space="0" w:color="auto"/>
                    <w:left w:val="none" w:sz="0" w:space="0" w:color="auto"/>
                    <w:bottom w:val="none" w:sz="0" w:space="0" w:color="auto"/>
                    <w:right w:val="none" w:sz="0" w:space="0" w:color="auto"/>
                  </w:divBdr>
                  <w:divsChild>
                    <w:div w:id="100343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435689">
      <w:marLeft w:val="0"/>
      <w:marRight w:val="0"/>
      <w:marTop w:val="0"/>
      <w:marBottom w:val="0"/>
      <w:divBdr>
        <w:top w:val="none" w:sz="0" w:space="0" w:color="auto"/>
        <w:left w:val="none" w:sz="0" w:space="0" w:color="auto"/>
        <w:bottom w:val="none" w:sz="0" w:space="0" w:color="auto"/>
        <w:right w:val="none" w:sz="0" w:space="0" w:color="auto"/>
      </w:divBdr>
      <w:divsChild>
        <w:div w:id="1003435628">
          <w:marLeft w:val="0"/>
          <w:marRight w:val="0"/>
          <w:marTop w:val="0"/>
          <w:marBottom w:val="0"/>
          <w:divBdr>
            <w:top w:val="none" w:sz="0" w:space="0" w:color="auto"/>
            <w:left w:val="none" w:sz="0" w:space="0" w:color="auto"/>
            <w:bottom w:val="none" w:sz="0" w:space="0" w:color="auto"/>
            <w:right w:val="none" w:sz="0" w:space="0" w:color="auto"/>
          </w:divBdr>
          <w:divsChild>
            <w:div w:id="1003435725">
              <w:marLeft w:val="0"/>
              <w:marRight w:val="0"/>
              <w:marTop w:val="0"/>
              <w:marBottom w:val="0"/>
              <w:divBdr>
                <w:top w:val="none" w:sz="0" w:space="0" w:color="auto"/>
                <w:left w:val="none" w:sz="0" w:space="0" w:color="auto"/>
                <w:bottom w:val="none" w:sz="0" w:space="0" w:color="auto"/>
                <w:right w:val="none" w:sz="0" w:space="0" w:color="auto"/>
              </w:divBdr>
              <w:divsChild>
                <w:div w:id="1003435680">
                  <w:marLeft w:val="0"/>
                  <w:marRight w:val="0"/>
                  <w:marTop w:val="0"/>
                  <w:marBottom w:val="0"/>
                  <w:divBdr>
                    <w:top w:val="none" w:sz="0" w:space="0" w:color="auto"/>
                    <w:left w:val="none" w:sz="0" w:space="0" w:color="auto"/>
                    <w:bottom w:val="none" w:sz="0" w:space="0" w:color="auto"/>
                    <w:right w:val="none" w:sz="0" w:space="0" w:color="auto"/>
                  </w:divBdr>
                  <w:divsChild>
                    <w:div w:id="100343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435690">
      <w:marLeft w:val="0"/>
      <w:marRight w:val="0"/>
      <w:marTop w:val="0"/>
      <w:marBottom w:val="0"/>
      <w:divBdr>
        <w:top w:val="none" w:sz="0" w:space="0" w:color="auto"/>
        <w:left w:val="none" w:sz="0" w:space="0" w:color="auto"/>
        <w:bottom w:val="none" w:sz="0" w:space="0" w:color="auto"/>
        <w:right w:val="none" w:sz="0" w:space="0" w:color="auto"/>
      </w:divBdr>
      <w:divsChild>
        <w:div w:id="1003435674">
          <w:marLeft w:val="0"/>
          <w:marRight w:val="0"/>
          <w:marTop w:val="0"/>
          <w:marBottom w:val="0"/>
          <w:divBdr>
            <w:top w:val="none" w:sz="0" w:space="0" w:color="auto"/>
            <w:left w:val="none" w:sz="0" w:space="0" w:color="auto"/>
            <w:bottom w:val="none" w:sz="0" w:space="0" w:color="auto"/>
            <w:right w:val="none" w:sz="0" w:space="0" w:color="auto"/>
          </w:divBdr>
        </w:div>
      </w:divsChild>
    </w:div>
    <w:div w:id="1003435691">
      <w:marLeft w:val="0"/>
      <w:marRight w:val="0"/>
      <w:marTop w:val="0"/>
      <w:marBottom w:val="0"/>
      <w:divBdr>
        <w:top w:val="none" w:sz="0" w:space="0" w:color="auto"/>
        <w:left w:val="none" w:sz="0" w:space="0" w:color="auto"/>
        <w:bottom w:val="none" w:sz="0" w:space="0" w:color="auto"/>
        <w:right w:val="none" w:sz="0" w:space="0" w:color="auto"/>
      </w:divBdr>
      <w:divsChild>
        <w:div w:id="1003435718">
          <w:marLeft w:val="0"/>
          <w:marRight w:val="0"/>
          <w:marTop w:val="0"/>
          <w:marBottom w:val="0"/>
          <w:divBdr>
            <w:top w:val="none" w:sz="0" w:space="0" w:color="auto"/>
            <w:left w:val="none" w:sz="0" w:space="0" w:color="auto"/>
            <w:bottom w:val="none" w:sz="0" w:space="0" w:color="auto"/>
            <w:right w:val="none" w:sz="0" w:space="0" w:color="auto"/>
          </w:divBdr>
        </w:div>
      </w:divsChild>
    </w:div>
    <w:div w:id="1003435696">
      <w:marLeft w:val="0"/>
      <w:marRight w:val="0"/>
      <w:marTop w:val="0"/>
      <w:marBottom w:val="0"/>
      <w:divBdr>
        <w:top w:val="none" w:sz="0" w:space="0" w:color="auto"/>
        <w:left w:val="none" w:sz="0" w:space="0" w:color="auto"/>
        <w:bottom w:val="none" w:sz="0" w:space="0" w:color="auto"/>
        <w:right w:val="none" w:sz="0" w:space="0" w:color="auto"/>
      </w:divBdr>
      <w:divsChild>
        <w:div w:id="1003435604">
          <w:marLeft w:val="0"/>
          <w:marRight w:val="0"/>
          <w:marTop w:val="0"/>
          <w:marBottom w:val="0"/>
          <w:divBdr>
            <w:top w:val="none" w:sz="0" w:space="0" w:color="auto"/>
            <w:left w:val="none" w:sz="0" w:space="0" w:color="auto"/>
            <w:bottom w:val="none" w:sz="0" w:space="0" w:color="auto"/>
            <w:right w:val="none" w:sz="0" w:space="0" w:color="auto"/>
          </w:divBdr>
          <w:divsChild>
            <w:div w:id="1003435641">
              <w:marLeft w:val="0"/>
              <w:marRight w:val="0"/>
              <w:marTop w:val="0"/>
              <w:marBottom w:val="0"/>
              <w:divBdr>
                <w:top w:val="none" w:sz="0" w:space="0" w:color="auto"/>
                <w:left w:val="none" w:sz="0" w:space="0" w:color="auto"/>
                <w:bottom w:val="none" w:sz="0" w:space="0" w:color="auto"/>
                <w:right w:val="none" w:sz="0" w:space="0" w:color="auto"/>
              </w:divBdr>
              <w:divsChild>
                <w:div w:id="1003435647">
                  <w:marLeft w:val="0"/>
                  <w:marRight w:val="0"/>
                  <w:marTop w:val="0"/>
                  <w:marBottom w:val="0"/>
                  <w:divBdr>
                    <w:top w:val="none" w:sz="0" w:space="0" w:color="auto"/>
                    <w:left w:val="none" w:sz="0" w:space="0" w:color="auto"/>
                    <w:bottom w:val="none" w:sz="0" w:space="0" w:color="auto"/>
                    <w:right w:val="none" w:sz="0" w:space="0" w:color="auto"/>
                  </w:divBdr>
                  <w:divsChild>
                    <w:div w:id="100343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435702">
      <w:marLeft w:val="0"/>
      <w:marRight w:val="0"/>
      <w:marTop w:val="0"/>
      <w:marBottom w:val="0"/>
      <w:divBdr>
        <w:top w:val="none" w:sz="0" w:space="0" w:color="auto"/>
        <w:left w:val="none" w:sz="0" w:space="0" w:color="auto"/>
        <w:bottom w:val="none" w:sz="0" w:space="0" w:color="auto"/>
        <w:right w:val="none" w:sz="0" w:space="0" w:color="auto"/>
      </w:divBdr>
      <w:divsChild>
        <w:div w:id="1003435700">
          <w:marLeft w:val="0"/>
          <w:marRight w:val="0"/>
          <w:marTop w:val="0"/>
          <w:marBottom w:val="0"/>
          <w:divBdr>
            <w:top w:val="none" w:sz="0" w:space="0" w:color="auto"/>
            <w:left w:val="none" w:sz="0" w:space="0" w:color="auto"/>
            <w:bottom w:val="none" w:sz="0" w:space="0" w:color="auto"/>
            <w:right w:val="none" w:sz="0" w:space="0" w:color="auto"/>
          </w:divBdr>
        </w:div>
      </w:divsChild>
    </w:div>
    <w:div w:id="1003435705">
      <w:marLeft w:val="0"/>
      <w:marRight w:val="0"/>
      <w:marTop w:val="0"/>
      <w:marBottom w:val="0"/>
      <w:divBdr>
        <w:top w:val="none" w:sz="0" w:space="0" w:color="auto"/>
        <w:left w:val="none" w:sz="0" w:space="0" w:color="auto"/>
        <w:bottom w:val="none" w:sz="0" w:space="0" w:color="auto"/>
        <w:right w:val="none" w:sz="0" w:space="0" w:color="auto"/>
      </w:divBdr>
      <w:divsChild>
        <w:div w:id="1003435633">
          <w:marLeft w:val="0"/>
          <w:marRight w:val="0"/>
          <w:marTop w:val="0"/>
          <w:marBottom w:val="0"/>
          <w:divBdr>
            <w:top w:val="none" w:sz="0" w:space="0" w:color="auto"/>
            <w:left w:val="none" w:sz="0" w:space="0" w:color="auto"/>
            <w:bottom w:val="none" w:sz="0" w:space="0" w:color="auto"/>
            <w:right w:val="none" w:sz="0" w:space="0" w:color="auto"/>
          </w:divBdr>
          <w:divsChild>
            <w:div w:id="1003435624">
              <w:marLeft w:val="0"/>
              <w:marRight w:val="0"/>
              <w:marTop w:val="0"/>
              <w:marBottom w:val="0"/>
              <w:divBdr>
                <w:top w:val="none" w:sz="0" w:space="0" w:color="auto"/>
                <w:left w:val="none" w:sz="0" w:space="0" w:color="auto"/>
                <w:bottom w:val="none" w:sz="0" w:space="0" w:color="auto"/>
                <w:right w:val="none" w:sz="0" w:space="0" w:color="auto"/>
              </w:divBdr>
              <w:divsChild>
                <w:div w:id="1003435729">
                  <w:marLeft w:val="0"/>
                  <w:marRight w:val="0"/>
                  <w:marTop w:val="0"/>
                  <w:marBottom w:val="0"/>
                  <w:divBdr>
                    <w:top w:val="none" w:sz="0" w:space="0" w:color="auto"/>
                    <w:left w:val="none" w:sz="0" w:space="0" w:color="auto"/>
                    <w:bottom w:val="none" w:sz="0" w:space="0" w:color="auto"/>
                    <w:right w:val="none" w:sz="0" w:space="0" w:color="auto"/>
                  </w:divBdr>
                  <w:divsChild>
                    <w:div w:id="100343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435708">
      <w:marLeft w:val="0"/>
      <w:marRight w:val="0"/>
      <w:marTop w:val="0"/>
      <w:marBottom w:val="0"/>
      <w:divBdr>
        <w:top w:val="none" w:sz="0" w:space="0" w:color="auto"/>
        <w:left w:val="none" w:sz="0" w:space="0" w:color="auto"/>
        <w:bottom w:val="none" w:sz="0" w:space="0" w:color="auto"/>
        <w:right w:val="none" w:sz="0" w:space="0" w:color="auto"/>
      </w:divBdr>
      <w:divsChild>
        <w:div w:id="1003435613">
          <w:marLeft w:val="0"/>
          <w:marRight w:val="0"/>
          <w:marTop w:val="0"/>
          <w:marBottom w:val="0"/>
          <w:divBdr>
            <w:top w:val="none" w:sz="0" w:space="0" w:color="auto"/>
            <w:left w:val="none" w:sz="0" w:space="0" w:color="auto"/>
            <w:bottom w:val="none" w:sz="0" w:space="0" w:color="auto"/>
            <w:right w:val="none" w:sz="0" w:space="0" w:color="auto"/>
          </w:divBdr>
        </w:div>
      </w:divsChild>
    </w:div>
    <w:div w:id="1003435712">
      <w:marLeft w:val="0"/>
      <w:marRight w:val="0"/>
      <w:marTop w:val="0"/>
      <w:marBottom w:val="0"/>
      <w:divBdr>
        <w:top w:val="none" w:sz="0" w:space="0" w:color="auto"/>
        <w:left w:val="none" w:sz="0" w:space="0" w:color="auto"/>
        <w:bottom w:val="none" w:sz="0" w:space="0" w:color="auto"/>
        <w:right w:val="none" w:sz="0" w:space="0" w:color="auto"/>
      </w:divBdr>
      <w:divsChild>
        <w:div w:id="1003435669">
          <w:marLeft w:val="0"/>
          <w:marRight w:val="0"/>
          <w:marTop w:val="0"/>
          <w:marBottom w:val="0"/>
          <w:divBdr>
            <w:top w:val="none" w:sz="0" w:space="0" w:color="auto"/>
            <w:left w:val="none" w:sz="0" w:space="0" w:color="auto"/>
            <w:bottom w:val="none" w:sz="0" w:space="0" w:color="auto"/>
            <w:right w:val="none" w:sz="0" w:space="0" w:color="auto"/>
          </w:divBdr>
          <w:divsChild>
            <w:div w:id="1003435656">
              <w:marLeft w:val="0"/>
              <w:marRight w:val="0"/>
              <w:marTop w:val="0"/>
              <w:marBottom w:val="0"/>
              <w:divBdr>
                <w:top w:val="none" w:sz="0" w:space="0" w:color="auto"/>
                <w:left w:val="none" w:sz="0" w:space="0" w:color="auto"/>
                <w:bottom w:val="none" w:sz="0" w:space="0" w:color="auto"/>
                <w:right w:val="none" w:sz="0" w:space="0" w:color="auto"/>
              </w:divBdr>
              <w:divsChild>
                <w:div w:id="1003435704">
                  <w:marLeft w:val="0"/>
                  <w:marRight w:val="0"/>
                  <w:marTop w:val="0"/>
                  <w:marBottom w:val="0"/>
                  <w:divBdr>
                    <w:top w:val="none" w:sz="0" w:space="0" w:color="auto"/>
                    <w:left w:val="none" w:sz="0" w:space="0" w:color="auto"/>
                    <w:bottom w:val="none" w:sz="0" w:space="0" w:color="auto"/>
                    <w:right w:val="none" w:sz="0" w:space="0" w:color="auto"/>
                  </w:divBdr>
                  <w:divsChild>
                    <w:div w:id="10034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435716">
      <w:marLeft w:val="0"/>
      <w:marRight w:val="0"/>
      <w:marTop w:val="0"/>
      <w:marBottom w:val="0"/>
      <w:divBdr>
        <w:top w:val="none" w:sz="0" w:space="0" w:color="auto"/>
        <w:left w:val="none" w:sz="0" w:space="0" w:color="auto"/>
        <w:bottom w:val="none" w:sz="0" w:space="0" w:color="auto"/>
        <w:right w:val="none" w:sz="0" w:space="0" w:color="auto"/>
      </w:divBdr>
      <w:divsChild>
        <w:div w:id="1003435658">
          <w:marLeft w:val="0"/>
          <w:marRight w:val="0"/>
          <w:marTop w:val="0"/>
          <w:marBottom w:val="0"/>
          <w:divBdr>
            <w:top w:val="none" w:sz="0" w:space="0" w:color="auto"/>
            <w:left w:val="none" w:sz="0" w:space="0" w:color="auto"/>
            <w:bottom w:val="none" w:sz="0" w:space="0" w:color="auto"/>
            <w:right w:val="none" w:sz="0" w:space="0" w:color="auto"/>
          </w:divBdr>
          <w:divsChild>
            <w:div w:id="1003435671">
              <w:marLeft w:val="0"/>
              <w:marRight w:val="0"/>
              <w:marTop w:val="0"/>
              <w:marBottom w:val="0"/>
              <w:divBdr>
                <w:top w:val="none" w:sz="0" w:space="0" w:color="auto"/>
                <w:left w:val="none" w:sz="0" w:space="0" w:color="auto"/>
                <w:bottom w:val="none" w:sz="0" w:space="0" w:color="auto"/>
                <w:right w:val="none" w:sz="0" w:space="0" w:color="auto"/>
              </w:divBdr>
              <w:divsChild>
                <w:div w:id="1003435684">
                  <w:marLeft w:val="0"/>
                  <w:marRight w:val="0"/>
                  <w:marTop w:val="0"/>
                  <w:marBottom w:val="0"/>
                  <w:divBdr>
                    <w:top w:val="none" w:sz="0" w:space="0" w:color="auto"/>
                    <w:left w:val="none" w:sz="0" w:space="0" w:color="auto"/>
                    <w:bottom w:val="none" w:sz="0" w:space="0" w:color="auto"/>
                    <w:right w:val="none" w:sz="0" w:space="0" w:color="auto"/>
                  </w:divBdr>
                  <w:divsChild>
                    <w:div w:id="100343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435717">
      <w:marLeft w:val="0"/>
      <w:marRight w:val="0"/>
      <w:marTop w:val="0"/>
      <w:marBottom w:val="0"/>
      <w:divBdr>
        <w:top w:val="none" w:sz="0" w:space="0" w:color="auto"/>
        <w:left w:val="none" w:sz="0" w:space="0" w:color="auto"/>
        <w:bottom w:val="none" w:sz="0" w:space="0" w:color="auto"/>
        <w:right w:val="none" w:sz="0" w:space="0" w:color="auto"/>
      </w:divBdr>
      <w:divsChild>
        <w:div w:id="1003435615">
          <w:marLeft w:val="0"/>
          <w:marRight w:val="0"/>
          <w:marTop w:val="0"/>
          <w:marBottom w:val="0"/>
          <w:divBdr>
            <w:top w:val="none" w:sz="0" w:space="0" w:color="auto"/>
            <w:left w:val="none" w:sz="0" w:space="0" w:color="auto"/>
            <w:bottom w:val="none" w:sz="0" w:space="0" w:color="auto"/>
            <w:right w:val="none" w:sz="0" w:space="0" w:color="auto"/>
          </w:divBdr>
        </w:div>
      </w:divsChild>
    </w:div>
    <w:div w:id="1003435721">
      <w:marLeft w:val="0"/>
      <w:marRight w:val="0"/>
      <w:marTop w:val="0"/>
      <w:marBottom w:val="0"/>
      <w:divBdr>
        <w:top w:val="none" w:sz="0" w:space="0" w:color="auto"/>
        <w:left w:val="none" w:sz="0" w:space="0" w:color="auto"/>
        <w:bottom w:val="none" w:sz="0" w:space="0" w:color="auto"/>
        <w:right w:val="none" w:sz="0" w:space="0" w:color="auto"/>
      </w:divBdr>
      <w:divsChild>
        <w:div w:id="1003435643">
          <w:marLeft w:val="0"/>
          <w:marRight w:val="0"/>
          <w:marTop w:val="0"/>
          <w:marBottom w:val="0"/>
          <w:divBdr>
            <w:top w:val="none" w:sz="0" w:space="0" w:color="auto"/>
            <w:left w:val="none" w:sz="0" w:space="0" w:color="auto"/>
            <w:bottom w:val="none" w:sz="0" w:space="0" w:color="auto"/>
            <w:right w:val="none" w:sz="0" w:space="0" w:color="auto"/>
          </w:divBdr>
          <w:divsChild>
            <w:div w:id="1003435662">
              <w:marLeft w:val="0"/>
              <w:marRight w:val="0"/>
              <w:marTop w:val="0"/>
              <w:marBottom w:val="0"/>
              <w:divBdr>
                <w:top w:val="none" w:sz="0" w:space="0" w:color="auto"/>
                <w:left w:val="none" w:sz="0" w:space="0" w:color="auto"/>
                <w:bottom w:val="none" w:sz="0" w:space="0" w:color="auto"/>
                <w:right w:val="none" w:sz="0" w:space="0" w:color="auto"/>
              </w:divBdr>
              <w:divsChild>
                <w:div w:id="1003435723">
                  <w:marLeft w:val="0"/>
                  <w:marRight w:val="0"/>
                  <w:marTop w:val="0"/>
                  <w:marBottom w:val="0"/>
                  <w:divBdr>
                    <w:top w:val="none" w:sz="0" w:space="0" w:color="auto"/>
                    <w:left w:val="none" w:sz="0" w:space="0" w:color="auto"/>
                    <w:bottom w:val="none" w:sz="0" w:space="0" w:color="auto"/>
                    <w:right w:val="none" w:sz="0" w:space="0" w:color="auto"/>
                  </w:divBdr>
                  <w:divsChild>
                    <w:div w:id="100343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435724">
      <w:marLeft w:val="0"/>
      <w:marRight w:val="0"/>
      <w:marTop w:val="0"/>
      <w:marBottom w:val="0"/>
      <w:divBdr>
        <w:top w:val="none" w:sz="0" w:space="0" w:color="auto"/>
        <w:left w:val="none" w:sz="0" w:space="0" w:color="auto"/>
        <w:bottom w:val="none" w:sz="0" w:space="0" w:color="auto"/>
        <w:right w:val="none" w:sz="0" w:space="0" w:color="auto"/>
      </w:divBdr>
      <w:divsChild>
        <w:div w:id="1003435733">
          <w:marLeft w:val="0"/>
          <w:marRight w:val="0"/>
          <w:marTop w:val="0"/>
          <w:marBottom w:val="0"/>
          <w:divBdr>
            <w:top w:val="none" w:sz="0" w:space="0" w:color="auto"/>
            <w:left w:val="none" w:sz="0" w:space="0" w:color="auto"/>
            <w:bottom w:val="none" w:sz="0" w:space="0" w:color="auto"/>
            <w:right w:val="none" w:sz="0" w:space="0" w:color="auto"/>
          </w:divBdr>
          <w:divsChild>
            <w:div w:id="1003435679">
              <w:marLeft w:val="0"/>
              <w:marRight w:val="0"/>
              <w:marTop w:val="0"/>
              <w:marBottom w:val="0"/>
              <w:divBdr>
                <w:top w:val="none" w:sz="0" w:space="0" w:color="auto"/>
                <w:left w:val="none" w:sz="0" w:space="0" w:color="auto"/>
                <w:bottom w:val="none" w:sz="0" w:space="0" w:color="auto"/>
                <w:right w:val="none" w:sz="0" w:space="0" w:color="auto"/>
              </w:divBdr>
              <w:divsChild>
                <w:div w:id="1003435612">
                  <w:marLeft w:val="0"/>
                  <w:marRight w:val="0"/>
                  <w:marTop w:val="0"/>
                  <w:marBottom w:val="0"/>
                  <w:divBdr>
                    <w:top w:val="none" w:sz="0" w:space="0" w:color="auto"/>
                    <w:left w:val="none" w:sz="0" w:space="0" w:color="auto"/>
                    <w:bottom w:val="none" w:sz="0" w:space="0" w:color="auto"/>
                    <w:right w:val="none" w:sz="0" w:space="0" w:color="auto"/>
                  </w:divBdr>
                  <w:divsChild>
                    <w:div w:id="100343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435728">
      <w:marLeft w:val="0"/>
      <w:marRight w:val="0"/>
      <w:marTop w:val="0"/>
      <w:marBottom w:val="0"/>
      <w:divBdr>
        <w:top w:val="none" w:sz="0" w:space="0" w:color="auto"/>
        <w:left w:val="none" w:sz="0" w:space="0" w:color="auto"/>
        <w:bottom w:val="none" w:sz="0" w:space="0" w:color="auto"/>
        <w:right w:val="none" w:sz="0" w:space="0" w:color="auto"/>
      </w:divBdr>
      <w:divsChild>
        <w:div w:id="1003435642">
          <w:marLeft w:val="0"/>
          <w:marRight w:val="0"/>
          <w:marTop w:val="0"/>
          <w:marBottom w:val="0"/>
          <w:divBdr>
            <w:top w:val="none" w:sz="0" w:space="0" w:color="auto"/>
            <w:left w:val="none" w:sz="0" w:space="0" w:color="auto"/>
            <w:bottom w:val="none" w:sz="0" w:space="0" w:color="auto"/>
            <w:right w:val="none" w:sz="0" w:space="0" w:color="auto"/>
          </w:divBdr>
          <w:divsChild>
            <w:div w:id="1003435644">
              <w:marLeft w:val="0"/>
              <w:marRight w:val="0"/>
              <w:marTop w:val="0"/>
              <w:marBottom w:val="0"/>
              <w:divBdr>
                <w:top w:val="none" w:sz="0" w:space="0" w:color="auto"/>
                <w:left w:val="none" w:sz="0" w:space="0" w:color="auto"/>
                <w:bottom w:val="none" w:sz="0" w:space="0" w:color="auto"/>
                <w:right w:val="none" w:sz="0" w:space="0" w:color="auto"/>
              </w:divBdr>
              <w:divsChild>
                <w:div w:id="1003435693">
                  <w:marLeft w:val="0"/>
                  <w:marRight w:val="0"/>
                  <w:marTop w:val="0"/>
                  <w:marBottom w:val="0"/>
                  <w:divBdr>
                    <w:top w:val="none" w:sz="0" w:space="0" w:color="auto"/>
                    <w:left w:val="none" w:sz="0" w:space="0" w:color="auto"/>
                    <w:bottom w:val="none" w:sz="0" w:space="0" w:color="auto"/>
                    <w:right w:val="none" w:sz="0" w:space="0" w:color="auto"/>
                  </w:divBdr>
                  <w:divsChild>
                    <w:div w:id="100343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435730">
      <w:marLeft w:val="0"/>
      <w:marRight w:val="0"/>
      <w:marTop w:val="0"/>
      <w:marBottom w:val="0"/>
      <w:divBdr>
        <w:top w:val="none" w:sz="0" w:space="0" w:color="auto"/>
        <w:left w:val="none" w:sz="0" w:space="0" w:color="auto"/>
        <w:bottom w:val="none" w:sz="0" w:space="0" w:color="auto"/>
        <w:right w:val="none" w:sz="0" w:space="0" w:color="auto"/>
      </w:divBdr>
      <w:divsChild>
        <w:div w:id="1003435672">
          <w:marLeft w:val="0"/>
          <w:marRight w:val="0"/>
          <w:marTop w:val="0"/>
          <w:marBottom w:val="0"/>
          <w:divBdr>
            <w:top w:val="none" w:sz="0" w:space="0" w:color="auto"/>
            <w:left w:val="none" w:sz="0" w:space="0" w:color="auto"/>
            <w:bottom w:val="none" w:sz="0" w:space="0" w:color="auto"/>
            <w:right w:val="none" w:sz="0" w:space="0" w:color="auto"/>
          </w:divBdr>
          <w:divsChild>
            <w:div w:id="1003435635">
              <w:marLeft w:val="0"/>
              <w:marRight w:val="0"/>
              <w:marTop w:val="0"/>
              <w:marBottom w:val="0"/>
              <w:divBdr>
                <w:top w:val="none" w:sz="0" w:space="0" w:color="auto"/>
                <w:left w:val="none" w:sz="0" w:space="0" w:color="auto"/>
                <w:bottom w:val="none" w:sz="0" w:space="0" w:color="auto"/>
                <w:right w:val="none" w:sz="0" w:space="0" w:color="auto"/>
              </w:divBdr>
              <w:divsChild>
                <w:div w:id="1003435697">
                  <w:marLeft w:val="0"/>
                  <w:marRight w:val="0"/>
                  <w:marTop w:val="0"/>
                  <w:marBottom w:val="0"/>
                  <w:divBdr>
                    <w:top w:val="none" w:sz="0" w:space="0" w:color="auto"/>
                    <w:left w:val="none" w:sz="0" w:space="0" w:color="auto"/>
                    <w:bottom w:val="none" w:sz="0" w:space="0" w:color="auto"/>
                    <w:right w:val="none" w:sz="0" w:space="0" w:color="auto"/>
                  </w:divBdr>
                  <w:divsChild>
                    <w:div w:id="100343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435731">
      <w:marLeft w:val="0"/>
      <w:marRight w:val="0"/>
      <w:marTop w:val="0"/>
      <w:marBottom w:val="0"/>
      <w:divBdr>
        <w:top w:val="none" w:sz="0" w:space="0" w:color="auto"/>
        <w:left w:val="none" w:sz="0" w:space="0" w:color="auto"/>
        <w:bottom w:val="none" w:sz="0" w:space="0" w:color="auto"/>
        <w:right w:val="none" w:sz="0" w:space="0" w:color="auto"/>
      </w:divBdr>
      <w:divsChild>
        <w:div w:id="1003435629">
          <w:marLeft w:val="0"/>
          <w:marRight w:val="0"/>
          <w:marTop w:val="0"/>
          <w:marBottom w:val="0"/>
          <w:divBdr>
            <w:top w:val="none" w:sz="0" w:space="0" w:color="auto"/>
            <w:left w:val="none" w:sz="0" w:space="0" w:color="auto"/>
            <w:bottom w:val="none" w:sz="0" w:space="0" w:color="auto"/>
            <w:right w:val="none" w:sz="0" w:space="0" w:color="auto"/>
          </w:divBdr>
          <w:divsChild>
            <w:div w:id="1003435632">
              <w:marLeft w:val="0"/>
              <w:marRight w:val="0"/>
              <w:marTop w:val="0"/>
              <w:marBottom w:val="0"/>
              <w:divBdr>
                <w:top w:val="none" w:sz="0" w:space="0" w:color="auto"/>
                <w:left w:val="none" w:sz="0" w:space="0" w:color="auto"/>
                <w:bottom w:val="none" w:sz="0" w:space="0" w:color="auto"/>
                <w:right w:val="none" w:sz="0" w:space="0" w:color="auto"/>
              </w:divBdr>
              <w:divsChild>
                <w:div w:id="1003435660">
                  <w:marLeft w:val="0"/>
                  <w:marRight w:val="0"/>
                  <w:marTop w:val="0"/>
                  <w:marBottom w:val="0"/>
                  <w:divBdr>
                    <w:top w:val="none" w:sz="0" w:space="0" w:color="auto"/>
                    <w:left w:val="none" w:sz="0" w:space="0" w:color="auto"/>
                    <w:bottom w:val="none" w:sz="0" w:space="0" w:color="auto"/>
                    <w:right w:val="none" w:sz="0" w:space="0" w:color="auto"/>
                  </w:divBdr>
                  <w:divsChild>
                    <w:div w:id="100343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435734">
      <w:marLeft w:val="0"/>
      <w:marRight w:val="0"/>
      <w:marTop w:val="0"/>
      <w:marBottom w:val="0"/>
      <w:divBdr>
        <w:top w:val="none" w:sz="0" w:space="0" w:color="auto"/>
        <w:left w:val="none" w:sz="0" w:space="0" w:color="auto"/>
        <w:bottom w:val="none" w:sz="0" w:space="0" w:color="auto"/>
        <w:right w:val="none" w:sz="0" w:space="0" w:color="auto"/>
      </w:divBdr>
      <w:divsChild>
        <w:div w:id="1003435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F2DD0-5BE2-48DB-A505-060CF7D55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4039</Words>
  <Characters>23027</Characters>
  <Application>Microsoft Office Word</Application>
  <DocSecurity>0</DocSecurity>
  <Lines>191</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АльвинСервис</Company>
  <LinksUpToDate>false</LinksUpToDate>
  <CharactersWithSpaces>27012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КирилловЮЮ</dc:creator>
  <cp:keywords/>
  <dc:description/>
  <cp:lastModifiedBy>admin</cp:lastModifiedBy>
  <cp:revision>2</cp:revision>
  <dcterms:created xsi:type="dcterms:W3CDTF">2014-03-12T14:05:00Z</dcterms:created>
  <dcterms:modified xsi:type="dcterms:W3CDTF">2014-03-12T14:05:00Z</dcterms:modified>
</cp:coreProperties>
</file>