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3E" w:rsidRPr="00445AE5" w:rsidRDefault="00F72E3E" w:rsidP="00F72E3E">
      <w:pPr>
        <w:spacing w:before="120"/>
        <w:jc w:val="center"/>
        <w:rPr>
          <w:b/>
          <w:bCs/>
          <w:sz w:val="32"/>
          <w:szCs w:val="32"/>
        </w:rPr>
      </w:pPr>
      <w:r w:rsidRPr="00445AE5">
        <w:rPr>
          <w:b/>
          <w:bCs/>
          <w:sz w:val="32"/>
          <w:szCs w:val="32"/>
        </w:rPr>
        <w:t>Аминокислоты, их классификация.</w:t>
      </w:r>
    </w:p>
    <w:p w:rsidR="00F72E3E" w:rsidRPr="00445AE5" w:rsidRDefault="00F72E3E" w:rsidP="00F72E3E">
      <w:pPr>
        <w:spacing w:before="120"/>
        <w:jc w:val="center"/>
        <w:rPr>
          <w:sz w:val="28"/>
          <w:szCs w:val="28"/>
        </w:rPr>
      </w:pPr>
      <w:r w:rsidRPr="00445AE5">
        <w:rPr>
          <w:sz w:val="28"/>
          <w:szCs w:val="28"/>
        </w:rPr>
        <w:t>Реферат выполнил Серенков Андрей, ученик 10 «Б» класса</w:t>
      </w:r>
    </w:p>
    <w:p w:rsidR="00F72E3E" w:rsidRPr="00445AE5" w:rsidRDefault="00F72E3E" w:rsidP="00F72E3E">
      <w:pPr>
        <w:spacing w:before="120"/>
        <w:jc w:val="center"/>
        <w:rPr>
          <w:sz w:val="28"/>
          <w:szCs w:val="28"/>
        </w:rPr>
      </w:pPr>
      <w:r w:rsidRPr="00445AE5">
        <w:rPr>
          <w:sz w:val="28"/>
          <w:szCs w:val="28"/>
        </w:rPr>
        <w:t xml:space="preserve">Канск 2004 </w:t>
      </w:r>
    </w:p>
    <w:p w:rsidR="00F72E3E" w:rsidRDefault="00F72E3E" w:rsidP="00F72E3E">
      <w:pPr>
        <w:spacing w:before="120"/>
        <w:ind w:firstLine="567"/>
        <w:jc w:val="both"/>
      </w:pPr>
      <w:r w:rsidRPr="0011135C">
        <w:t>Аминокислоты - класс органических соединений, содержащих карбоксильные (-COOH) и аминогруппы (-NH2); обладают свойствами и кислот, и оснований. Участвуют в обмене азотистых веществ всех организмов (исходное соединение при биосинтезе гормонов, витаминов, медиаторов, пигментов, пуриновых и пиримидиновых оснований, алкалоидов и др.). Природных аминокислот св. 150. Ок. 20 важнейших аминикислот служат мономерными звеньями, из которых построены все белки (порядок включения аминокислот в них определяется генетическим кодом). Большинство микроорганизмов и растения синтезируют необходимые им аминокислоты; животные и человек не способны к образованию т. н. незаменимых аминокислот, получаемых с пищей. Освоен промышленный синтез (химический и микробиологический) ряда аминокислот, используемых для обогащения пищи, кормов, как исходные продукты для производства полиамидов, красителей и лекарственных препаратов.</w: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>Аминокислоты классифицируют по двум структурным признакам.</w: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>В зависимости от природы кислотной функции аминокислоты подразделяют на аминокарбоновые, например H2N(CH2)5COOH, аминосульфоновые, например H2N(CH2)2SO3H, аминофосфоновые, H2NCH[P(O)(OH)2]2, аминоарсиновые, например, H2NC6H4AsO3H2.</w: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>Согласно правилам ИЮПАК название аминокислот производят от названия соответствующей</w:t>
      </w:r>
      <w:r>
        <w:t xml:space="preserve"> </w:t>
      </w:r>
      <w:r w:rsidRPr="0011135C">
        <w:t>кислоты; взаимное расположение в углеродной цепи карбоксильной и аминной групп обозначают обычно цифрами, в некоторых случаях - греческими буквами. Однако, как правило, пользуются тривиальными названиями аминокислот.</w: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 xml:space="preserve">В зависимости от взаимного расположения амино- и карбоксильной групп аминокислоты подразделяют на </w:t>
      </w:r>
      <w:r w:rsidRPr="0011135C">
        <w:t xml:space="preserve">-, </w:t>
      </w:r>
      <w:r w:rsidRPr="0011135C">
        <w:t xml:space="preserve">-, </w:t>
      </w:r>
      <w:r w:rsidRPr="0011135C">
        <w:t xml:space="preserve">-, </w:t>
      </w:r>
      <w:r w:rsidRPr="0011135C">
        <w:t xml:space="preserve">-, </w:t>
      </w:r>
      <w:r w:rsidRPr="0011135C">
        <w:t xml:space="preserve">- и т. д. </w:t>
      </w:r>
    </w:p>
    <w:p w:rsidR="00F72E3E" w:rsidRPr="0011135C" w:rsidRDefault="00445B89" w:rsidP="00F72E3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573 байта" style="width:373.5pt;height:174pt">
            <v:imagedata r:id="rId4" o:title="" grayscale="t"/>
          </v:shape>
        </w:pic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>Все</w:t>
      </w:r>
      <w:r>
        <w:t xml:space="preserve"> </w:t>
      </w:r>
      <w:r w:rsidRPr="0011135C">
        <w:object w:dxaOrig="220" w:dyaOrig="220">
          <v:shape id="_x0000_i1026" type="#_x0000_t75" style="width:11.25pt;height:11.25pt" o:ole="" fillcolor="window">
            <v:imagedata r:id="rId5" o:title=""/>
          </v:shape>
          <o:OLEObject Type="Embed" ProgID="Equation.3" ShapeID="_x0000_i1026" DrawAspect="Content" ObjectID="_1454211370" r:id="rId6"/>
        </w:object>
      </w:r>
      <w:r w:rsidRPr="0011135C">
        <w:t xml:space="preserve">- аминокислоты, кроме аминоуксусной (глицина), имеют асимметрический </w:t>
      </w:r>
      <w:r w:rsidRPr="0011135C">
        <w:object w:dxaOrig="220" w:dyaOrig="220">
          <v:shape id="_x0000_i1027" type="#_x0000_t75" style="width:11.25pt;height:11.25pt" o:ole="" fillcolor="window">
            <v:imagedata r:id="rId5" o:title=""/>
          </v:shape>
          <o:OLEObject Type="Embed" ProgID="Equation.3" ShapeID="_x0000_i1027" DrawAspect="Content" ObjectID="_1454211371" r:id="rId7"/>
        </w:object>
      </w:r>
      <w:r w:rsidRPr="0011135C">
        <w:t xml:space="preserve">- углеродный атом и существуют в виде двух энантиомеров. За редким исключением, природные </w:t>
      </w:r>
      <w:r w:rsidRPr="0011135C">
        <w:object w:dxaOrig="220" w:dyaOrig="220">
          <v:shape id="_x0000_i1028" type="#_x0000_t75" style="width:11.25pt;height:11.25pt" o:ole="" fillcolor="window">
            <v:imagedata r:id="rId5" o:title=""/>
          </v:shape>
          <o:OLEObject Type="Embed" ProgID="Equation.3" ShapeID="_x0000_i1028" DrawAspect="Content" ObjectID="_1454211372" r:id="rId8"/>
        </w:object>
      </w:r>
      <w:r w:rsidRPr="0011135C">
        <w:t xml:space="preserve">-аминокислоты относятся к L- ряду (S-конфигурация) и имеют следующее пространственное строение: </w:t>
      </w:r>
    </w:p>
    <w:p w:rsidR="00F72E3E" w:rsidRDefault="00445B89" w:rsidP="00F72E3E">
      <w:pPr>
        <w:spacing w:before="120"/>
        <w:ind w:firstLine="56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186.7pt;height:105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6">
              <w:txbxContent>
                <w:p w:rsidR="00F72E3E" w:rsidRPr="00445AE5" w:rsidRDefault="00F72E3E" w:rsidP="00F72E3E">
                  <w:pPr>
                    <w:pStyle w:val="1"/>
                    <w:rPr>
                      <w:sz w:val="24"/>
                      <w:szCs w:val="24"/>
                    </w:rPr>
                  </w:pPr>
                  <w:r>
                    <w:t xml:space="preserve">               </w:t>
                  </w:r>
                  <w:r w:rsidRPr="00445AE5">
                    <w:rPr>
                      <w:sz w:val="24"/>
                      <w:szCs w:val="24"/>
                    </w:rPr>
                    <w:t>COOH</w:t>
                  </w:r>
                </w:p>
                <w:p w:rsidR="00F72E3E" w:rsidRDefault="00F72E3E" w:rsidP="00F72E3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</w:t>
                  </w:r>
                  <w:r>
                    <w:rPr>
                      <w:lang w:val="en-US"/>
                    </w:rPr>
                    <w:sym w:font="Symbol" w:char="F0E7"/>
                  </w:r>
                </w:p>
                <w:p w:rsidR="00F72E3E" w:rsidRDefault="00F72E3E" w:rsidP="00F72E3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N </w:t>
                  </w:r>
                  <w:r>
                    <w:rPr>
                      <w:lang w:val="en-US"/>
                    </w:rPr>
                    <w:sym w:font="Symbol" w:char="F0BE"/>
                  </w:r>
                  <w:r>
                    <w:rPr>
                      <w:lang w:val="en-US"/>
                    </w:rPr>
                    <w:t xml:space="preserve"> C </w:t>
                  </w:r>
                  <w:r>
                    <w:rPr>
                      <w:lang w:val="en-US"/>
                    </w:rPr>
                    <w:sym w:font="Symbol" w:char="F0BE"/>
                  </w:r>
                  <w:r>
                    <w:rPr>
                      <w:lang w:val="en-US"/>
                    </w:rPr>
                    <w:t xml:space="preserve"> H</w:t>
                  </w:r>
                </w:p>
                <w:p w:rsidR="00F72E3E" w:rsidRDefault="00F72E3E" w:rsidP="00F72E3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</w:t>
                  </w:r>
                  <w:r>
                    <w:rPr>
                      <w:lang w:val="en-US"/>
                    </w:rPr>
                    <w:sym w:font="Symbol" w:char="F0E7"/>
                  </w:r>
                </w:p>
                <w:p w:rsidR="00F72E3E" w:rsidRDefault="00F72E3E" w:rsidP="00F72E3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R </w:t>
                  </w:r>
                </w:p>
                <w:p w:rsidR="00F72E3E" w:rsidRDefault="00F72E3E" w:rsidP="00F72E3E">
                  <w:pPr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F72E3E" w:rsidRPr="0011135C" w:rsidRDefault="00F72E3E" w:rsidP="00F72E3E">
      <w:pPr>
        <w:spacing w:before="120"/>
        <w:ind w:firstLine="567"/>
        <w:jc w:val="both"/>
      </w:pPr>
      <w:r w:rsidRPr="0011135C">
        <w:t xml:space="preserve">По физическим и ряду химических свойств аминокислоты резко отличаются от соответствующих кислот и оснований. Они лучше растворяются в воде, чем в органических растворителях; хорошо кристаллизуются; имеют высокую плотность и исключительно высокие температуры плавления. Эти свойства указывают на взаимодействие аминных и кислотных групп, вследствие чего аминокислоты в твёрдом состоянии и в растворе (в широком интервале pH) находятся в цвиттер-ионной форме (т.е. как внутренние соли). Взаимное влияние групп особенно ярко проявляется у </w:t>
      </w:r>
      <w:r w:rsidRPr="0011135C">
        <w:object w:dxaOrig="220" w:dyaOrig="220">
          <v:shape id="_x0000_i1030" type="#_x0000_t75" style="width:11.25pt;height:11.25pt" o:ole="" fillcolor="window">
            <v:imagedata r:id="rId5" o:title=""/>
          </v:shape>
          <o:OLEObject Type="Embed" ProgID="Equation.3" ShapeID="_x0000_i1030" DrawAspect="Content" ObjectID="_1454211373" r:id="rId9"/>
        </w:object>
      </w:r>
      <w:r w:rsidRPr="0011135C">
        <w:t>-аминокислот, где обе группы находятся в непосредственной близости.</w:t>
      </w:r>
    </w:p>
    <w:p w:rsidR="00F72E3E" w:rsidRDefault="00445B89" w:rsidP="00F72E3E">
      <w:pPr>
        <w:spacing w:before="120"/>
        <w:ind w:firstLine="567"/>
        <w:jc w:val="both"/>
      </w:pPr>
      <w:r>
        <w:rPr>
          <w:noProof/>
        </w:rPr>
        <w:pict>
          <v:group id="_x0000_s1027" style="position:absolute;left:0;text-align:left;margin-left:87.3pt;margin-top:5pt;width:302.4pt;height:64.8pt;z-index:251658240" coordorigin="3447,15235" coordsize="6048,1296">
            <v:shape id="_x0000_s1028" type="#_x0000_t202" style="position:absolute;left:3447;top:15235;width:6048;height:1296" o:allowincell="f" stroked="f">
              <v:textbox style="mso-next-textbox:#_x0000_s1028">
                <w:txbxContent>
                  <w:p w:rsidR="00F72E3E" w:rsidRDefault="00F72E3E" w:rsidP="00F72E3E">
                    <w:pPr>
                      <w:jc w:val="center"/>
                      <w:rPr>
                        <w:lang w:val="en-US"/>
                      </w:rPr>
                    </w:pPr>
                  </w:p>
                  <w:p w:rsidR="00F72E3E" w:rsidRDefault="00F72E3E" w:rsidP="00F72E3E">
                    <w:pPr>
                      <w:spacing w:line="140" w:lineRule="exac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-H</w:t>
                    </w:r>
                    <w:r>
                      <w:rPr>
                        <w:sz w:val="16"/>
                        <w:szCs w:val="16"/>
                        <w:vertAlign w:val="superscript"/>
                        <w:lang w:val="en-US"/>
                      </w:rPr>
                      <w:t>+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                                -H</w:t>
                    </w:r>
                    <w:r>
                      <w:rPr>
                        <w:sz w:val="16"/>
                        <w:szCs w:val="16"/>
                        <w:vertAlign w:val="superscript"/>
                        <w:lang w:val="en-US"/>
                      </w:rPr>
                      <w:t>+</w:t>
                    </w:r>
                  </w:p>
                  <w:p w:rsidR="00F72E3E" w:rsidRDefault="00F72E3E" w:rsidP="00F72E3E">
                    <w:pPr>
                      <w:jc w:val="center"/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lang w:val="en-US"/>
                      </w:rPr>
                      <w:t>N</w:t>
                    </w:r>
                    <w:r>
                      <w:rPr>
                        <w:vertAlign w:val="superscript"/>
                        <w:lang w:val="en-US"/>
                      </w:rPr>
                      <w:t>+</w:t>
                    </w:r>
                    <w:r>
                      <w:rPr>
                        <w:lang w:val="en-US"/>
                      </w:rPr>
                      <w:t>CH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COOH   </w:t>
                    </w:r>
                    <w:r>
                      <w:rPr>
                        <w:lang w:val="en-US"/>
                      </w:rPr>
                      <w:tab/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lang w:val="en-US"/>
                      </w:rPr>
                      <w:t>N</w:t>
                    </w:r>
                    <w:r>
                      <w:rPr>
                        <w:vertAlign w:val="superscript"/>
                        <w:lang w:val="en-US"/>
                      </w:rPr>
                      <w:t>+</w:t>
                    </w:r>
                    <w:r>
                      <w:rPr>
                        <w:lang w:val="en-US"/>
                      </w:rPr>
                      <w:t>CH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COO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  <w:r>
                      <w:rPr>
                        <w:lang w:val="en-US"/>
                      </w:rPr>
                      <w:t xml:space="preserve">         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NC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COO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</w:p>
                  <w:p w:rsidR="00F72E3E" w:rsidRDefault="00F72E3E" w:rsidP="00F72E3E">
                    <w:pPr>
                      <w:spacing w:line="140" w:lineRule="exact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</w:t>
                    </w:r>
                    <w:r>
                      <w:rPr>
                        <w:sz w:val="16"/>
                        <w:szCs w:val="16"/>
                      </w:rPr>
                      <w:t>+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H</w:t>
                    </w:r>
                    <w:r>
                      <w:rPr>
                        <w:sz w:val="16"/>
                        <w:szCs w:val="16"/>
                        <w:vertAlign w:val="superscript"/>
                      </w:rPr>
                      <w:t>+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        +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H</w:t>
                    </w:r>
                    <w:r>
                      <w:rPr>
                        <w:sz w:val="16"/>
                        <w:szCs w:val="16"/>
                        <w:vertAlign w:val="superscript"/>
                      </w:rPr>
                      <w:t>+</w:t>
                    </w:r>
                  </w:p>
                  <w:p w:rsidR="00F72E3E" w:rsidRDefault="00F72E3E" w:rsidP="00F72E3E">
                    <w:pPr>
                      <w:pStyle w:val="a4"/>
                      <w:jc w:val="center"/>
                    </w:pPr>
                    <w:r>
                      <w:t>кислота                        цвиттер-ион                    основание</w:t>
                    </w:r>
                  </w:p>
                </w:txbxContent>
              </v:textbox>
            </v:shape>
            <v:group id="_x0000_s1029" style="position:absolute;left:5481;top:15809;width:2332;height:85" coordorigin="5523,1423" coordsize="2332,85">
              <v:line id="_x0000_s1030" style="position:absolute" from="5568,1439" to="5800,1440" o:allowincell="f" strokeweight=".5pt">
                <v:stroke startarrowwidth="narrow" startarrowlength="short" endarrow="block" endarrowwidth="narrow" endarrowlength="short"/>
              </v:line>
              <v:line id="_x0000_s1031" style="position:absolute" from="5523,1508" to="5755,1508" o:allowincell="f">
                <v:stroke startarrow="block" startarrowwidth="narrow" startarrowlength="short"/>
              </v:line>
              <v:line id="_x0000_s1032" style="position:absolute" from="7578,1491" to="7810,1491" o:allowincell="f">
                <v:stroke startarrow="block" startarrowwidth="narrow" startarrowlength="short"/>
              </v:line>
              <v:line id="_x0000_s1033" style="position:absolute" from="7623,1423" to="7855,1423" o:allowincell="f">
                <v:stroke endarrow="block" endarrowwidth="narrow" endarrowlength="short"/>
              </v:line>
            </v:group>
            <w10:anchorlock/>
          </v:group>
        </w:pict>
      </w:r>
    </w:p>
    <w:p w:rsidR="00F72E3E" w:rsidRDefault="00F72E3E" w:rsidP="00F72E3E">
      <w:pPr>
        <w:spacing w:before="120"/>
        <w:ind w:firstLine="567"/>
        <w:jc w:val="both"/>
      </w:pPr>
    </w:p>
    <w:p w:rsidR="00F72E3E" w:rsidRDefault="00F72E3E" w:rsidP="00F72E3E">
      <w:pPr>
        <w:spacing w:before="120"/>
        <w:ind w:firstLine="567"/>
        <w:jc w:val="both"/>
      </w:pPr>
    </w:p>
    <w:p w:rsidR="00F72E3E" w:rsidRDefault="00F72E3E" w:rsidP="00F72E3E">
      <w:pPr>
        <w:spacing w:before="120"/>
        <w:ind w:firstLine="567"/>
        <w:jc w:val="both"/>
      </w:pPr>
    </w:p>
    <w:p w:rsidR="00F72E3E" w:rsidRDefault="00F72E3E" w:rsidP="00F72E3E">
      <w:pPr>
        <w:spacing w:before="120"/>
        <w:ind w:firstLine="567"/>
        <w:jc w:val="both"/>
      </w:pPr>
    </w:p>
    <w:p w:rsidR="00F72E3E" w:rsidRDefault="00F72E3E" w:rsidP="00F72E3E">
      <w:pPr>
        <w:spacing w:before="120"/>
        <w:ind w:firstLine="567"/>
        <w:jc w:val="both"/>
      </w:pPr>
      <w:r w:rsidRPr="0011135C">
        <w:t>Цвиттер-ионная структура аминокислот подтверждается их большим дипольным моментом (не менее 50</w:t>
      </w:r>
      <w:r w:rsidRPr="0011135C">
        <w:sym w:font="Symbol" w:char="F0D7"/>
      </w:r>
      <w:r w:rsidRPr="0011135C">
        <w:t xml:space="preserve">10-30 Кл </w:t>
      </w:r>
      <w:r w:rsidRPr="0011135C">
        <w:sym w:font="Symbol" w:char="F0D7"/>
      </w:r>
      <w:r w:rsidRPr="0011135C">
        <w:t xml:space="preserve"> м), а также полосой поглощения в ИК- спектре твердой аминокислоты или её раствора.</w:t>
      </w:r>
      <w:r>
        <w:t xml:space="preserve"> </w:t>
      </w:r>
    </w:p>
    <w:p w:rsidR="00F72E3E" w:rsidRDefault="00F72E3E" w:rsidP="00F72E3E">
      <w:pPr>
        <w:spacing w:before="120"/>
        <w:ind w:firstLine="567"/>
        <w:jc w:val="both"/>
      </w:pPr>
      <w:r w:rsidRPr="0011135C">
        <w:t>По характеру углеводородного радикала различают алифатические (жирные) и ароматические аминокислоты. Примером ароматической аминокислоты может служить пара-аминобензойная кислота:</w:t>
      </w:r>
    </w:p>
    <w:p w:rsidR="00F72E3E" w:rsidRDefault="00445B89" w:rsidP="00F72E3E">
      <w:pPr>
        <w:spacing w:before="120"/>
        <w:ind w:firstLine="567"/>
        <w:jc w:val="both"/>
      </w:pPr>
      <w:r>
        <w:pict>
          <v:shape id="_x0000_i1031" type="#_x0000_t75" alt="603 байт" style="width:2in;height:41.25pt">
            <v:imagedata r:id="rId10" o:title=""/>
          </v:shape>
        </w:pic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E3E"/>
    <w:rsid w:val="00095BA6"/>
    <w:rsid w:val="0011135C"/>
    <w:rsid w:val="00127217"/>
    <w:rsid w:val="0031418A"/>
    <w:rsid w:val="00445AE5"/>
    <w:rsid w:val="00445B89"/>
    <w:rsid w:val="005A2562"/>
    <w:rsid w:val="00A44D32"/>
    <w:rsid w:val="00A711ED"/>
    <w:rsid w:val="00E12572"/>
    <w:rsid w:val="00F11362"/>
    <w:rsid w:val="00F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docId w15:val="{CE3F9D77-5A47-454C-9DBB-D73FDE9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3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72E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F72E3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72E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>Home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Аминокислоты, их классификация</dc:title>
  <dc:subject/>
  <dc:creator>Alena</dc:creator>
  <cp:keywords/>
  <dc:description/>
  <cp:lastModifiedBy>admin</cp:lastModifiedBy>
  <cp:revision>2</cp:revision>
  <dcterms:created xsi:type="dcterms:W3CDTF">2014-02-18T04:49:00Z</dcterms:created>
  <dcterms:modified xsi:type="dcterms:W3CDTF">2014-02-18T04:49:00Z</dcterms:modified>
</cp:coreProperties>
</file>