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273" w:rsidRDefault="00CC6D5C">
      <w:pPr>
        <w:pStyle w:val="1"/>
        <w:jc w:val="center"/>
      </w:pPr>
      <w:r>
        <w:t>Государственно-частное партнерство как механизм совершенствования системы управления региональными земельными ресурсами</w:t>
      </w:r>
    </w:p>
    <w:p w:rsidR="004E6273" w:rsidRPr="00CC6D5C" w:rsidRDefault="00CC6D5C">
      <w:pPr>
        <w:pStyle w:val="a3"/>
      </w:pPr>
      <w:r>
        <w:t> </w:t>
      </w:r>
    </w:p>
    <w:p w:rsidR="004E6273" w:rsidRDefault="00CC6D5C">
      <w:pPr>
        <w:pStyle w:val="a3"/>
      </w:pPr>
      <w:r>
        <w:t>Н.А. Левов</w:t>
      </w:r>
    </w:p>
    <w:p w:rsidR="004E6273" w:rsidRDefault="00CC6D5C">
      <w:pPr>
        <w:pStyle w:val="a3"/>
      </w:pPr>
      <w:r>
        <w:t>Своеобразие системы управления региональными земельными ресурсами заключается в двойственной роли региональных органов власти: с одной стороны, они активно формируют рыночную среду путем издания нормативных актов, обязательных для всех субъектов рынка; с другой - выполняют хозяйственные и социально-экономические функции, выступая на рынке в качестве одного из участников.</w:t>
      </w:r>
    </w:p>
    <w:p w:rsidR="004E6273" w:rsidRDefault="00CC6D5C">
      <w:pPr>
        <w:pStyle w:val="a3"/>
      </w:pPr>
      <w:r>
        <w:t>Созданная система управления преследует достижение следующих целей:</w:t>
      </w:r>
    </w:p>
    <w:p w:rsidR="004E6273" w:rsidRDefault="00CC6D5C">
      <w:pPr>
        <w:pStyle w:val="a3"/>
      </w:pPr>
      <w:r>
        <w:t>формирование необходимой инфраструктуры рынка земли;</w:t>
      </w:r>
    </w:p>
    <w:p w:rsidR="004E6273" w:rsidRDefault="00CC6D5C">
      <w:pPr>
        <w:pStyle w:val="a3"/>
      </w:pPr>
      <w:r>
        <w:t>увеличение доходов бюджета, изменение структуры доходов путем увеличения доли, относящейся к платежам за землю;</w:t>
      </w:r>
    </w:p>
    <w:p w:rsidR="004E6273" w:rsidRDefault="00CC6D5C">
      <w:pPr>
        <w:pStyle w:val="a3"/>
      </w:pPr>
      <w:r>
        <w:t>повышение инвестиционной привлекательности территории региона за счет: обеспечения гарантий имущественных прав на землю; предоставления льгот по платежам за землю на период проектирования и строительства конкретных объектов;</w:t>
      </w:r>
    </w:p>
    <w:p w:rsidR="004E6273" w:rsidRDefault="00CC6D5C">
      <w:pPr>
        <w:pStyle w:val="a3"/>
      </w:pPr>
      <w:r>
        <w:t>развитие системы ипотечного кредитования;</w:t>
      </w:r>
    </w:p>
    <w:p w:rsidR="004E6273" w:rsidRDefault="00CC6D5C">
      <w:pPr>
        <w:pStyle w:val="a3"/>
      </w:pPr>
      <w:r>
        <w:t>упрощение и ускорение процедуры оформления сделок с землею;</w:t>
      </w:r>
    </w:p>
    <w:p w:rsidR="004E6273" w:rsidRDefault="00CC6D5C">
      <w:pPr>
        <w:pStyle w:val="a3"/>
      </w:pPr>
      <w:r>
        <w:t>содействие решению социальных проблем, в том числе жилищной.</w:t>
      </w:r>
    </w:p>
    <w:p w:rsidR="004E6273" w:rsidRDefault="00CC6D5C">
      <w:pPr>
        <w:pStyle w:val="a3"/>
      </w:pPr>
      <w:r>
        <w:t>На современном этапе наиболее актуальными являются вопросы регулирования земельноимущественных отношений как эффективного средства разрешения экономических проблем переходного периода. Совершенствование земельной политики направлено на рациональное использование региональных земель. Применительно к условиям Москвы как важнейшего финансового и экономического центра реальное осуществление земельной реформы ведет к увеличению социального, инвестиционного, производственного, налогового потенциала земли и превращению ее в мощный самостоятельный фактор экономического роста города (см. табл. 1).</w:t>
      </w:r>
    </w:p>
    <w:p w:rsidR="004E6273" w:rsidRDefault="00CC6D5C">
      <w:pPr>
        <w:pStyle w:val="a3"/>
      </w:pPr>
      <w:r>
        <w:t>Таблица 1</w:t>
      </w:r>
    </w:p>
    <w:p w:rsidR="004E6273" w:rsidRDefault="00CC6D5C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96"/>
        <w:gridCol w:w="96"/>
        <w:gridCol w:w="96"/>
        <w:gridCol w:w="96"/>
        <w:gridCol w:w="96"/>
      </w:tblGrid>
      <w:tr w:rsidR="004E6273">
        <w:trPr>
          <w:trHeight w:val="270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4E6273" w:rsidRDefault="00CC6D5C">
            <w:r>
              <w:t>№ / пп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E6273" w:rsidRDefault="00CC6D5C">
            <w:r>
              <w:t>Статьи поступлений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4E6273" w:rsidRDefault="00CC6D5C">
            <w:r>
              <w:t>Поступление денежных средств (млрд руб)</w:t>
            </w:r>
          </w:p>
        </w:tc>
      </w:tr>
      <w:tr w:rsidR="004E6273">
        <w:trPr>
          <w:trHeight w:val="27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E6273" w:rsidRDefault="004E6273"/>
        </w:tc>
        <w:tc>
          <w:tcPr>
            <w:tcW w:w="0" w:type="auto"/>
            <w:vMerge/>
            <w:vAlign w:val="center"/>
            <w:hideMark/>
          </w:tcPr>
          <w:p w:rsidR="004E6273" w:rsidRDefault="004E6273"/>
        </w:tc>
        <w:tc>
          <w:tcPr>
            <w:tcW w:w="0" w:type="auto"/>
            <w:vAlign w:val="center"/>
            <w:hideMark/>
          </w:tcPr>
          <w:p w:rsidR="004E6273" w:rsidRDefault="00CC6D5C">
            <w:r>
              <w:t>2008</w:t>
            </w:r>
          </w:p>
        </w:tc>
        <w:tc>
          <w:tcPr>
            <w:tcW w:w="0" w:type="auto"/>
            <w:vAlign w:val="center"/>
            <w:hideMark/>
          </w:tcPr>
          <w:p w:rsidR="004E6273" w:rsidRDefault="00CC6D5C">
            <w:r>
              <w:t>2009</w:t>
            </w:r>
          </w:p>
        </w:tc>
        <w:tc>
          <w:tcPr>
            <w:tcW w:w="0" w:type="auto"/>
            <w:vAlign w:val="center"/>
            <w:hideMark/>
          </w:tcPr>
          <w:p w:rsidR="004E6273" w:rsidRDefault="00CC6D5C">
            <w:r>
              <w:t>2010</w:t>
            </w:r>
          </w:p>
        </w:tc>
        <w:tc>
          <w:tcPr>
            <w:tcW w:w="0" w:type="auto"/>
            <w:vAlign w:val="center"/>
            <w:hideMark/>
          </w:tcPr>
          <w:p w:rsidR="004E6273" w:rsidRDefault="00CC6D5C">
            <w:r>
              <w:t>2011</w:t>
            </w:r>
          </w:p>
        </w:tc>
        <w:tc>
          <w:tcPr>
            <w:tcW w:w="0" w:type="auto"/>
            <w:vAlign w:val="center"/>
            <w:hideMark/>
          </w:tcPr>
          <w:p w:rsidR="004E6273" w:rsidRDefault="00CC6D5C">
            <w:r>
              <w:t>2012</w:t>
            </w:r>
          </w:p>
        </w:tc>
      </w:tr>
      <w:tr w:rsidR="004E627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4E6273" w:rsidRDefault="00CC6D5C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4E6273" w:rsidRDefault="00CC6D5C">
            <w:r>
              <w:t>Арендная плата</w:t>
            </w:r>
          </w:p>
        </w:tc>
        <w:tc>
          <w:tcPr>
            <w:tcW w:w="0" w:type="auto"/>
            <w:vAlign w:val="center"/>
            <w:hideMark/>
          </w:tcPr>
          <w:p w:rsidR="004E6273" w:rsidRDefault="00CC6D5C">
            <w:r>
              <w:t>17,9</w:t>
            </w:r>
          </w:p>
        </w:tc>
        <w:tc>
          <w:tcPr>
            <w:tcW w:w="0" w:type="auto"/>
            <w:vAlign w:val="center"/>
            <w:hideMark/>
          </w:tcPr>
          <w:p w:rsidR="004E6273" w:rsidRDefault="00CC6D5C">
            <w:r>
              <w:t>15, 7</w:t>
            </w:r>
          </w:p>
        </w:tc>
        <w:tc>
          <w:tcPr>
            <w:tcW w:w="0" w:type="auto"/>
            <w:vAlign w:val="center"/>
            <w:hideMark/>
          </w:tcPr>
          <w:p w:rsidR="004E6273" w:rsidRDefault="00CC6D5C">
            <w:r>
              <w:t>16, 8</w:t>
            </w:r>
          </w:p>
        </w:tc>
        <w:tc>
          <w:tcPr>
            <w:tcW w:w="0" w:type="auto"/>
            <w:vAlign w:val="center"/>
            <w:hideMark/>
          </w:tcPr>
          <w:p w:rsidR="004E6273" w:rsidRDefault="00CC6D5C">
            <w:r>
              <w:t>20,3</w:t>
            </w:r>
          </w:p>
        </w:tc>
        <w:tc>
          <w:tcPr>
            <w:tcW w:w="0" w:type="auto"/>
            <w:vAlign w:val="center"/>
            <w:hideMark/>
          </w:tcPr>
          <w:p w:rsidR="004E6273" w:rsidRDefault="00CC6D5C">
            <w:r>
              <w:t>24,9</w:t>
            </w:r>
          </w:p>
        </w:tc>
      </w:tr>
      <w:tr w:rsidR="004E6273">
        <w:trPr>
          <w:trHeight w:val="510"/>
          <w:tblCellSpacing w:w="0" w:type="dxa"/>
        </w:trPr>
        <w:tc>
          <w:tcPr>
            <w:tcW w:w="0" w:type="auto"/>
            <w:vAlign w:val="center"/>
            <w:hideMark/>
          </w:tcPr>
          <w:p w:rsidR="004E6273" w:rsidRDefault="00CC6D5C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4E6273" w:rsidRDefault="00CC6D5C">
            <w:r>
              <w:t>Продажа права на заключение договоров аренды</w:t>
            </w:r>
          </w:p>
        </w:tc>
        <w:tc>
          <w:tcPr>
            <w:tcW w:w="0" w:type="auto"/>
            <w:vAlign w:val="center"/>
            <w:hideMark/>
          </w:tcPr>
          <w:p w:rsidR="004E6273" w:rsidRDefault="00CC6D5C">
            <w:r>
              <w:t>8,01</w:t>
            </w:r>
          </w:p>
        </w:tc>
        <w:tc>
          <w:tcPr>
            <w:tcW w:w="0" w:type="auto"/>
            <w:vAlign w:val="center"/>
            <w:hideMark/>
          </w:tcPr>
          <w:p w:rsidR="004E6273" w:rsidRDefault="00CC6D5C">
            <w:r>
              <w:t>4,9</w:t>
            </w:r>
          </w:p>
        </w:tc>
        <w:tc>
          <w:tcPr>
            <w:tcW w:w="0" w:type="auto"/>
            <w:vAlign w:val="center"/>
            <w:hideMark/>
          </w:tcPr>
          <w:p w:rsidR="004E6273" w:rsidRDefault="00CC6D5C">
            <w:r>
              <w:t>1,4</w:t>
            </w:r>
          </w:p>
        </w:tc>
        <w:tc>
          <w:tcPr>
            <w:tcW w:w="0" w:type="auto"/>
            <w:vAlign w:val="center"/>
            <w:hideMark/>
          </w:tcPr>
          <w:p w:rsidR="004E6273" w:rsidRDefault="00CC6D5C">
            <w:r>
              <w:t>3,1</w:t>
            </w:r>
          </w:p>
        </w:tc>
        <w:tc>
          <w:tcPr>
            <w:tcW w:w="0" w:type="auto"/>
            <w:vAlign w:val="center"/>
            <w:hideMark/>
          </w:tcPr>
          <w:p w:rsidR="004E6273" w:rsidRDefault="00CC6D5C">
            <w:r>
              <w:t>4,3</w:t>
            </w:r>
          </w:p>
        </w:tc>
      </w:tr>
      <w:tr w:rsidR="004E6273">
        <w:trPr>
          <w:trHeight w:val="525"/>
          <w:tblCellSpacing w:w="0" w:type="dxa"/>
        </w:trPr>
        <w:tc>
          <w:tcPr>
            <w:tcW w:w="0" w:type="auto"/>
            <w:vAlign w:val="center"/>
            <w:hideMark/>
          </w:tcPr>
          <w:p w:rsidR="004E6273" w:rsidRDefault="00CC6D5C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4E6273" w:rsidRDefault="00CC6D5C">
            <w:r>
              <w:t>Продажа земельных участков в собственность</w:t>
            </w:r>
          </w:p>
        </w:tc>
        <w:tc>
          <w:tcPr>
            <w:tcW w:w="0" w:type="auto"/>
            <w:vAlign w:val="center"/>
            <w:hideMark/>
          </w:tcPr>
          <w:p w:rsidR="004E6273" w:rsidRDefault="00CC6D5C">
            <w:r>
              <w:t>1,1</w:t>
            </w:r>
          </w:p>
        </w:tc>
        <w:tc>
          <w:tcPr>
            <w:tcW w:w="0" w:type="auto"/>
            <w:vAlign w:val="center"/>
            <w:hideMark/>
          </w:tcPr>
          <w:p w:rsidR="004E6273" w:rsidRDefault="00CC6D5C">
            <w:r>
              <w:t>3,9</w:t>
            </w:r>
          </w:p>
        </w:tc>
        <w:tc>
          <w:tcPr>
            <w:tcW w:w="0" w:type="auto"/>
            <w:vAlign w:val="center"/>
            <w:hideMark/>
          </w:tcPr>
          <w:p w:rsidR="004E6273" w:rsidRDefault="00CC6D5C">
            <w:r>
              <w:t>2,1</w:t>
            </w:r>
          </w:p>
        </w:tc>
        <w:tc>
          <w:tcPr>
            <w:tcW w:w="0" w:type="auto"/>
            <w:vAlign w:val="center"/>
            <w:hideMark/>
          </w:tcPr>
          <w:p w:rsidR="004E6273" w:rsidRDefault="00CC6D5C">
            <w:r>
              <w:t>6,7</w:t>
            </w:r>
          </w:p>
        </w:tc>
        <w:tc>
          <w:tcPr>
            <w:tcW w:w="0" w:type="auto"/>
            <w:vAlign w:val="center"/>
            <w:hideMark/>
          </w:tcPr>
          <w:p w:rsidR="004E6273" w:rsidRDefault="00CC6D5C">
            <w:r>
              <w:t>14,2</w:t>
            </w:r>
          </w:p>
        </w:tc>
      </w:tr>
      <w:tr w:rsidR="004E627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4E6273" w:rsidRDefault="00CC6D5C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4E6273" w:rsidRDefault="00CC6D5C">
            <w:r>
              <w:t>Уплаты земельного налога</w:t>
            </w:r>
          </w:p>
        </w:tc>
        <w:tc>
          <w:tcPr>
            <w:tcW w:w="0" w:type="auto"/>
            <w:vAlign w:val="center"/>
            <w:hideMark/>
          </w:tcPr>
          <w:p w:rsidR="004E6273" w:rsidRDefault="00CC6D5C">
            <w:r>
              <w:t>3,1</w:t>
            </w:r>
          </w:p>
        </w:tc>
        <w:tc>
          <w:tcPr>
            <w:tcW w:w="0" w:type="auto"/>
            <w:vAlign w:val="center"/>
            <w:hideMark/>
          </w:tcPr>
          <w:p w:rsidR="004E6273" w:rsidRDefault="00CC6D5C">
            <w:r>
              <w:t>3,4</w:t>
            </w:r>
          </w:p>
        </w:tc>
        <w:tc>
          <w:tcPr>
            <w:tcW w:w="0" w:type="auto"/>
            <w:vAlign w:val="center"/>
            <w:hideMark/>
          </w:tcPr>
          <w:p w:rsidR="004E6273" w:rsidRDefault="00CC6D5C">
            <w:r>
              <w:t>3,5</w:t>
            </w:r>
          </w:p>
        </w:tc>
        <w:tc>
          <w:tcPr>
            <w:tcW w:w="0" w:type="auto"/>
            <w:vAlign w:val="center"/>
            <w:hideMark/>
          </w:tcPr>
          <w:p w:rsidR="004E6273" w:rsidRDefault="00CC6D5C">
            <w:r>
              <w:t>3,5</w:t>
            </w:r>
          </w:p>
        </w:tc>
        <w:tc>
          <w:tcPr>
            <w:tcW w:w="0" w:type="auto"/>
            <w:vAlign w:val="center"/>
            <w:hideMark/>
          </w:tcPr>
          <w:p w:rsidR="004E6273" w:rsidRDefault="00CC6D5C">
            <w:r>
              <w:t>11,8</w:t>
            </w:r>
          </w:p>
        </w:tc>
      </w:tr>
    </w:tbl>
    <w:p w:rsidR="004E6273" w:rsidRPr="00CC6D5C" w:rsidRDefault="00CC6D5C">
      <w:pPr>
        <w:pStyle w:val="a3"/>
      </w:pPr>
      <w:r>
        <w:t>Основные ориентировочные показатели развитии социальной инфраструктуры г. Москвы по генеральному плану [5]</w:t>
      </w:r>
    </w:p>
    <w:p w:rsidR="004E6273" w:rsidRDefault="00CC6D5C">
      <w:pPr>
        <w:pStyle w:val="a3"/>
      </w:pPr>
      <w:r>
        <w:t>Динамика поступления денежных средств от землепользования в городской бюджет г. Москвы</w:t>
      </w:r>
    </w:p>
    <w:p w:rsidR="004E6273" w:rsidRDefault="00CC6D5C">
      <w:pPr>
        <w:pStyle w:val="a3"/>
      </w:pPr>
      <w:r>
        <w:t>Анализ программ градостроительного развития муниципальных образований Москвы показал, что существенную роль играет строительство объектов социального развития территорий муниципальных образований, занимающих до 1/10 площади новой застройки. В то же время основной упор в градостроительстве делается на инвестиционные проекты юридических и физических лиц (см. табл. 2).</w:t>
      </w:r>
    </w:p>
    <w:p w:rsidR="004E6273" w:rsidRDefault="00CC6D5C">
      <w:pPr>
        <w:pStyle w:val="a3"/>
      </w:pPr>
      <w:r>
        <w:t>Таблица 2</w:t>
      </w:r>
    </w:p>
    <w:p w:rsidR="004E6273" w:rsidRDefault="00CC6D5C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40"/>
        <w:gridCol w:w="240"/>
      </w:tblGrid>
      <w:tr w:rsidR="004E6273">
        <w:trPr>
          <w:trHeight w:val="1020"/>
          <w:tblCellSpacing w:w="0" w:type="dxa"/>
        </w:trPr>
        <w:tc>
          <w:tcPr>
            <w:tcW w:w="0" w:type="auto"/>
            <w:vAlign w:val="center"/>
            <w:hideMark/>
          </w:tcPr>
          <w:p w:rsidR="004E6273" w:rsidRPr="00CC6D5C" w:rsidRDefault="00CC6D5C">
            <w:pPr>
              <w:pStyle w:val="a3"/>
            </w:pPr>
            <w:r w:rsidRPr="00CC6D5C">
              <w:t>Новое строительство на 2012-2016 гг.</w:t>
            </w:r>
          </w:p>
          <w:p w:rsidR="004E6273" w:rsidRPr="00CC6D5C" w:rsidRDefault="00CC6D5C">
            <w:pPr>
              <w:pStyle w:val="a3"/>
            </w:pPr>
            <w:r w:rsidRPr="00CC6D5C">
              <w:t>(млн кв. м общ. площади)</w:t>
            </w:r>
          </w:p>
        </w:tc>
        <w:tc>
          <w:tcPr>
            <w:tcW w:w="0" w:type="auto"/>
            <w:vAlign w:val="center"/>
            <w:hideMark/>
          </w:tcPr>
          <w:p w:rsidR="004E6273" w:rsidRDefault="00CC6D5C">
            <w:r>
              <w:t>Источники финансирования</w:t>
            </w:r>
          </w:p>
        </w:tc>
        <w:tc>
          <w:tcPr>
            <w:tcW w:w="0" w:type="auto"/>
            <w:vAlign w:val="center"/>
            <w:hideMark/>
          </w:tcPr>
          <w:p w:rsidR="004E6273" w:rsidRDefault="00CC6D5C">
            <w:r>
              <w:t>Расходы на 2012-2016 гг. (тыс. руб.)</w:t>
            </w:r>
          </w:p>
        </w:tc>
      </w:tr>
      <w:tr w:rsidR="004E627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4E6273" w:rsidRDefault="00CC6D5C">
            <w:r>
              <w:t>4,854</w:t>
            </w:r>
          </w:p>
        </w:tc>
        <w:tc>
          <w:tcPr>
            <w:tcW w:w="0" w:type="auto"/>
            <w:vAlign w:val="center"/>
            <w:hideMark/>
          </w:tcPr>
          <w:p w:rsidR="004E6273" w:rsidRDefault="00CC6D5C">
            <w:r>
              <w:t>Бюджет города Москвы</w:t>
            </w:r>
          </w:p>
        </w:tc>
        <w:tc>
          <w:tcPr>
            <w:tcW w:w="0" w:type="auto"/>
            <w:vAlign w:val="center"/>
            <w:hideMark/>
          </w:tcPr>
          <w:p w:rsidR="004E6273" w:rsidRDefault="00CC6D5C">
            <w:r>
              <w:t>52 271 245,3</w:t>
            </w:r>
          </w:p>
        </w:tc>
      </w:tr>
      <w:tr w:rsidR="004E627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4E6273" w:rsidRDefault="00CC6D5C">
            <w:r>
              <w:t>5,219</w:t>
            </w:r>
          </w:p>
        </w:tc>
        <w:tc>
          <w:tcPr>
            <w:tcW w:w="0" w:type="auto"/>
            <w:vAlign w:val="center"/>
            <w:hideMark/>
          </w:tcPr>
          <w:p w:rsidR="004E6273" w:rsidRDefault="00CC6D5C">
            <w:r>
              <w:t>Средства федерального бюджета</w:t>
            </w:r>
          </w:p>
        </w:tc>
        <w:tc>
          <w:tcPr>
            <w:tcW w:w="0" w:type="auto"/>
            <w:vAlign w:val="center"/>
            <w:hideMark/>
          </w:tcPr>
          <w:p w:rsidR="004E6273" w:rsidRDefault="00CC6D5C">
            <w:r>
              <w:t>56 202 501,6</w:t>
            </w:r>
          </w:p>
        </w:tc>
      </w:tr>
      <w:tr w:rsidR="004E6273">
        <w:trPr>
          <w:trHeight w:val="510"/>
          <w:tblCellSpacing w:w="0" w:type="dxa"/>
        </w:trPr>
        <w:tc>
          <w:tcPr>
            <w:tcW w:w="0" w:type="auto"/>
            <w:vAlign w:val="center"/>
            <w:hideMark/>
          </w:tcPr>
          <w:p w:rsidR="004E6273" w:rsidRDefault="00CC6D5C">
            <w:r>
              <w:t>16,527</w:t>
            </w:r>
          </w:p>
        </w:tc>
        <w:tc>
          <w:tcPr>
            <w:tcW w:w="0" w:type="auto"/>
            <w:vAlign w:val="center"/>
            <w:hideMark/>
          </w:tcPr>
          <w:p w:rsidR="004E6273" w:rsidRDefault="00CC6D5C">
            <w:r>
              <w:t>Средства юридических и физических лиц</w:t>
            </w:r>
          </w:p>
        </w:tc>
        <w:tc>
          <w:tcPr>
            <w:tcW w:w="0" w:type="auto"/>
            <w:vAlign w:val="center"/>
            <w:hideMark/>
          </w:tcPr>
          <w:p w:rsidR="004E6273" w:rsidRDefault="00CC6D5C">
            <w:r>
              <w:t>177 967 089,4</w:t>
            </w:r>
          </w:p>
        </w:tc>
      </w:tr>
      <w:tr w:rsidR="004E627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4E6273" w:rsidRDefault="00CC6D5C">
            <w:r>
              <w:t>Итого: 26,6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E6273" w:rsidRDefault="00CC6D5C">
            <w:r>
              <w:t>286440836,3</w:t>
            </w:r>
          </w:p>
        </w:tc>
      </w:tr>
    </w:tbl>
    <w:p w:rsidR="004E6273" w:rsidRPr="00CC6D5C" w:rsidRDefault="00CC6D5C">
      <w:pPr>
        <w:pStyle w:val="a3"/>
      </w:pPr>
      <w:r>
        <w:t>В последнее время Департамент городского имущества Москвы проводит открытые аукционы и торги на право заключения договора аренды земельного участка для реализации инвестиционных проектов. На аукцион выставляются земельные участки с разработанными техническими условиями и предельными параметрами строительства. Параметры земельных участков, выставляемых на аукционы, резко ограничивают направления в развитии и улучшении земельных участков и в выборе архитектурных и строительных решений, что не всегда выгодно для девелоперских компаний. Этим и сказывается небольшой интерес к таким земельным участкам: большинство лотов аукционов не реализованы, многие из них отправляются на доработку или снимаются с аукционов. Кроме того, те земельные участки, которые выставляются на открытые аукционы ни в какое сравнение не идут по своим финансовым и экономическим преференциям с земельными участками на закрытых аукционах.</w:t>
      </w:r>
    </w:p>
    <w:p w:rsidR="004E6273" w:rsidRDefault="00CC6D5C">
      <w:pPr>
        <w:pStyle w:val="a3"/>
      </w:pPr>
      <w:r>
        <w:t>По данным Департамента городского имущества Москвы для реализации на торгах права на заключение договора аренды земельных участков в 2013 году выставлено 485 земельных участков и 755 земельных участков по разным причинам были исключены для реализации на торгах. Исходя из этого, в 2013 году можно было бы реализовать 1240 лотов на аренду земельных участков. На практике с января по декабрь 2013 года был заключен только 51 договор на право аренды земельных участков.</w:t>
      </w:r>
    </w:p>
    <w:p w:rsidR="004E6273" w:rsidRDefault="00CC6D5C">
      <w:pPr>
        <w:pStyle w:val="a3"/>
      </w:pPr>
      <w:r>
        <w:t>Изменение экономической политики в области управления городскими объектами собственности (с приватизации на другие более эффективные способы использования объектов) привело к более обоснованной и дальновидной стратегия превращения имущественных объектов городской собственности в действенный рычаг стабилизации и оживления производственной и социальной сфер. В рамках новой экономической политики наиболее перспективным направлением социальноэкономического развития территории является государственно-частное партнерство (ГЧП).</w:t>
      </w:r>
    </w:p>
    <w:p w:rsidR="004E6273" w:rsidRDefault="00CC6D5C">
      <w:pPr>
        <w:pStyle w:val="a3"/>
      </w:pPr>
      <w:r>
        <w:t>Имеющиеся формы и методы ГЧП дают возможность, при сохранении важнейших объектов соглашений в городской собственности передавать часть правомочий собственника частному бизнесу. Прежде всего это сооружение, эксплуатация и содержание объектов социальной инфраструктуры, а также управление ими.</w:t>
      </w:r>
    </w:p>
    <w:p w:rsidR="004E6273" w:rsidRDefault="00CC6D5C">
      <w:pPr>
        <w:pStyle w:val="a3"/>
      </w:pPr>
      <w:r>
        <w:t>Выделим некоторые приоритетные направления для развития государственно-частного партнерства в регионах [2-4]:</w:t>
      </w:r>
    </w:p>
    <w:p w:rsidR="004E6273" w:rsidRDefault="00CC6D5C">
      <w:pPr>
        <w:pStyle w:val="a3"/>
      </w:pPr>
      <w:r>
        <w:t>обеспечение поддержки со стороны региональных органов власти реализации инвестиционных проектов в земельной сфере, способствующих социально-экономическому развитию;</w:t>
      </w:r>
    </w:p>
    <w:p w:rsidR="004E6273" w:rsidRDefault="00CC6D5C">
      <w:pPr>
        <w:pStyle w:val="a3"/>
      </w:pPr>
      <w:r>
        <w:t>разработка методов определения приоритетных направлений развития государственно- частного партнерства при управлении земельными ресурсами;</w:t>
      </w:r>
    </w:p>
    <w:p w:rsidR="004E6273" w:rsidRDefault="00CC6D5C">
      <w:pPr>
        <w:pStyle w:val="a3"/>
      </w:pPr>
      <w:r>
        <w:t>тщательная проработка инвестиционных проектов девелоперскими фирмами и государственными органами с активным участием рыночных институтов;</w:t>
      </w:r>
    </w:p>
    <w:p w:rsidR="004E6273" w:rsidRDefault="00CC6D5C">
      <w:pPr>
        <w:pStyle w:val="a3"/>
      </w:pPr>
      <w:r>
        <w:t>создание новых финансовых инструментов для привлечения в инфраструктурные проекты средств международных инвесторов.</w:t>
      </w:r>
    </w:p>
    <w:p w:rsidR="004E6273" w:rsidRDefault="00CC6D5C">
      <w:pPr>
        <w:pStyle w:val="a3"/>
      </w:pPr>
      <w:r>
        <w:t>Анализ практического применения форм ГЧП показывает, что концессионная модель доминирует среди других форм в основном по причине ограничения частной собственности на объекты соглашений. В основе выбора формы ГЧП лежат экономическая целесообразность и юридические преимущества, в частности:</w:t>
      </w:r>
    </w:p>
    <w:p w:rsidR="004E6273" w:rsidRDefault="00CC6D5C">
      <w:pPr>
        <w:pStyle w:val="a3"/>
      </w:pPr>
      <w:r>
        <w:t>заключение концессионных соглашений можно рассматривать в качестве одного из способов по переходу к рыночным формам государственного управления в развитии социально значимых программ;</w:t>
      </w:r>
    </w:p>
    <w:p w:rsidR="004E6273" w:rsidRDefault="00CC6D5C">
      <w:pPr>
        <w:pStyle w:val="a3"/>
      </w:pPr>
      <w:r>
        <w:t>частный сектор обеспечивает предпринимательскую инициативу, управление коммерческими рисками, экономию затрат и сжатые сроки по реализации проектов;</w:t>
      </w:r>
    </w:p>
    <w:p w:rsidR="004E6273" w:rsidRDefault="00CC6D5C">
      <w:pPr>
        <w:pStyle w:val="a3"/>
      </w:pPr>
      <w:r>
        <w:t>государственные органы управления обеспечивают согласование публичных интересов, дают долгосрочные гарантии установления справедливых тарифов, в случае если последние являются регулируемыми, осуществляют управление рисками, связанными с социально-экономическим развитием, а также устанавливают стандарты на качество услуг и реализуют контрольные функции.</w:t>
      </w:r>
    </w:p>
    <w:p w:rsidR="004E6273" w:rsidRDefault="00CC6D5C">
      <w:pPr>
        <w:pStyle w:val="a3"/>
      </w:pPr>
      <w:r>
        <w:t>На практике участие региональных и муниципальных органов власти в ГЧП может осуществляться в следующих направлениях:</w:t>
      </w:r>
    </w:p>
    <w:p w:rsidR="004E6273" w:rsidRDefault="00CC6D5C">
      <w:pPr>
        <w:pStyle w:val="a3"/>
      </w:pPr>
      <w:r>
        <w:t>регион предоставляет партнеру земельные участки, которые необходимы для осуществления партнером деятельности, предусмотренной соглашением, находящиеся в собственности региона, либо принадлежащие региону исключительные права в целях создания партнером объекта соглашения и осуществления партнером его последующей эксплуатации в порядке и на условиях, определенных соглашением, в течение определенного в соглашении срока, по истечении которого партнер передает его в собственность региона;</w:t>
      </w:r>
    </w:p>
    <w:p w:rsidR="004E6273" w:rsidRDefault="00CC6D5C">
      <w:pPr>
        <w:pStyle w:val="a3"/>
      </w:pPr>
      <w:r>
        <w:t>регион предоставляет партнеру земельные участки или иное недвижимое имущество, находящиеся в собственности региона либо принадлежащие региону исключительные права в целях осуществления партнером реконструкции объекта соглашения и осуществления его последующей эксплуатации в порядке и на условиях, определенных соглашением, в течение определенного в соглашении срока, по истечении которого партнер передает его в собственность региона;</w:t>
      </w:r>
    </w:p>
    <w:p w:rsidR="004E6273" w:rsidRDefault="00CC6D5C">
      <w:pPr>
        <w:pStyle w:val="a3"/>
      </w:pPr>
      <w:r>
        <w:t>регион предоставляет партнеру земельные участки или иное недвижимое имущество, находящиеся в собственности региона, либо принадлежащие региону исключительные права в целях создания партнером объекта соглашения и осуществления партнером его последующей эксплуатации в течение определенного в соглашении срока в порядке и на условиях определенных соглашением;</w:t>
      </w:r>
    </w:p>
    <w:p w:rsidR="004E6273" w:rsidRDefault="00CC6D5C">
      <w:pPr>
        <w:pStyle w:val="a3"/>
      </w:pPr>
      <w:r>
        <w:t>регион передает партнеру земельные участки или иное недвижимое имущество, находящиеся в собственности региона, в целях осуществления партнером реконструкции и последующей эксплуатации в порядке и на условиях, определенных соглашением, объекта соглашения, право собственности на который будет принадлежать партнеру;</w:t>
      </w:r>
    </w:p>
    <w:p w:rsidR="004E6273" w:rsidRDefault="00CC6D5C">
      <w:pPr>
        <w:pStyle w:val="a3"/>
      </w:pPr>
      <w:r>
        <w:t>регион предоставляет партнеру определенные соглашением исключительные права или объект соглашения в целях предоставления партнером в порядке и на условиях, определенных соглашением, товаров, работ или услуг потребителям с использованием объекта соглашения;</w:t>
      </w:r>
    </w:p>
    <w:p w:rsidR="004E6273" w:rsidRDefault="00CC6D5C">
      <w:pPr>
        <w:pStyle w:val="a3"/>
      </w:pPr>
      <w:r>
        <w:t>регион предоставляет партнеру земельные участки или иное недвижимое имущество, находящиеся в собственности региона либо принадлежащие региону исключительные права в целях создания партнером объекта соглашения, по истечении которого партнер передает объект соглашения в собственность региона;</w:t>
      </w:r>
    </w:p>
    <w:p w:rsidR="004E6273" w:rsidRDefault="00CC6D5C">
      <w:pPr>
        <w:pStyle w:val="a3"/>
      </w:pPr>
      <w:r>
        <w:t>регион предоставляет партнеру земельные участки или иное недвижимое имущество, находящиеся в собственности региона либо принадлежащие региону исключительные права в целях осуществления партнером реконструкции объекта соглашения, по истечении которого партнер передает объект соглашения в собственность региона;</w:t>
      </w:r>
    </w:p>
    <w:p w:rsidR="004E6273" w:rsidRDefault="00CC6D5C">
      <w:pPr>
        <w:pStyle w:val="a3"/>
      </w:pPr>
      <w:r>
        <w:t>в иных формах, предусмотренных Федеральным законом РФ «О концессионных соглашениях», законами региона, а также нормативными правовыми актами Правительства региона [1].</w:t>
      </w:r>
    </w:p>
    <w:p w:rsidR="004E6273" w:rsidRDefault="00CC6D5C">
      <w:pPr>
        <w:pStyle w:val="a3"/>
      </w:pPr>
      <w:r>
        <w:t>Список литературы</w:t>
      </w:r>
    </w:p>
    <w:p w:rsidR="004E6273" w:rsidRDefault="00CC6D5C">
      <w:pPr>
        <w:pStyle w:val="a3"/>
      </w:pPr>
      <w:r>
        <w:t>Закон Санкт-Петербурга № 552-64 «Об участии Санкт-Петербурга в государственно-частных партнерствах» от 24 октября 2000 г.</w:t>
      </w:r>
    </w:p>
    <w:p w:rsidR="004E6273" w:rsidRDefault="00CC6D5C">
      <w:pPr>
        <w:pStyle w:val="a3"/>
      </w:pPr>
      <w:r>
        <w:t>Постановление Правительства Москвы № 64-1III Государственная программа «Имущественно-земельная политика города Москвы на 2012-2016 гг.» от 22.02.2012.</w:t>
      </w:r>
    </w:p>
    <w:p w:rsidR="004E6273" w:rsidRDefault="00CC6D5C">
      <w:pPr>
        <w:pStyle w:val="a3"/>
      </w:pPr>
      <w:r>
        <w:t>Постановление Правительства Санкт-Петербурга № 30 «О Концепции управления недвижимостью Санкт- Петербурга» от 04.06.2001.</w:t>
      </w:r>
    </w:p>
    <w:p w:rsidR="004E6273" w:rsidRDefault="00CC6D5C">
      <w:pPr>
        <w:pStyle w:val="a3"/>
      </w:pPr>
      <w:r>
        <w:t>Постановление Правительства Московской области № 1024/38 «Об утверждении долгосрочной целевой программы Московской области «Развитие имущественно-земельных отношений в Московской области на 2012-2015 годы» от 16 сентября 2011 г.</w:t>
      </w:r>
    </w:p>
    <w:p w:rsidR="004E6273" w:rsidRDefault="00CC6D5C">
      <w:pPr>
        <w:pStyle w:val="a3"/>
      </w:pPr>
      <w:r>
        <w:t>Постановление Правительства Москвы № 460-1III «Государственная Программа г. Москвы «Градостроительная политика» на 2012-2016 гг.» от 3 октября 2011 г.</w:t>
      </w:r>
      <w:bookmarkStart w:id="0" w:name="_GoBack"/>
      <w:bookmarkEnd w:id="0"/>
    </w:p>
    <w:sectPr w:rsidR="004E62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6D5C"/>
    <w:rsid w:val="004E6273"/>
    <w:rsid w:val="00CC6D5C"/>
    <w:rsid w:val="00ED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F45549-F7E0-4225-94C3-64B36DF2F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1540</Words>
  <Characters>8780</Characters>
  <Application>Microsoft Office Word</Application>
  <DocSecurity>0</DocSecurity>
  <Lines>73</Lines>
  <Paragraphs>20</Paragraphs>
  <ScaleCrop>false</ScaleCrop>
  <Company>diakov.net</Company>
  <LinksUpToDate>false</LinksUpToDate>
  <CharactersWithSpaces>10300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Государственно-частное партнерство как механизм совершенствования системы управления региональными земельными ресурсами</dc:title>
  <dc:subject/>
  <dc:creator>Irina</dc:creator>
  <cp:keywords/>
  <dc:description/>
  <cp:lastModifiedBy>Irina</cp:lastModifiedBy>
  <cp:revision>2</cp:revision>
  <dcterms:created xsi:type="dcterms:W3CDTF">2014-09-21T15:46:00Z</dcterms:created>
  <dcterms:modified xsi:type="dcterms:W3CDTF">2014-09-21T15:46:00Z</dcterms:modified>
</cp:coreProperties>
</file>