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0C" w:rsidRPr="002A3E73" w:rsidRDefault="0045510C" w:rsidP="00AB7199">
      <w:pPr>
        <w:pStyle w:val="a5"/>
        <w:ind w:firstLine="709"/>
        <w:jc w:val="both"/>
        <w:rPr>
          <w:rFonts w:ascii="Times New Roman" w:hAnsi="Times New Roman" w:cs="Times New Roman"/>
          <w:b/>
          <w:bCs/>
        </w:rPr>
      </w:pPr>
      <w:r w:rsidRPr="002A3E73">
        <w:rPr>
          <w:rFonts w:ascii="Times New Roman" w:hAnsi="Times New Roman" w:cs="Times New Roman"/>
          <w:b/>
          <w:bCs/>
        </w:rPr>
        <w:t>Налоговая реформа 1998 года в Турции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</w:p>
    <w:p w:rsidR="0045510C" w:rsidRPr="002A3E73" w:rsidRDefault="0045510C" w:rsidP="00AB7199">
      <w:pPr>
        <w:pStyle w:val="a3"/>
        <w:ind w:firstLine="709"/>
        <w:rPr>
          <w:rFonts w:ascii="Times New Roman" w:hAnsi="Times New Roman" w:cs="Times New Roman"/>
        </w:rPr>
      </w:pPr>
      <w:r w:rsidRPr="002A3E73">
        <w:rPr>
          <w:rFonts w:ascii="Times New Roman" w:hAnsi="Times New Roman" w:cs="Times New Roman"/>
        </w:rPr>
        <w:t>Нынешняя налоговая система Турции сложилась в ходе более чем 75–летних преобразований, являвшихся составной частью европеизации политических и социально–экономических институтов, их эволюции из полуфеодальных и шариатских в рыночные и светские.</w:t>
      </w:r>
    </w:p>
    <w:p w:rsidR="0045510C" w:rsidRPr="002A3E73" w:rsidRDefault="0045510C" w:rsidP="00AB7199">
      <w:pPr>
        <w:pStyle w:val="a3"/>
        <w:ind w:firstLine="709"/>
        <w:rPr>
          <w:rFonts w:ascii="Times New Roman" w:hAnsi="Times New Roman" w:cs="Times New Roman"/>
        </w:rPr>
      </w:pPr>
      <w:r w:rsidRPr="002A3E73">
        <w:rPr>
          <w:rFonts w:ascii="Times New Roman" w:hAnsi="Times New Roman" w:cs="Times New Roman"/>
        </w:rPr>
        <w:t>Турецкие налоги в республиканский период неоднократно подвергались реформированию – некоторые из налоговых реформ явились вехами не только в совершенствовании финансово</w:t>
      </w:r>
      <w:r w:rsidR="005A5149" w:rsidRPr="002A3E73">
        <w:rPr>
          <w:rFonts w:ascii="Times New Roman" w:hAnsi="Times New Roman" w:cs="Times New Roman"/>
        </w:rPr>
        <w:t>-</w:t>
      </w:r>
      <w:r w:rsidRPr="002A3E73">
        <w:rPr>
          <w:rFonts w:ascii="Times New Roman" w:hAnsi="Times New Roman" w:cs="Times New Roman"/>
        </w:rPr>
        <w:t>бюджетной сферы, но и всего государственного аппарата. Такой по своему содержанию и последствиям была отмена в 1925 г. ашара – феодальной десятины, краеугольного камня шариатской налоговой системы. Не меньшее значение в модернизации и европеизации финансово–экономического хозяйства страны сыграли реформы подоходных налогов, преобразованных в 1949–1950 гг. по западным образцам (за основу были взяты западногерманские подоходный и корпоративный налоги), а в 1985 г. – введение налога на добавленную стоимость (НДС). Эти нововведения сопровождались упразднением устаревших и малоэффективных налогов или же их передачей в распоряжение местных бюджетов. Наконец, в 1998 г. в Турции был принят Закон о налоговой реформе, в определенной мере являющийся итоговым.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Основными целями проводившихся в Турции налоговых преобразований было: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1) общее повышение фискальной эффективности налоговой системы в связи с ростом государственных расходов;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2) использование налогов в качестве инструмента экономического и социального регулирования в соответствии с целями общей стратегии развития (поддержка национального производства, промышленный протекционизм, обеспечение социально–политической стабильности и др.);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3) сближение турецкой налоговой системы с налоговыми системами стран Запада – основных партнеров Турции по внешним экономическим связям, процесс такого сближения начался уже в 19 в. с вовлечением Османской империи в орбиту колониальной политики западноевропейских держав – уже тогда в Турецкую налоговую систему были внедрены некоторые элементы европейских налогов.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Несмотря на существенное осовременивание, турецкая налоговая система в последние десятилетия все менее справлялась со своей главной задачей – мобилизацией денежных средств для финансирования бюджетных расходов. Рост экономического потенциала страны не сопровождался адекватным расширением налоговой квоты (налогового перераспределения ВВП).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Во второй половине 90</w:t>
      </w:r>
      <w:r w:rsidR="002206C2" w:rsidRPr="002A3E73">
        <w:rPr>
          <w:sz w:val="28"/>
          <w:szCs w:val="28"/>
        </w:rPr>
        <w:t>-</w:t>
      </w:r>
      <w:r w:rsidRPr="002A3E73">
        <w:rPr>
          <w:sz w:val="28"/>
          <w:szCs w:val="28"/>
        </w:rPr>
        <w:t>х гг. она составляла лишь 15% для налогов центрального бюджета, 18% – с учетом местных налогов и 22% – вместе с выплатами в систему социального страхования. В странах ЕС эти показатели в среднем в два раза выше </w:t>
      </w:r>
      <w:r w:rsidRPr="002A3E73">
        <w:rPr>
          <w:sz w:val="28"/>
          <w:szCs w:val="28"/>
          <w:vertAlign w:val="superscript"/>
        </w:rPr>
        <w:t>1</w:t>
      </w:r>
      <w:r w:rsidRPr="002A3E73">
        <w:rPr>
          <w:sz w:val="28"/>
          <w:szCs w:val="28"/>
        </w:rPr>
        <w:t>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Основные причины низкой фискальной эффективности турецких налогов заключаются в следующем: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– главным объективным ограничителем роста налогового перераспределения ВВП в Турции остается невысокий абсолютный и среднедушевой размер последнего – во второй половине 90–х гг. ВВП страны составлял около 190 млрд. долл., а средне–душевой доход 3000 долл. </w:t>
      </w:r>
      <w:r w:rsidRPr="002A3E73">
        <w:rPr>
          <w:sz w:val="28"/>
          <w:szCs w:val="28"/>
          <w:vertAlign w:val="superscript"/>
        </w:rPr>
        <w:t>2</w:t>
      </w:r>
      <w:r w:rsidRPr="002A3E73">
        <w:rPr>
          <w:sz w:val="28"/>
          <w:szCs w:val="28"/>
        </w:rPr>
        <w:t>, что на несколько порядков меньше, чем в развитых странах с высокой налоговой квотой;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– преобладание в экономике мелкотоварного сектора, доходы которого распылены, слабо поддаются учету и регистрации, их трудно охватить налогами, особенно прямыми; большие масштабы теневой экономики; уклонения от налогов, в том числе и их неуплата на законных основаниях, как следствия политики протекционизма по отношению к частному предпринимательству;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– неудовлетворительное состояние налогового контроля и налогового аппарата, не отвечающая требованиям квалификация и нередкая коррумпированность его кадров.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Слабая фискальная эффективность налогов (а ими в Турции обеспечивается около 85% обычных доходов центрального и около 60% местных бюджетов) в условиях опережающего и непрерывного расширения государственных расходов заставляет правительство широко польз</w:t>
      </w:r>
      <w:r w:rsidR="00581F98">
        <w:rPr>
          <w:sz w:val="28"/>
          <w:szCs w:val="28"/>
        </w:rPr>
        <w:t xml:space="preserve">оваться заемными средствами для </w:t>
      </w:r>
      <w:r w:rsidRPr="002A3E73">
        <w:rPr>
          <w:sz w:val="28"/>
          <w:szCs w:val="28"/>
        </w:rPr>
        <w:t>финансирования хронических дефицитов, величина которых часто в два–три раза превышает установленную международными финансовыми организациями (МВФ и др.) максимально допустимую норму в 3% ВВП. </w:t>
      </w:r>
      <w:r w:rsidRPr="002A3E73">
        <w:rPr>
          <w:sz w:val="28"/>
          <w:szCs w:val="28"/>
          <w:vertAlign w:val="superscript"/>
        </w:rPr>
        <w:t>3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Привлечение внутренних и внешних займов для финансирования бюджетных расходов привело к стремительному росту государственного долга, платежи по погашению основных сумм и процентов по которому превратились в 90–е гг. в основную статью бюджетных расходов.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Как видно из приводимых ниже официальных данных, стремительно растущая долговая кабала привела к тому, что в 90–е годы бюджетные платежи по погашению основных сумм и процентов сравнялись, а затем стали превышать налоговые доходы–в 1996 г. уже на целый порядок </w:t>
      </w:r>
      <w:r w:rsidRPr="002A3E73">
        <w:rPr>
          <w:sz w:val="28"/>
          <w:szCs w:val="28"/>
          <w:vertAlign w:val="superscript"/>
        </w:rPr>
        <w:t>4</w:t>
      </w:r>
      <w:r w:rsidRPr="002A3E73">
        <w:rPr>
          <w:sz w:val="28"/>
          <w:szCs w:val="28"/>
        </w:rPr>
        <w:t>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 качестве другого источника бюджетного финансирования использовалась практически неограниченная денежная эмиссия: ее прямым следствием стала гиперинфляция (среднегодовой рост цен в Турции в 90–е гг. составил 80–90%), создавшая обстановку финансово–экономической нестабильности с такими ее негативными последствиями, как широкомасштабное переключение внутренних и привлекаемых извне инвестиций в спекулятивные, в том числе биржевые операции, скупку земли и иной недвижимости, усиление неравномерности в распределении доходов и углубление пропасти между богатством и бедностью, размывание средних слоев и т.д. Все это тормозило продвижение страны по пути экономического и общественного прогресса, вело к нагнетанию социально–политической напряженности, усиливало позиции исламистов и иных политических сил, противящихся демократическим и рыночным преобразованиям.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Обострение политической борьбы, в том числе между политическими партиями, входящими во власть, явилось одной из основных причин задержки в проведении налоговой реформы, о необходимости которой в стране заговорили уже в начале 90–х гг. Не смогло провести такую реформу и правительство Т.</w:t>
      </w:r>
      <w:r w:rsidR="002206C2" w:rsidRPr="002A3E73">
        <w:rPr>
          <w:sz w:val="28"/>
          <w:szCs w:val="28"/>
        </w:rPr>
        <w:t xml:space="preserve"> </w:t>
      </w:r>
      <w:r w:rsidRPr="002A3E73">
        <w:rPr>
          <w:sz w:val="28"/>
          <w:szCs w:val="28"/>
        </w:rPr>
        <w:t>Чиллер в период финансово–экономического кризиса 1994–1995 гг., несмотря на то, что такая реформа входила в его стабилизационную программу, принятую по требованию МВФ. Учитывая рост бюджетных дефицитов, обострение проблем с изысканием средств для выполнения долговых обязательств, коалиционное правительство ПС–НДП во главе с М.</w:t>
      </w:r>
      <w:r w:rsidR="002206C2" w:rsidRPr="002A3E73">
        <w:rPr>
          <w:sz w:val="28"/>
          <w:szCs w:val="28"/>
        </w:rPr>
        <w:t xml:space="preserve"> </w:t>
      </w:r>
      <w:r w:rsidRPr="002A3E73">
        <w:rPr>
          <w:sz w:val="28"/>
          <w:szCs w:val="28"/>
        </w:rPr>
        <w:t>Йылмазом – опять–таки под сильнейшим давлением МВФ, который в качестве условия предоставления Турции кредитов в период 1998–2000 гг. продолжал настаивать на безотлагательном проведении налоговой реформы, – приступило к ее подготовке. Но прежде чем перейти к конкретному рассмотрению этой реформы, следует кратко охарактеризовать ныне действующую налоговую систему Турции.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Как уже отмечалась, в структурном отношении турецкая налоговая система уже в целом соответствует принятым в мировой практике большинства развитых и развивающихся стран с рыночной экономикой стандартам. Налоговые поступления в центральный бюджет обеспечиваются сравнительно небольшим числом современных налогов – подоходными (личными и корпоративным), НДС и некоторыми другими (см. таблицу в приложении). Малодоходные налоги, включая налоги на недвижимое имущество, ряд акцизов и сборов, среди которых можно встретить реликтовые, почти средневековые формы, в разное время были переданы из центрального в бюджеты муниципальных, провинциальных и деревенских органов управления.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 80–90–е гг., в связи с переводом турецкой экономики целиком на рыночные принципы, государство существенно усиливает поддержку частного предпринимательства, в том числе и через предоставление частичного, а в некоторых случаях полного освобождения от уплаты подоходных налогов, а также НДС и таможенных пошлин. Рост налоговых поступлений в бюджет в возрастающей мере обеспечивается за счет косвенных налогов, ставки которых повышаются, также как и расширяется круг облагаемых ими товаров и услуг. За период с 1980 по 1996 гг. доля налогов на прибыль и прирост капитала в общей массе налоговых поступлений в центральный бюджет снизилась с 61,8 до 38,6% </w:t>
      </w:r>
      <w:r w:rsidRPr="002A3E73">
        <w:rPr>
          <w:sz w:val="28"/>
          <w:szCs w:val="28"/>
          <w:vertAlign w:val="superscript"/>
        </w:rPr>
        <w:t>5</w:t>
      </w:r>
      <w:r w:rsidRPr="002A3E73">
        <w:rPr>
          <w:sz w:val="28"/>
          <w:szCs w:val="28"/>
        </w:rPr>
        <w:t>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Базовым косвенным налогом стал введенный в 1985 г. НДС, который был распространен на большинство товаров и услуг как национального, так и зарубежного происхождения. В 1996 г. им была обеспечена треть всех налоговых поступлений в казну, в том числе – 18,6% от обложения местных и 14,7% – импортных товаров и услуг. Ставки НДС в первое десятилетие после его введения неоднократно пересматривались: для бюджета максимальные ставки НДС представляли наиболее простой способ мобилизации доходов, но повышению ставок активно противились объединения частного сектора и профсоюзы. В результате достигнутого компромисса во второй половине 90–х гг. общая ставка по НДС составляла 15% с дифференциацией в зависимости от вида товара и услуги </w:t>
      </w:r>
      <w:r w:rsidRPr="002A3E73">
        <w:rPr>
          <w:sz w:val="28"/>
          <w:szCs w:val="28"/>
          <w:vertAlign w:val="superscript"/>
        </w:rPr>
        <w:t>6</w:t>
      </w:r>
      <w:r w:rsidRPr="002A3E73">
        <w:rPr>
          <w:sz w:val="28"/>
          <w:szCs w:val="28"/>
        </w:rPr>
        <w:t>. По минимальным ставкам – от 1 до 5% – облагаются товары массового потребления и некоторые необработанные сельскохозяйственные продукты; сравнительно невысокими – от 6 до 12% – являются ставки на продукцию производственного назначения (полуфабрикаты, технические изделия, удобрения и ядохимикаты и др.); по ставкам до 15% облагаются потребительские товары длительного пользования, от 20 до 40% и более – предметы роскоши. Высокой фискальной эффективности НДС в Турции способствует повсеместное внедрение кассовых аппаратов, а также частичная возвратность налога потребителям через систему чеков. Помимо НДС, действуют налоги на потребление нефтепродуктов (бензина, дизельного топлива и др. продуктов, используемых владельцами транспортных средств), на операции банков и страховых компаний, на покупку автомобилей, гербовой и некоторые др. сборы. Одной их характерных тенденций в эволюции турецкой налоговой системы является падение роли таможенных пошлин, взимаемых с импорта, – экспорт турецких товаров не только ими не облагается, но напротив, поощряется в форме частичного возврата внутренних налогов. Данная тенденция связана с политикой активного включения страны в мировой рынок, в первую очередь, – с условиями ее ассоциации в ЕС, а с 1996 г. – с принятием ее в Таможенный союз ЕС. Кроме того, подавляющая часть ввозимых в страну средств производства, доминирующих в импорте, либо вообще освобождена от импортной пошлины, либо облагается по минимальным ставкам. Тем не менее, это не означает утрату фискальной роли налогов на внешнеторговые операции – они обеспечивают около 18% поступлений в центральный бюджет, т.к. помимо таможенной пошлины с них взимают НДС, а также специальные отчисления в пользу внебюджетных фондов.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 результате политики развития косвенных налогов их удельный вес в стоимости товаров и услуг более чем удвоился по сравнению с 1980 г. – с 5,1% до 11,4% в 1996 г. </w:t>
      </w:r>
      <w:r w:rsidRPr="002A3E73">
        <w:rPr>
          <w:sz w:val="28"/>
          <w:szCs w:val="28"/>
          <w:vertAlign w:val="superscript"/>
        </w:rPr>
        <w:t>7</w:t>
      </w:r>
      <w:r w:rsidRPr="002A3E73">
        <w:rPr>
          <w:sz w:val="28"/>
          <w:szCs w:val="28"/>
        </w:rPr>
        <w:t>. Этот средний показатель значительно выше для товаров массового спроса, в цену которых входят не только НДС и другие центральные налоги, но и акцизы и сборы, взимаемые местными властями, в первую очередь – муниципальными. Усиление косвенных налогов наряду с инфляцией – важный фактор роста дороговизны в стране.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Среди прямых налогов основными в Турции являются подоходные – личный и корпоративный, их вклад в налоговые поступления в казну составлял 30% и 8,4% соответственно.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 течение всего периода после введения в Турции личного подоходного налога его особенностью было то, что, благодаря высокой начальной ставке (25%), свыше половины всех поступлений от него обеспечивали вычеты из заработной платы и жалования. Эта особенность личного подоходного налога постоянно служила примером социальной несправедливости при критике налоговой политики власти – в 1996 г., например, из 8700 тыс. общего числа плательщиков налога 70% были лица наемного труда, их доля в ВВП составляла 27%, а налоговое бремя – 44% </w:t>
      </w:r>
      <w:r w:rsidRPr="002A3E73">
        <w:rPr>
          <w:sz w:val="28"/>
          <w:szCs w:val="28"/>
          <w:vertAlign w:val="superscript"/>
        </w:rPr>
        <w:t>8</w:t>
      </w:r>
      <w:r w:rsidRPr="002A3E73">
        <w:rPr>
          <w:sz w:val="28"/>
          <w:szCs w:val="28"/>
        </w:rPr>
        <w:t>.</w:t>
      </w:r>
    </w:p>
    <w:p w:rsidR="0045510C" w:rsidRDefault="0045510C" w:rsidP="00AB7199">
      <w:pPr>
        <w:pStyle w:val="a3"/>
        <w:ind w:firstLine="709"/>
        <w:rPr>
          <w:rFonts w:ascii="Times New Roman" w:hAnsi="Times New Roman" w:cs="Times New Roman"/>
        </w:rPr>
      </w:pPr>
      <w:r w:rsidRPr="002A3E73">
        <w:rPr>
          <w:rFonts w:ascii="Times New Roman" w:hAnsi="Times New Roman" w:cs="Times New Roman"/>
        </w:rPr>
        <w:t>Налоговая обязанность по личному подоходному налогу распространяется на резидентов и нерезидентов. Физические лица –резиденты – раз в год подают декларацию в налоговую службу (дефтердарлык) о своем годовом совокупном доходе. Нерезиденты платят подоходный налог только с дохода, полученного из турецких источников. Обложение подоходным налогом осуществляется по прогрессивной шкале, которая с 80–х гг. не менялась, периодически пересматривалась лишь изменявшаяся из–за хронической инфляции сумма облагаемого дохода:</w:t>
      </w:r>
    </w:p>
    <w:p w:rsidR="00581F98" w:rsidRPr="002A3E73" w:rsidRDefault="00581F98" w:rsidP="00AB7199">
      <w:pPr>
        <w:pStyle w:val="a3"/>
        <w:ind w:firstLine="709"/>
        <w:rPr>
          <w:rFonts w:ascii="Times New Roman" w:hAnsi="Times New Roman" w:cs="Times New Roman"/>
        </w:rPr>
      </w:pPr>
    </w:p>
    <w:p w:rsidR="0045510C" w:rsidRPr="00581F98" w:rsidRDefault="0045510C" w:rsidP="00AB719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3E73">
        <w:rPr>
          <w:b/>
          <w:bCs/>
          <w:sz w:val="28"/>
          <w:szCs w:val="28"/>
        </w:rPr>
        <w:t>Ставки личного подохо</w:t>
      </w:r>
      <w:r w:rsidR="00581F98">
        <w:rPr>
          <w:b/>
          <w:bCs/>
          <w:sz w:val="28"/>
          <w:szCs w:val="28"/>
        </w:rPr>
        <w:t>дного налога в Турции в 1997 г.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2036"/>
        <w:gridCol w:w="4002"/>
      </w:tblGrid>
      <w:tr w:rsidR="0045510C" w:rsidRPr="002A3E73">
        <w:trPr>
          <w:trHeight w:val="301"/>
        </w:trPr>
        <w:tc>
          <w:tcPr>
            <w:tcW w:w="5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Сумма облагаемого годового дохода,</w:t>
            </w:r>
            <w:r w:rsidR="00DB0795" w:rsidRPr="002A3E73">
              <w:t xml:space="preserve"> </w:t>
            </w:r>
            <w:r w:rsidRPr="002A3E73">
              <w:t>млн. лир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Ставка налога,</w:t>
            </w:r>
            <w:r w:rsidR="00DB0795" w:rsidRPr="002A3E73">
              <w:t xml:space="preserve"> </w:t>
            </w:r>
            <w:r w:rsidRPr="002A3E73">
              <w:t>%</w:t>
            </w:r>
          </w:p>
        </w:tc>
      </w:tr>
      <w:tr w:rsidR="0045510C" w:rsidRPr="002A3E73">
        <w:trPr>
          <w:trHeight w:val="59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0 – 500</w:t>
            </w:r>
          </w:p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25</w:t>
            </w:r>
          </w:p>
        </w:tc>
      </w:tr>
      <w:tr w:rsidR="0045510C" w:rsidRPr="002A3E73">
        <w:trPr>
          <w:trHeight w:val="343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500 – 1000</w:t>
            </w:r>
          </w:p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30</w:t>
            </w:r>
          </w:p>
        </w:tc>
      </w:tr>
      <w:tr w:rsidR="0045510C" w:rsidRPr="002A3E73">
        <w:trPr>
          <w:trHeight w:val="343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1000 – 2000</w:t>
            </w:r>
          </w:p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35</w:t>
            </w:r>
          </w:p>
        </w:tc>
      </w:tr>
      <w:tr w:rsidR="0045510C" w:rsidRPr="002A3E73">
        <w:trPr>
          <w:trHeight w:val="343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2000 – 4000</w:t>
            </w:r>
          </w:p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40</w:t>
            </w:r>
          </w:p>
        </w:tc>
      </w:tr>
      <w:tr w:rsidR="0045510C" w:rsidRPr="002A3E73">
        <w:trPr>
          <w:trHeight w:val="343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4000 – 8000</w:t>
            </w:r>
          </w:p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45</w:t>
            </w:r>
          </w:p>
        </w:tc>
      </w:tr>
      <w:tr w:rsidR="0045510C" w:rsidRPr="002A3E73">
        <w:trPr>
          <w:trHeight w:val="343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8000 – 16000</w:t>
            </w:r>
          </w:p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50</w:t>
            </w:r>
          </w:p>
        </w:tc>
      </w:tr>
      <w:tr w:rsidR="0045510C" w:rsidRPr="002A3E73">
        <w:trPr>
          <w:trHeight w:val="343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выше 16000</w:t>
            </w:r>
          </w:p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55</w:t>
            </w:r>
          </w:p>
        </w:tc>
      </w:tr>
    </w:tbl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Ставка корпоративного налога, взимаемого с юридических лиц, первоначально составляла 25% (в некоторых случаях она снижалась до 20%) одинаково для резидентов и нерезидентов. Однако введение дополнительных удержаний и надбавок привело к тому, что реальный корпоративный налог достиг в 90–е гг. 44%. Взимание корпоративного налога осуществляется на основе ежегодно подаваемых в налоговую службу деклараций от частных и государственных компаний, кооперативов и некоторых др. объединений и фондов. Сумма облагаемого дохода устанавливается после вычета из валового дохода юридических лиц целого ряда издержек, прибылей, пожертвований и т.п. Величина облагаемого дохода снижается еще более в случае, если юридическое лицо обладает так называемым поощрительным сертификатом (teşvikbelgesi). Этот документ, выдаваемый властями компаниям–инвесторам, действующим в приоритетных отраслях и регионах, предоставляет им целый ряд налоговых скидок и освобождений и, кроме того, дает им право пользоваться льготными кредитами государственных банков, скидками по транспортным и энерготарифам </w:t>
      </w:r>
      <w:r w:rsidRPr="002A3E73">
        <w:rPr>
          <w:sz w:val="28"/>
          <w:szCs w:val="28"/>
          <w:vertAlign w:val="superscript"/>
        </w:rPr>
        <w:t>9</w:t>
      </w:r>
      <w:r w:rsidRPr="002A3E73">
        <w:rPr>
          <w:sz w:val="28"/>
          <w:szCs w:val="28"/>
        </w:rPr>
        <w:t>. Чтобы получить такой сертификат, компания должна отвечать ряду требований не только в отношении ее капитала, но и используемых технологий, экспортного потенциала, создания рабочих мест. Степень предоставляемых налоговых и иных льгот в большой мере зависит от территориального размещения инвестиций. Соответственно этому требованию, территория страны подразделяется на 4 категории: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1 – «нормальные регионы», включающие западную и частично центральную части Анатолии;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2 – «развитые регионы», включающие зоны крупнейших городов и торгово</w:t>
      </w:r>
      <w:r w:rsidR="00DB0795" w:rsidRPr="002A3E73">
        <w:rPr>
          <w:sz w:val="28"/>
          <w:szCs w:val="28"/>
        </w:rPr>
        <w:t>-</w:t>
      </w:r>
      <w:r w:rsidRPr="002A3E73">
        <w:rPr>
          <w:sz w:val="28"/>
          <w:szCs w:val="28"/>
        </w:rPr>
        <w:t>промышленных центров – Стамбула, Анкары, Измира, Коджаэли, Аданы и Бурсы;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Инвесторы данных территорий пользуются меньшими льготами, чем те, которые вкладывают капиталы в: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3 – регионы первой степени приоритетности;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4 – регионы второй степени приоритетности.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 эти две последние категории включены наиболее отсталые восточные и юго</w:t>
      </w:r>
      <w:r w:rsidR="002206C2" w:rsidRPr="002A3E73">
        <w:rPr>
          <w:sz w:val="28"/>
          <w:szCs w:val="28"/>
        </w:rPr>
        <w:t>-</w:t>
      </w:r>
      <w:r w:rsidRPr="002A3E73">
        <w:rPr>
          <w:sz w:val="28"/>
          <w:szCs w:val="28"/>
        </w:rPr>
        <w:t>восточные анатолийские регионы – здесь вложение капиталов, предпринимательская деятельность пользуются максимальным поощрением государства, что объясняется целым комплексом социально–экономических и политических причин, в первую очередь, необходимостью хозяйственного освоения этих территорий, разработки их богатых минеральных ресурсов, созданием рабочих мест и сокращением миграции населения в более развитые регионы. Не менее важна для установления налоговых и иных льгот степень приоритетности отраслей и производств (их списки публикуются в годовых правительственных программах развития), в которые вкладываются инвестиции. К числу приоритетных в последние десятилетия отнесены экспорториентированные отрасли обрабатывающей промышленности, индустрия туризма, судостроение и автомобилестроение, электроника, создание агропромышленных комплексов и интенсификация сельского хозяйства, сфера образования, здравоохранение, охрана окружающей среды, проведение НИОКР.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 зависимости от территориальной и производственной характеристик (в соответствии с законодательством на 1995 г.) инвесторы в Турции (местные и иностранные) пользуются следующими скидками при определении необлагаемой части дохода: </w:t>
      </w:r>
      <w:r w:rsidRPr="002A3E73">
        <w:rPr>
          <w:sz w:val="28"/>
          <w:szCs w:val="28"/>
          <w:vertAlign w:val="superscript"/>
        </w:rPr>
        <w:t>10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8"/>
        <w:gridCol w:w="2061"/>
        <w:gridCol w:w="1607"/>
      </w:tblGrid>
      <w:tr w:rsidR="0045510C" w:rsidRPr="002A3E73">
        <w:trPr>
          <w:trHeight w:val="588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Территориальная и отраслевая</w:t>
            </w:r>
            <w:r w:rsidR="00DB0795" w:rsidRPr="002A3E73">
              <w:t xml:space="preserve"> </w:t>
            </w:r>
            <w:r w:rsidRPr="002A3E73">
              <w:t>характеристика инвестиций</w:t>
            </w:r>
          </w:p>
        </w:tc>
        <w:tc>
          <w:tcPr>
            <w:tcW w:w="3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Инвестиционная скидка,</w:t>
            </w:r>
            <w:r w:rsidR="00DB0795" w:rsidRPr="002A3E73">
              <w:t xml:space="preserve"> </w:t>
            </w:r>
            <w:r w:rsidRPr="002A3E73">
              <w:t>%</w:t>
            </w:r>
          </w:p>
        </w:tc>
      </w:tr>
      <w:tr w:rsidR="0045510C" w:rsidRPr="002A3E73">
        <w:trPr>
          <w:trHeight w:val="294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«развитые регионы»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20</w:t>
            </w:r>
          </w:p>
        </w:tc>
        <w:tc>
          <w:tcPr>
            <w:tcW w:w="16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</w:tr>
      <w:tr w:rsidR="0045510C" w:rsidRPr="002A3E73">
        <w:trPr>
          <w:trHeight w:val="294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«нормальные регионы»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30</w:t>
            </w:r>
          </w:p>
        </w:tc>
        <w:tc>
          <w:tcPr>
            <w:tcW w:w="16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</w:tr>
      <w:tr w:rsidR="0045510C" w:rsidRPr="002A3E73">
        <w:trPr>
          <w:trHeight w:val="294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инвестиции в сельское хозяйство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40</w:t>
            </w:r>
          </w:p>
        </w:tc>
        <w:tc>
          <w:tcPr>
            <w:tcW w:w="16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</w:tr>
      <w:tr w:rsidR="0045510C" w:rsidRPr="002A3E73">
        <w:trPr>
          <w:trHeight w:val="294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регионы 2–й степени приоритетности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60</w:t>
            </w:r>
          </w:p>
        </w:tc>
        <w:tc>
          <w:tcPr>
            <w:tcW w:w="16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</w:tr>
      <w:tr w:rsidR="0045510C" w:rsidRPr="002A3E73">
        <w:trPr>
          <w:trHeight w:val="294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регионы 1–й степени приоритетности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100</w:t>
            </w:r>
          </w:p>
        </w:tc>
        <w:tc>
          <w:tcPr>
            <w:tcW w:w="16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</w:tr>
      <w:tr w:rsidR="0045510C" w:rsidRPr="002A3E73" w:rsidTr="00581F98">
        <w:trPr>
          <w:trHeight w:val="795"/>
        </w:trPr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приоритетные отрасли обрабатывающей промышленности, социальной и производственной инфраструктуры, НИОКР, защита окружающей среды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100</w:t>
            </w:r>
          </w:p>
        </w:tc>
        <w:tc>
          <w:tcPr>
            <w:tcW w:w="16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</w:p>
        </w:tc>
      </w:tr>
    </w:tbl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Помимо инвестиционных скидок при уплате корпоративного налога, компании, имеющие поощрительный сертификат, пользуются скидкой при уплате НДС и импортных пошлин при ввозе машин и оборудования, они освобождаются также от муниципальных налогов на здания и строительство, могут пользоваться отсрочкой при уплате корпоративного налога.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Дополнительные налоговые льготы имеют производства, ориентированные на экспорт: если, спустя пять лет с начала эксплуатации, предприятие экспортирует часть своей продукции, то оно получает право на 100%</w:t>
      </w:r>
      <w:r w:rsidR="00DB0795" w:rsidRPr="002A3E73">
        <w:rPr>
          <w:sz w:val="28"/>
          <w:szCs w:val="28"/>
        </w:rPr>
        <w:t>-</w:t>
      </w:r>
      <w:r w:rsidRPr="002A3E73">
        <w:rPr>
          <w:sz w:val="28"/>
          <w:szCs w:val="28"/>
        </w:rPr>
        <w:t>ю инвестиционную скидку, освобождается от НДС, импортных пошлин, сборов при оформлении банковского кредита и уплате процентных платежей.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Доля экспортируемой предприятием продукции в ее годовом объеме должна составлять не менее 20% для «развитых регионов», 10% – для «нормальных» и 5% – для приоритетных регионов 1–й и 2–й степени.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Полный налоговый иммунитет предоставлен местным и иностранным предприятиям, расположенным на территории свободных зон </w:t>
      </w:r>
      <w:r w:rsidRPr="002A3E73">
        <w:rPr>
          <w:sz w:val="28"/>
          <w:szCs w:val="28"/>
          <w:vertAlign w:val="superscript"/>
        </w:rPr>
        <w:t>11</w:t>
      </w:r>
      <w:r w:rsidRPr="002A3E73">
        <w:rPr>
          <w:sz w:val="28"/>
          <w:szCs w:val="28"/>
        </w:rPr>
        <w:t>, открытых в 80–90–е гг. в Стамбуле, Измире, Анталье, Мерсине, Трабзоне (создание новых подобных зон в других районах в настоящее время продолжается). Существенные налоговые и иные льготы получают компании, создающие предприятия на территории более чем 20 промышленных зон. Новым направлением проводимой турецкими властями политики налогового протекционизма в отношении частного бизнеса в 80–е гг. стала поддержка мелких и средних предприятий.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 октябре 1996 г. турецким парламентом (меджлисом) был принят закон об оказании государственной поддержки предприятиям с числом занятых до 150 чел. и с производственным и инвентарным фондом до 50 млрд. лир </w:t>
      </w:r>
      <w:r w:rsidRPr="002A3E73">
        <w:rPr>
          <w:sz w:val="28"/>
          <w:szCs w:val="28"/>
          <w:vertAlign w:val="superscript"/>
        </w:rPr>
        <w:t>12</w:t>
      </w:r>
      <w:r w:rsidRPr="002A3E73">
        <w:rPr>
          <w:sz w:val="28"/>
          <w:szCs w:val="28"/>
        </w:rPr>
        <w:t>. Целью закона является повышение качества продукции мелких и средних предприятий, укрепление их конкурентоспособности в связи со вступлением Турции в Таможенный Союз ЕС. Предусмотрено освобождение мелких и средних предприятий от гербового и комиссионного сборов, а для предприятий, получающих валютные доходы, – освобождение от НДС импорта оборудования и машин (компенсация выплат по НДС возложена на государственный фонд поощрения инвестиций и услуг).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Как видим, в Турции налоги наряду с выполнением своей основной фискальной функции широко используются в качестве важного инструмента государственного регулирования экономики, главное направление которого состоит в поддержке инвесторов производственной сферы, ее экспортных отраслей. Одновременно государственное регулирование средствами налогово</w:t>
      </w:r>
      <w:r w:rsidR="00DB0795" w:rsidRPr="002A3E73">
        <w:rPr>
          <w:sz w:val="28"/>
          <w:szCs w:val="28"/>
        </w:rPr>
        <w:t>-</w:t>
      </w:r>
      <w:r w:rsidRPr="002A3E73">
        <w:rPr>
          <w:sz w:val="28"/>
          <w:szCs w:val="28"/>
        </w:rPr>
        <w:t>кредитной и социальной политики содействует созданию новых рабочих мест, научно–техническому прогрессу, хозяйственному освоению отсталых регионов, решению других стратегических задач, намеченных в национальных планах и программах развития.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Для подготовки проекта налоговой реформы в рамках Объединения торгово</w:t>
      </w:r>
      <w:r w:rsidR="002206C2" w:rsidRPr="002A3E73">
        <w:rPr>
          <w:sz w:val="28"/>
          <w:szCs w:val="28"/>
        </w:rPr>
        <w:t>-</w:t>
      </w:r>
      <w:r w:rsidRPr="002A3E73">
        <w:rPr>
          <w:sz w:val="28"/>
          <w:szCs w:val="28"/>
        </w:rPr>
        <w:t>промышленных палат и бирж Турции (ТОББ) во второй половине 1997 г. была создана специальная комиссия во главе с известным экономистом проф. Халилом Надароглу, к работе комиссии были привлечены представители министерства финансов, деловых кругов, профсоюзных объединений – ТЮРК–ИШ, ДИСК, ТЕСК, ТИСК – последних представляли профессиональные экономисты </w:t>
      </w:r>
      <w:r w:rsidRPr="002A3E73">
        <w:rPr>
          <w:sz w:val="28"/>
          <w:szCs w:val="28"/>
          <w:vertAlign w:val="superscript"/>
        </w:rPr>
        <w:t>13</w:t>
      </w:r>
      <w:r w:rsidRPr="002A3E73">
        <w:rPr>
          <w:sz w:val="28"/>
          <w:szCs w:val="28"/>
        </w:rPr>
        <w:t>. Например, от ТЮРК–ИШ в комиссии был занят известный турецкий ученый проф. Огуз Ойан. Благодаря этому в подготовленном проекте реформы нашли место требования демократических организаций об устранении нарушений элементарных правил социальной справедливости, в первую очередь характерных для подоходного налога с заработной платы и жалования. В октябре после двух месяцев работы комиссии первоначальный проект реформы был готов и в виде доклада поступил в Министерство финансов, где его рассмотрение было продолжено – также с привлечением представителей частного сектора и профсоюзов. В декабре окончательный проект реформы был передан в парламент (ВНСТ). Ожидалось, что он будет им утвержден еще до конца года вместе с бюджетом на 1998г.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Концепция реформы заключается в том, чтобы, подняв фискальную роль налогов, в то же время не нарушить основные балансы в экономике и социальной сфере – напротив, способствовать оздоровлению и стабилизации общества через смягчение контрастов в распределении налогового бремени. По замыслу реформаторов, налоговые преобразования не должны вести к снижению производства, инвестиций, усилению безработицы или вызывать потрясение на финансовом рынке, они не должны повредить процессу интеграции Турции в мировой рынок. По словам министра финансов Закарьи Те–мизеля, «налоговая политика не должна наносить вред предпринимательской деятельности, в то же время она не должна приводить к тому, чтобы доходы и сбережения хранились под подушкой»</w:t>
      </w:r>
      <w:r w:rsidRPr="002A3E73">
        <w:rPr>
          <w:sz w:val="28"/>
          <w:szCs w:val="28"/>
          <w:vertAlign w:val="superscript"/>
        </w:rPr>
        <w:t>14</w:t>
      </w:r>
      <w:r w:rsidRPr="002A3E73">
        <w:rPr>
          <w:sz w:val="28"/>
          <w:szCs w:val="28"/>
        </w:rPr>
        <w:t>. «Налоги должны платить все» – этот главный принцип реформы должен обеспечить реализацию ее концепции. В первую очередь, имеется в виду закрыть лазейки для уклонения от уплаты налогов, распространить их на теневую экономику, на все сферы деятельности, до сих пор фактически не охваченные налогообложением.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С этой целью намечается повсеместное внедрение документированной регистрации по всем операциям не только при продажах товаров и предоставлении услуг, но и операций с ценными бумагами, превращение декларирования доходов во всеохватывающий метод отношений населения с государственной налоговой службой. Каждому налогоплательщику присваивается налоговый номер, без которого он не сможет осуществлять крупные покупки (дом, автотранспорт), производить операции по нотариату, кредитным картам, перевозкам и т.д. Налоговая служба, в свою очередь, используя современные технологии и технические средства, получает широкие полномочия по контролю за точностью и полнотой декларируемых доходов, включая право контроля и проверки. Именно за счет ныне утаиваемых, нерегистрируемых доходов предполагается расширить налоговую базу государства и тем самым повысить его доходы. Реформа не предусматривает отмены основных действующих налоговых льгот, которыми пользуются предприниматели и деятельность которых укрепляет существующие и создает новые реальные источники для пополнения бюджета.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Проведение реформы рассчитано на три года – это позволит осуществить плавный переход к новым правилам и нормам, обеспечить его необходимыми организационными и техническими средствами.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По мнению турецких экономистов, Турция сможет в случае последовательного проведения в жизнь намеченных мер существенно поднять использование своего налогового потенциала, одновременно гармонизировав свою налоговую систему с системами стран ЕС.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Интересны данные, обнародованные в ходе подготовки реформы и характеризующие основные недостатки и изъяны действующей налоговой системы, вскрывающие причины ее фискальной неэффективности: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– Значительная часть экономики – до 50% – вообще не охвачена прямыми налогами, а та, которая ими охвачена, любыми способами стремится их не платить. При общей численности предпринимателей и лиц свободных профессий в 6,5 млн. чел. подоходный налог платят лишь 2648 тыс. или 40,7% </w:t>
      </w:r>
      <w:r w:rsidRPr="002A3E73">
        <w:rPr>
          <w:sz w:val="28"/>
          <w:szCs w:val="28"/>
          <w:vertAlign w:val="superscript"/>
        </w:rPr>
        <w:t>15</w:t>
      </w:r>
      <w:r w:rsidRPr="002A3E73">
        <w:rPr>
          <w:sz w:val="28"/>
          <w:szCs w:val="28"/>
        </w:rPr>
        <w:t>. Плательщики наивысшей группы по уровню дохода уплатили в 1996 г. подоходный налог на общую сумму 88 млн. лир в среднем каждый, что крайне мало, учитывая инфляционный рост доходов; </w:t>
      </w:r>
      <w:r w:rsidRPr="002A3E73">
        <w:rPr>
          <w:sz w:val="28"/>
          <w:szCs w:val="28"/>
          <w:vertAlign w:val="superscript"/>
        </w:rPr>
        <w:t>16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– Чрезвычайно велики масштабы утайки доходов, неполное их декларирование – этим способом от уплаты налогов уклоняется 96,5% налогоплательщиков. В том числе, при сборе гербового сбора на каждые 100 лир объявленного дохода – 317 лир скрывается, при уплате налога на наследство и дарение – соответственно 119 лир, подоходного налога – 130 лир, корпоративного –42 лиры, НДС – 3,4 лиры; ежегодно казна не досчитывается до 40% потенциальных поступлений от НДС и 60% – от подоходных налогов и т.д.; </w:t>
      </w:r>
      <w:r w:rsidRPr="002A3E73">
        <w:rPr>
          <w:sz w:val="28"/>
          <w:szCs w:val="28"/>
          <w:vertAlign w:val="superscript"/>
        </w:rPr>
        <w:t>17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– Вообще не платят налоги при получении прибыли от своей деятельности – 5 тыс. действующих в стране вакуфов (фондов) и 67 тыс. дернеков (обществ);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– При общей численности плательщиков глобального подоходного налога в 60 тыс. (ремесленники, мелкие торговцы, кустари и т.п.), каждый из них вносил в среднем 28 млн. лир в год или 60% суммы, взимаемой с минимальной заработной платы наемных работников </w:t>
      </w:r>
      <w:r w:rsidRPr="002A3E73">
        <w:rPr>
          <w:sz w:val="28"/>
          <w:szCs w:val="28"/>
          <w:vertAlign w:val="superscript"/>
        </w:rPr>
        <w:t>18</w:t>
      </w:r>
      <w:r w:rsidRPr="002A3E73">
        <w:rPr>
          <w:sz w:val="28"/>
          <w:szCs w:val="28"/>
        </w:rPr>
        <w:t>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Хотя подготовка проекта реформы была завершена уже в конце 1997 г. и предполагалось, что он будет рассмотрен и принят парламентом в начале 1998 г., он еще полгода изучался и дорабатывался в парламентских комиссиях. Лишь 14 июня он был внесен на обсуждение пленарного заседания парламента. Парламентские слушания продолжались (несмотря на жару) почти пять недель. В окончательном виде Закон о налоговой реформе был принят парламентом 22 июля 1998 г. и после утверждения его Президентом страны С.Демирелем был опубликован в «Ресми Газете» (официальной газете). В полном объеме он войдет в силу с 1 января 1999 г.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Ниже излагаются основные моменты Закона о налоговой реформе 1998 г. </w:t>
      </w:r>
      <w:r w:rsidRPr="002A3E73">
        <w:rPr>
          <w:sz w:val="28"/>
          <w:szCs w:val="28"/>
          <w:vertAlign w:val="superscript"/>
        </w:rPr>
        <w:t>19</w:t>
      </w:r>
      <w:r w:rsidRPr="002A3E73">
        <w:rPr>
          <w:sz w:val="28"/>
          <w:szCs w:val="28"/>
        </w:rPr>
        <w:t>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Наибольшим новациям подверглись подоходные налоги – личный и корпоративный. Существенно расширена база личного подоходного налога – согласно заново сформулированному в законе понятию «доход», последний исчисляется как «чистая сумма всех видов доходов и прибылей, полученная в течение календарного года физическим лицом и образующая источник для расходов и сбережений». Таким образом, в круг плательщиков подоходного налога включены предприниматели, в том числе действующие в сельском хозяйстве, коммерсанты, лица наемного труда, лица, получающие доходы от сдачи в аренду движимого и недвижимого имущества, биржевые игроки, лица свободных профессий, и все другие, независимо от источника получаемого дохода. Каждому гражданину страны присваивается индивидуальный налоговый номер, не имея которого нельзя оформлять нотариальные сделки, куплю–продажу недвижимости и т.д.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Снижаются верхняя и нижняя ставки шкалы личного подоходного налога: с 25 и 55% до 20 и 45% в 1998 г. и до 15 и 40% – с начала 1999 г.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Снижение нижней ставки – долгожданная уступка трудящимся, которые в течение десятилетий вели борьбу против переложения на них основного бремени по данному налогу. Ощутимо снижена ставка на наиболее крупные доходы – теперь она приближена к соответствующим ставкам, применяемым в западноевропейских странах. То же самое относятся и к ставке корпоративного налога, которая установлена в размере 30% взамен прежней, превышавшей (вместе с надбавками) 40%.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Еще более усилены меры поощрения для физических и юридических лиц, вкладывающих капиталы в реальную экономику, особенно в отсталые отдаленные регионы и приоритетные отрасли.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Если прежде при наличии поощрительного сертификата размер скидки при установлении величины облагаемого дохода составлял от 30 до 100%, то согласно новому закону, он повышен до 40% (для нормальных регионов) и до 200% (для приоритетных регионов 1–й степени). Внесены и уточнения о размере инвестиций, которые дают право пользоваться данной льготой – для торгово</w:t>
      </w:r>
      <w:r w:rsidR="00DB0795" w:rsidRPr="002A3E73">
        <w:rPr>
          <w:sz w:val="28"/>
          <w:szCs w:val="28"/>
        </w:rPr>
        <w:t>-</w:t>
      </w:r>
      <w:r w:rsidRPr="002A3E73">
        <w:rPr>
          <w:sz w:val="28"/>
          <w:szCs w:val="28"/>
        </w:rPr>
        <w:t>промышленных предприятий их сумма составляет 50 млрд. лир, для сельскохозяйственных – 10 млрд. лир. При инвестировании в приоритетных регионах эти суммы снижаются на половину. Кроме того, все налогоплательщики, имеющие поощрительный сертификат, освобождены от уплаты НДС при закупке машин и оборудования, если они соответствуют качеству и техническим стандартам, зафиксированным в сертификате (данное положение подтверждает и уточняет уже действующие льготы – в проекте закона предусматривалась их отмена).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От НДС освобождаются подрядно</w:t>
      </w:r>
      <w:r w:rsidR="002206C2" w:rsidRPr="002A3E73">
        <w:rPr>
          <w:sz w:val="28"/>
          <w:szCs w:val="28"/>
        </w:rPr>
        <w:t>-</w:t>
      </w:r>
      <w:r w:rsidRPr="002A3E73">
        <w:rPr>
          <w:sz w:val="28"/>
          <w:szCs w:val="28"/>
        </w:rPr>
        <w:t>строительные компании, осуществляющие работы для жилищных кооперативов, а также операции банков и страховых компаний, связанные с кредитованием и страхованием жилищных кооперативов.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Освобожден от уплаты подоходного налога доход величиной до 240 млн. лир, полученный в 1998 г. от сдачи помещения под жилье – в последующие годы сумма данного необлагаемого дохода должна пересматриваться в с соответствии с ростом цен. Последние из названных льгот и освобождений связаны с сохранением остроты жилищной проблемы в Турции, для ее снижения турецкое государство в последние десятилетия проводит налоговое и кредитное регулирование (субсидирование).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Снижение ставок по личному подоходному и корпоративному налогам, как ожидается, не уменьшит общий объем поступлений в бюджет – поддержание нынешних достаточно высоких темпов роста (7–8% ежегодно) должно обеспечить приток средств в казну. Кроме того, снижение налоговых ставок для предпринимателей компенсируется расширением круга плательщиков этих налогов. Так, отныне корпоративный налог должны будут платить фонды и общества, получающие доходы. Подоходный налог будет взиматься с выигрышей по лотереям (Лото и Спорт–Лото), а также с владельцев игорных домов и домов терпимости, с операций с «черными деньгами» – последние должны отслеживаться при оформлении покупок дорогостоящего движимого и недвижимого имущества, при открытии банковских счетов, внесении платы за учебу и др. – налоговая служба получает право выяснять обстоятельства получения соответствующих доходов. С 2000 г. намечено распространить подоходный налог на биржевых игроков, которые должны будут включать в налоговую декларацию свои доходы от операций по купле–продаже ценных бумаг. Введено обложение по ставкам в 25–45% подоходным налогом платы по соглашениям и трансфертов из государственных и частных фондов на жалование футболистам (футбол – один из самых популярных видов спорта в Турции), прежде с этих сумм взимались 15%–е вычеты. По самым высоким ставкам – 40–45% – будут облагаться игроки футбольных команд высшей лиги.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С 1 января 1999г. налогом будут облагаться гонорары на сумму свыше 7 млрд.</w:t>
      </w:r>
      <w:r w:rsidR="002206C2" w:rsidRPr="002A3E73">
        <w:rPr>
          <w:sz w:val="28"/>
          <w:szCs w:val="28"/>
        </w:rPr>
        <w:t xml:space="preserve"> </w:t>
      </w:r>
      <w:r w:rsidRPr="002A3E73">
        <w:rPr>
          <w:sz w:val="28"/>
          <w:szCs w:val="28"/>
        </w:rPr>
        <w:t>лир, а также доходы, полученные в виде процентов, в том числе от операций репо, дивидендов по ценным бумагам (с условием «очистки» их от инфляционного роста).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Большая по численности группа налогоплательщиков подоходного налога, которая прежде платила его на основе «глобального метода», отмененного новым законом, отныне будет это делать согласно «простому (реальному) методу», т.е. с суммы дохода, превышающей расход и подтвержденной документально. В эту группу включено около 1 млн. ремесленников и кустарей, а также представителей свободных профессий (адвокаты, консультанты фирм и коммерсанты, концертирующие музыканты, зубные протезисты, другие работники здравоохранения), в то же время акушерки, лица, совершающие обрезание, а также переписчики, гиды – в случае, если они постоянно проживают, занимаясь данным видом деятельности, в деревнях и пунктах с населением менее 5 тыс. жителей – от уплаты подоходного налога освобождаются. Вводится дифференцированный подход при обложении арендного дохода, также теперь исчисляемого «простым методом», – для мелких домовладельцев, сдающих жилье, введено освобождение от налога: в крупных городах их доход в этом случае не должен превышать 420 млн. лир, а в мелких – 300 млн. лир. Доходы от занятия сельским хозяйством также будут облагаться «простым методом», т.е. на основе документированной разницы между суммой расходов и доходов за определенный период времени.</w:t>
      </w:r>
    </w:p>
    <w:p w:rsidR="0045510C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Внесены уточнения (в основном в виде снижения ставок и дифференциации объектов обложения) и в некоторые другие прямые налоги: снижена ставка налога на недвижимость с 0,04% до 0,01% от ее стоимости для жилых зданий и земельных участков (в сельской местности – с 0,03% и с 0,05% до 0,02% – для других строений, с 0,06% до 0,03% – для земельных участков в городах, отводимых под застройку). Стоимость недвижимости должна ежегодно пересматриваться. Дифференцированы ставки налога на наследство и дарение:</w:t>
      </w:r>
    </w:p>
    <w:p w:rsidR="00581F98" w:rsidRPr="00D0126C" w:rsidRDefault="00581F98" w:rsidP="00AB7199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D0126C">
        <w:rPr>
          <w:color w:val="FFFFFF"/>
          <w:sz w:val="28"/>
          <w:szCs w:val="28"/>
        </w:rPr>
        <w:t>турецкий налог косвенный ставка</w:t>
      </w:r>
    </w:p>
    <w:p w:rsidR="0045510C" w:rsidRPr="00581F98" w:rsidRDefault="0045510C" w:rsidP="00AB7199">
      <w:pPr>
        <w:pStyle w:val="a5"/>
        <w:ind w:firstLine="709"/>
        <w:jc w:val="both"/>
        <w:rPr>
          <w:rFonts w:ascii="Times New Roman" w:hAnsi="Times New Roman" w:cs="Times New Roman"/>
          <w:b/>
          <w:bCs/>
        </w:rPr>
      </w:pPr>
      <w:r w:rsidRPr="002A3E73">
        <w:rPr>
          <w:rFonts w:ascii="Times New Roman" w:hAnsi="Times New Roman" w:cs="Times New Roman"/>
          <w:b/>
          <w:bCs/>
        </w:rPr>
        <w:t>Шкала ставок по налогу на наследство и дарение (%)</w:t>
      </w: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3118"/>
      </w:tblGrid>
      <w:tr w:rsidR="0045510C" w:rsidRPr="002A3E73" w:rsidTr="00581F98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Облагаемая сумма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При переходе</w:t>
            </w:r>
            <w:r w:rsidR="00DB0795" w:rsidRPr="002A3E73">
              <w:t xml:space="preserve"> </w:t>
            </w:r>
            <w:r w:rsidRPr="002A3E73">
              <w:t>по наследству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при безвозмездной передаче (дарении)</w:t>
            </w:r>
          </w:p>
        </w:tc>
      </w:tr>
      <w:tr w:rsidR="0045510C" w:rsidRPr="002A3E73" w:rsidTr="00581F98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до 10 млрд.лир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10</w:t>
            </w:r>
          </w:p>
        </w:tc>
      </w:tr>
      <w:tr w:rsidR="0045510C" w:rsidRPr="002A3E73" w:rsidTr="00581F98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от 10 до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15</w:t>
            </w:r>
          </w:p>
        </w:tc>
      </w:tr>
      <w:tr w:rsidR="0045510C" w:rsidRPr="002A3E73" w:rsidTr="00581F98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от 20 до 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20</w:t>
            </w:r>
          </w:p>
        </w:tc>
      </w:tr>
      <w:tr w:rsidR="0045510C" w:rsidRPr="002A3E73" w:rsidTr="00581F98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от 40 до 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25</w:t>
            </w:r>
          </w:p>
        </w:tc>
      </w:tr>
      <w:tr w:rsidR="0045510C" w:rsidRPr="002A3E73" w:rsidTr="00581F98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150 и более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0C" w:rsidRPr="002A3E73" w:rsidRDefault="0045510C" w:rsidP="00DB0795">
            <w:pPr>
              <w:spacing w:line="360" w:lineRule="auto"/>
              <w:jc w:val="both"/>
            </w:pPr>
            <w:r w:rsidRPr="002A3E73">
              <w:t>30</w:t>
            </w:r>
          </w:p>
        </w:tc>
      </w:tr>
    </w:tbl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 новом налоговом кодексе существенно ужесточены наказания за сокрытие доходов и уклонение от уплаты налогов. Тех, кто фальсифицирует сведения в счетах–фактурах и бухгалтерских книгах, и тех, кто вносит изменения в ведомости и документы или их скрывает, будут наказывать тюремным заключением сроком от 3 до 6 лет. Тех же, кто не имеет бухгалтерских книг, счетов и документов, или же из них вырваны страницы, а вместо них вклеены другие листы, а также тех, кто печатает поддельные финансовые документы, ожидает тюремное заключение сроком от 18 месяцев до 3 лет.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Денежными штрафами за нарушение требований бухгалтерской отчетности будут наказываться торговцы 1–го класса и представители свободных профессий в размере 100 млн. лир; торговцы 2–го класса и крестьяне, ведущие бухгалтерские книги; лица, чей доход определяется «простым методом», за соответствующие нарушения платят штраф в размере 50 млн. лир. Штрафом в 25 млн. лир могут быть наказаны управляющие государственных учреждений и предприятий, если они уклоняются от подачи информации, интересующей налоговую службу. Ее собственные сотрудники, в свою очередь, могут быть оштрафованы на сумму в 75 млн. лир, если они не выполняют свои обязанности. Такую же сумму штрафа должны платить предприниматели, допустившие уклонение от налога по ошибке.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 то же время в налоговом кодексе говорится, что налоговая служба в своих отношениях с неплательщиками налогов и штрафов будет искать пути для соглашения.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 новом кодексе содержится статья, предусматривающая создание «Центра высшего финансового образования», слушатели которого будут обучаться современным методам подготовки банковских служащих и овладению технологиями менеджмента.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Особое значение придается дальнейшему совершенствованию налоговой службы – ее деятельность должна быть простой, понятной, не отнимающей много времени у клиентов. Полагают, что с точки зрения насыщенности квалифицированными кадрами и необходимыми техническими средствами турецкая налоговая служба в ближайшие годы будет обладать достаточным потенциалом, чтобы поднять уровень своей работы и обеспечить вып</w:t>
      </w:r>
      <w:r w:rsidR="00DA73FA" w:rsidRPr="002A3E73">
        <w:rPr>
          <w:sz w:val="28"/>
          <w:szCs w:val="28"/>
        </w:rPr>
        <w:t>олнение нового законодательства.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 Турции принятие данной налоговой реформы называют революцией в упорядочении налогов, завершением гран</w:t>
      </w:r>
      <w:r w:rsidR="00DA73FA" w:rsidRPr="002A3E73">
        <w:rPr>
          <w:sz w:val="28"/>
          <w:szCs w:val="28"/>
        </w:rPr>
        <w:t>диозной восьми</w:t>
      </w:r>
      <w:r w:rsidRPr="002A3E73">
        <w:rPr>
          <w:sz w:val="28"/>
          <w:szCs w:val="28"/>
        </w:rPr>
        <w:t>летней работы, проведенной по изучению всех аспектов этой проблемы правительством. Конечно же, реальное значение реформы для повышения доходов казны и уменьшения ее зависимости от использования займов и чрезмерной эмиссии можно будет оценить лишь спустя несколько лет. Но уже теперь принятие нового налогового кодекса следует считать крупным достижением турецких законодателей, которым удалось внести такие изменения в налоговую систему, которые в случае внедрения их в практику должны повысить фискальную роль налогов, сохранив их функции в качестве важных стимуляторов экономического развития при одновременном, если не устранении, то некотором смягчении негативных сторон их влияния на социальные процессы.</w:t>
      </w:r>
    </w:p>
    <w:p w:rsidR="0045510C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В то же время очевидно, что достижение позитивных перемен в налоговой сфере, стабилизация финансового положения страны в большой степени зависит от успеха преобразований в других областях экономики и общественно–политической жизни Турции в целом.</w:t>
      </w:r>
    </w:p>
    <w:p w:rsidR="00581F98" w:rsidRDefault="00581F98" w:rsidP="00AB7199">
      <w:pPr>
        <w:spacing w:line="360" w:lineRule="auto"/>
        <w:ind w:firstLine="709"/>
        <w:jc w:val="both"/>
        <w:rPr>
          <w:sz w:val="28"/>
          <w:szCs w:val="28"/>
        </w:rPr>
      </w:pPr>
    </w:p>
    <w:p w:rsidR="00581F98" w:rsidRPr="002A3E73" w:rsidRDefault="00581F98" w:rsidP="00AB7199">
      <w:pPr>
        <w:spacing w:line="360" w:lineRule="auto"/>
        <w:ind w:firstLine="709"/>
        <w:jc w:val="both"/>
        <w:rPr>
          <w:sz w:val="28"/>
          <w:szCs w:val="28"/>
        </w:rPr>
      </w:pPr>
    </w:p>
    <w:p w:rsidR="0045510C" w:rsidRPr="002A3E73" w:rsidRDefault="0045510C" w:rsidP="00AB719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3E73">
        <w:rPr>
          <w:sz w:val="28"/>
          <w:szCs w:val="28"/>
        </w:rPr>
        <w:br w:type="page"/>
      </w:r>
      <w:r w:rsidRPr="002A3E73">
        <w:rPr>
          <w:b/>
          <w:bCs/>
          <w:sz w:val="28"/>
          <w:szCs w:val="28"/>
        </w:rPr>
        <w:t>Литература</w:t>
      </w:r>
    </w:p>
    <w:p w:rsidR="0045510C" w:rsidRPr="002A3E73" w:rsidRDefault="0045510C" w:rsidP="00AB7199">
      <w:pPr>
        <w:spacing w:line="360" w:lineRule="auto"/>
        <w:ind w:firstLine="709"/>
        <w:jc w:val="both"/>
        <w:rPr>
          <w:sz w:val="28"/>
          <w:szCs w:val="28"/>
        </w:rPr>
      </w:pPr>
    </w:p>
    <w:p w:rsidR="0045510C" w:rsidRPr="002A3E73" w:rsidRDefault="0045510C" w:rsidP="00DB0795">
      <w:pPr>
        <w:spacing w:line="360" w:lineRule="auto"/>
        <w:jc w:val="both"/>
        <w:rPr>
          <w:sz w:val="28"/>
          <w:szCs w:val="28"/>
        </w:rPr>
      </w:pPr>
      <w:r w:rsidRPr="002A3E73">
        <w:rPr>
          <w:sz w:val="28"/>
          <w:szCs w:val="28"/>
        </w:rPr>
        <w:t xml:space="preserve">1. </w:t>
      </w:r>
      <w:r w:rsidRPr="002A3E73">
        <w:rPr>
          <w:sz w:val="28"/>
          <w:szCs w:val="28"/>
          <w:lang w:val="en-US"/>
        </w:rPr>
        <w:t>T</w:t>
      </w:r>
      <w:r w:rsidRPr="002A3E73">
        <w:rPr>
          <w:sz w:val="28"/>
          <w:szCs w:val="28"/>
        </w:rPr>
        <w:t>Ü</w:t>
      </w:r>
      <w:r w:rsidRPr="002A3E73">
        <w:rPr>
          <w:sz w:val="28"/>
          <w:szCs w:val="28"/>
          <w:lang w:val="en-US"/>
        </w:rPr>
        <w:t>RK</w:t>
      </w:r>
      <w:r w:rsidRPr="002A3E73">
        <w:rPr>
          <w:sz w:val="28"/>
          <w:szCs w:val="28"/>
        </w:rPr>
        <w:t xml:space="preserve">–İŞ </w:t>
      </w:r>
      <w:r w:rsidRPr="002A3E73">
        <w:rPr>
          <w:sz w:val="28"/>
          <w:szCs w:val="28"/>
          <w:lang w:val="en-US"/>
        </w:rPr>
        <w:t>Y</w:t>
      </w:r>
      <w:r w:rsidRPr="002A3E73">
        <w:rPr>
          <w:sz w:val="28"/>
          <w:szCs w:val="28"/>
        </w:rPr>
        <w:t>ı</w:t>
      </w:r>
      <w:r w:rsidRPr="002A3E73">
        <w:rPr>
          <w:sz w:val="28"/>
          <w:szCs w:val="28"/>
          <w:lang w:val="en-US"/>
        </w:rPr>
        <w:t>ll</w:t>
      </w:r>
      <w:r w:rsidRPr="002A3E73">
        <w:rPr>
          <w:sz w:val="28"/>
          <w:szCs w:val="28"/>
        </w:rPr>
        <w:t xml:space="preserve">ığı – 97, </w:t>
      </w:r>
      <w:r w:rsidRPr="002A3E73">
        <w:rPr>
          <w:sz w:val="28"/>
          <w:szCs w:val="28"/>
          <w:lang w:val="en-US"/>
        </w:rPr>
        <w:t>Ankara</w:t>
      </w:r>
      <w:r w:rsidRPr="002A3E73">
        <w:rPr>
          <w:sz w:val="28"/>
          <w:szCs w:val="28"/>
        </w:rPr>
        <w:t xml:space="preserve">, 1997, </w:t>
      </w:r>
      <w:r w:rsidRPr="002A3E73">
        <w:rPr>
          <w:sz w:val="28"/>
          <w:szCs w:val="28"/>
          <w:lang w:val="en-US"/>
        </w:rPr>
        <w:t>c</w:t>
      </w:r>
      <w:r w:rsidRPr="002A3E73">
        <w:rPr>
          <w:sz w:val="28"/>
          <w:szCs w:val="28"/>
        </w:rPr>
        <w:t>. 81.</w:t>
      </w:r>
    </w:p>
    <w:p w:rsidR="0045510C" w:rsidRPr="002A3E73" w:rsidRDefault="0045510C" w:rsidP="00DB0795">
      <w:pPr>
        <w:spacing w:line="360" w:lineRule="auto"/>
        <w:jc w:val="both"/>
        <w:rPr>
          <w:sz w:val="28"/>
          <w:szCs w:val="28"/>
          <w:lang w:val="en-US"/>
        </w:rPr>
      </w:pPr>
      <w:r w:rsidRPr="002A3E73">
        <w:rPr>
          <w:sz w:val="28"/>
          <w:szCs w:val="28"/>
          <w:lang w:val="en-US"/>
        </w:rPr>
        <w:t>2. Economic Indicators of Turkey 1995–1997. Ankara, 1998, c. 3.</w:t>
      </w:r>
    </w:p>
    <w:p w:rsidR="0045510C" w:rsidRPr="002A3E73" w:rsidRDefault="0045510C" w:rsidP="00DB0795">
      <w:pPr>
        <w:spacing w:line="360" w:lineRule="auto"/>
        <w:jc w:val="both"/>
        <w:rPr>
          <w:sz w:val="28"/>
          <w:szCs w:val="28"/>
          <w:lang w:val="en-US"/>
        </w:rPr>
      </w:pPr>
      <w:r w:rsidRPr="002A3E73">
        <w:rPr>
          <w:sz w:val="28"/>
          <w:szCs w:val="28"/>
          <w:lang w:val="en-US"/>
        </w:rPr>
        <w:t>3. «Pover», 1998, nisan, Ankara, с. 70.</w:t>
      </w:r>
    </w:p>
    <w:p w:rsidR="0045510C" w:rsidRPr="002A3E73" w:rsidRDefault="0045510C" w:rsidP="00DB0795">
      <w:pPr>
        <w:spacing w:line="360" w:lineRule="auto"/>
        <w:jc w:val="both"/>
        <w:rPr>
          <w:sz w:val="28"/>
          <w:szCs w:val="28"/>
          <w:lang w:val="en-US"/>
        </w:rPr>
      </w:pPr>
      <w:r w:rsidRPr="002A3E73">
        <w:rPr>
          <w:sz w:val="28"/>
          <w:szCs w:val="28"/>
          <w:lang w:val="en-US"/>
        </w:rPr>
        <w:t xml:space="preserve">4. TÜRK–İŞ Yıllığı – 97, </w:t>
      </w:r>
      <w:r w:rsidRPr="002A3E73">
        <w:rPr>
          <w:sz w:val="28"/>
          <w:szCs w:val="28"/>
        </w:rPr>
        <w:t>с</w:t>
      </w:r>
      <w:r w:rsidRPr="002A3E73">
        <w:rPr>
          <w:sz w:val="28"/>
          <w:szCs w:val="28"/>
          <w:lang w:val="en-US"/>
        </w:rPr>
        <w:t>. 71.</w:t>
      </w:r>
    </w:p>
    <w:p w:rsidR="0045510C" w:rsidRPr="002A3E73" w:rsidRDefault="0045510C" w:rsidP="00DB0795">
      <w:pPr>
        <w:spacing w:line="360" w:lineRule="auto"/>
        <w:jc w:val="both"/>
        <w:rPr>
          <w:sz w:val="28"/>
          <w:szCs w:val="28"/>
          <w:lang w:val="en-US"/>
        </w:rPr>
      </w:pPr>
      <w:r w:rsidRPr="002A3E73">
        <w:rPr>
          <w:sz w:val="28"/>
          <w:szCs w:val="28"/>
          <w:lang w:val="en-US"/>
        </w:rPr>
        <w:t>5. World Developments Indicators 1998. Wash., сс.271–272.</w:t>
      </w:r>
    </w:p>
    <w:p w:rsidR="0045510C" w:rsidRPr="002A3E73" w:rsidRDefault="0045510C" w:rsidP="00DB0795">
      <w:pPr>
        <w:spacing w:line="360" w:lineRule="auto"/>
        <w:jc w:val="both"/>
        <w:rPr>
          <w:sz w:val="28"/>
          <w:szCs w:val="28"/>
          <w:lang w:val="en-US"/>
        </w:rPr>
      </w:pPr>
      <w:r w:rsidRPr="002A3E73">
        <w:rPr>
          <w:sz w:val="28"/>
          <w:szCs w:val="28"/>
          <w:lang w:val="en-US"/>
        </w:rPr>
        <w:t>6 1996 International Tax Summaries.A Guide for Planning and Decisions.Coopers and Zybrand Global Tax Network.1996, N–Y, сс.45–46.</w:t>
      </w:r>
    </w:p>
    <w:p w:rsidR="0045510C" w:rsidRPr="002A3E73" w:rsidRDefault="0045510C" w:rsidP="00DB0795">
      <w:pPr>
        <w:spacing w:line="360" w:lineRule="auto"/>
        <w:jc w:val="both"/>
        <w:rPr>
          <w:sz w:val="28"/>
          <w:szCs w:val="28"/>
          <w:lang w:val="en-US"/>
        </w:rPr>
      </w:pPr>
      <w:r w:rsidRPr="002A3E73">
        <w:rPr>
          <w:sz w:val="28"/>
          <w:szCs w:val="28"/>
          <w:lang w:val="en-US"/>
        </w:rPr>
        <w:t>7. World Developments Indicators 1998, сс. 271–272.</w:t>
      </w:r>
    </w:p>
    <w:p w:rsidR="0045510C" w:rsidRPr="002A3E73" w:rsidRDefault="0045510C" w:rsidP="00DB0795">
      <w:pPr>
        <w:spacing w:line="360" w:lineRule="auto"/>
        <w:jc w:val="both"/>
        <w:rPr>
          <w:sz w:val="28"/>
          <w:szCs w:val="28"/>
        </w:rPr>
      </w:pPr>
      <w:r w:rsidRPr="00581F98">
        <w:rPr>
          <w:sz w:val="28"/>
          <w:szCs w:val="28"/>
          <w:lang w:val="en-US"/>
        </w:rPr>
        <w:t xml:space="preserve">8. «Pover». </w:t>
      </w:r>
      <w:r w:rsidRPr="002A3E73">
        <w:rPr>
          <w:sz w:val="28"/>
          <w:szCs w:val="28"/>
        </w:rPr>
        <w:t>Ankara, 1998, nisan, с. 65.</w:t>
      </w:r>
    </w:p>
    <w:p w:rsidR="0045510C" w:rsidRPr="002A3E73" w:rsidRDefault="0045510C" w:rsidP="00DB0795">
      <w:pPr>
        <w:spacing w:line="360" w:lineRule="auto"/>
        <w:jc w:val="both"/>
        <w:rPr>
          <w:sz w:val="28"/>
          <w:szCs w:val="28"/>
        </w:rPr>
      </w:pPr>
      <w:r w:rsidRPr="002A3E73">
        <w:rPr>
          <w:sz w:val="28"/>
          <w:szCs w:val="28"/>
        </w:rPr>
        <w:t>9. Жердев А., Ивахнюк И. Наш деловой партнер – Турция. – М., 1996. – Сс. 27–28.</w:t>
      </w:r>
    </w:p>
    <w:p w:rsidR="0045510C" w:rsidRPr="00581F98" w:rsidRDefault="0045510C" w:rsidP="00DB0795">
      <w:pPr>
        <w:spacing w:line="360" w:lineRule="auto"/>
        <w:jc w:val="both"/>
        <w:rPr>
          <w:sz w:val="28"/>
          <w:szCs w:val="28"/>
          <w:lang w:val="en-US"/>
        </w:rPr>
      </w:pPr>
      <w:r w:rsidRPr="002A3E73">
        <w:rPr>
          <w:sz w:val="28"/>
          <w:szCs w:val="28"/>
          <w:lang w:val="en-US"/>
        </w:rPr>
        <w:t>10. Turkey. An Investment Opportunity.Ankara, 1996, с. 4.</w:t>
      </w:r>
    </w:p>
    <w:p w:rsidR="00DB0795" w:rsidRPr="00581F98" w:rsidRDefault="00DB0795" w:rsidP="00DB0795">
      <w:pPr>
        <w:spacing w:line="360" w:lineRule="auto"/>
        <w:jc w:val="both"/>
        <w:rPr>
          <w:sz w:val="28"/>
          <w:szCs w:val="28"/>
          <w:lang w:val="en-US"/>
        </w:rPr>
      </w:pPr>
    </w:p>
    <w:p w:rsidR="00DB0795" w:rsidRPr="002A3E73" w:rsidRDefault="00DB0795" w:rsidP="00DB0795">
      <w:pPr>
        <w:spacing w:line="360" w:lineRule="auto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DB0795" w:rsidRPr="002A3E73" w:rsidSect="00581F98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26C" w:rsidRDefault="00D0126C" w:rsidP="00753A15">
      <w:r>
        <w:separator/>
      </w:r>
    </w:p>
  </w:endnote>
  <w:endnote w:type="continuationSeparator" w:id="0">
    <w:p w:rsidR="00D0126C" w:rsidRDefault="00D0126C" w:rsidP="0075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26C" w:rsidRDefault="00D0126C" w:rsidP="00753A15">
      <w:r>
        <w:separator/>
      </w:r>
    </w:p>
  </w:footnote>
  <w:footnote w:type="continuationSeparator" w:id="0">
    <w:p w:rsidR="00D0126C" w:rsidRDefault="00D0126C" w:rsidP="00753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7D4" w:rsidRPr="006E77D4" w:rsidRDefault="006E77D4" w:rsidP="006E77D4">
    <w:pPr>
      <w:pStyle w:val="a8"/>
      <w:spacing w:line="360" w:lineRule="auto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701"/>
    <w:rsid w:val="00077607"/>
    <w:rsid w:val="002206C2"/>
    <w:rsid w:val="002A3E73"/>
    <w:rsid w:val="002E5FC9"/>
    <w:rsid w:val="0045510C"/>
    <w:rsid w:val="00457701"/>
    <w:rsid w:val="00505D8B"/>
    <w:rsid w:val="00525FEB"/>
    <w:rsid w:val="00554EF5"/>
    <w:rsid w:val="00572C78"/>
    <w:rsid w:val="00581F98"/>
    <w:rsid w:val="005A5149"/>
    <w:rsid w:val="005E6985"/>
    <w:rsid w:val="00663BB4"/>
    <w:rsid w:val="006E77D4"/>
    <w:rsid w:val="00753A15"/>
    <w:rsid w:val="00814571"/>
    <w:rsid w:val="00AB7199"/>
    <w:rsid w:val="00AE5E65"/>
    <w:rsid w:val="00B34C03"/>
    <w:rsid w:val="00CA1465"/>
    <w:rsid w:val="00D0126C"/>
    <w:rsid w:val="00DA73FA"/>
    <w:rsid w:val="00DB0795"/>
    <w:rsid w:val="00D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F43D7B-DF7D-48CB-BD3F-5597C9AF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1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753A15"/>
    <w:pPr>
      <w:spacing w:line="36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753A15"/>
    <w:rPr>
      <w:rFonts w:ascii="Arial" w:hAnsi="Arial" w:cs="Arial"/>
      <w:snapToGrid w:val="0"/>
      <w:sz w:val="28"/>
      <w:szCs w:val="28"/>
      <w:lang w:val="x-none" w:eastAsia="ru-RU"/>
    </w:rPr>
  </w:style>
  <w:style w:type="paragraph" w:styleId="a5">
    <w:name w:val="Body Text"/>
    <w:basedOn w:val="a"/>
    <w:link w:val="a6"/>
    <w:uiPriority w:val="99"/>
    <w:semiHidden/>
    <w:rsid w:val="00753A15"/>
    <w:pPr>
      <w:spacing w:line="360" w:lineRule="auto"/>
      <w:jc w:val="center"/>
    </w:pPr>
    <w:rPr>
      <w:rFonts w:ascii="Arial" w:hAnsi="Arial" w:cs="Arial"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753A15"/>
    <w:rPr>
      <w:rFonts w:ascii="Arial" w:hAnsi="Arial" w:cs="Arial"/>
      <w:snapToGrid w:val="0"/>
      <w:sz w:val="28"/>
      <w:szCs w:val="28"/>
      <w:lang w:val="x-none" w:eastAsia="ru-RU"/>
    </w:rPr>
  </w:style>
  <w:style w:type="paragraph" w:customStyle="1" w:styleId="FR1">
    <w:name w:val="FR1"/>
    <w:uiPriority w:val="99"/>
    <w:rsid w:val="00753A15"/>
    <w:pPr>
      <w:widowControl w:val="0"/>
      <w:spacing w:before="80"/>
    </w:pPr>
    <w:rPr>
      <w:rFonts w:ascii="Arial" w:hAnsi="Arial" w:cs="Arial"/>
      <w:sz w:val="16"/>
      <w:szCs w:val="16"/>
    </w:rPr>
  </w:style>
  <w:style w:type="character" w:styleId="a7">
    <w:name w:val="footnote reference"/>
    <w:uiPriority w:val="99"/>
    <w:semiHidden/>
    <w:rsid w:val="00753A15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B34C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B34C0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B34C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B34C03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page number"/>
    <w:uiPriority w:val="99"/>
    <w:rsid w:val="006E7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5203</Words>
  <Characters>29663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Налоговая реформа 1998 года в Турции</vt:lpstr>
    </vt:vector>
  </TitlesOfParts>
  <Company>Ep</Company>
  <LinksUpToDate>false</LinksUpToDate>
  <CharactersWithSpaces>34797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Налоговая реформа 1998 года в Турции</dc:title>
  <dc:subject/>
  <dc:creator>Тоня</dc:creator>
  <cp:keywords/>
  <dc:description/>
  <cp:lastModifiedBy>admin</cp:lastModifiedBy>
  <cp:revision>2</cp:revision>
  <dcterms:created xsi:type="dcterms:W3CDTF">2014-03-25T18:03:00Z</dcterms:created>
  <dcterms:modified xsi:type="dcterms:W3CDTF">2014-03-25T18:03:00Z</dcterms:modified>
</cp:coreProperties>
</file>