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B0" w:rsidRDefault="00C946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Сущность, источники и система международного права.</w:t>
      </w:r>
    </w:p>
    <w:p w:rsidR="00C946B0" w:rsidRDefault="00C946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международного правотворчества.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правотворчество является продуктом взаимного согласования воль государств и иных субъектов международного права.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в международном праве зачастую довольно трудно отделить правоприменение от правотворчества.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 Броунли в этой связи пишет о том, что "в международном праве трудно говорить о различии между формальными и материальными источниками"</w:t>
      </w:r>
      <w:r>
        <w:rPr>
          <w:rStyle w:val="a5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, показательным примером в этой связи являются единогласно принятые резолюции Генеральной Ассамблеи ООН по вопросам права.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 какого-то единого механизма международного правотворчество (как законотворчество в национальных парламентах). Например, существенными источниками международного права являются в некоторых случаях документы международных конференций</w:t>
      </w:r>
      <w:r>
        <w:rPr>
          <w:rStyle w:val="a5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</w:t>
      </w:r>
    </w:p>
    <w:p w:rsidR="00C946B0" w:rsidRDefault="00C946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Источники международного права, их характеристика.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международного права – установленные государствами и иными субъектами международного права в процессе международного правотворчества формы воплощения согласованных решений, формы существования международно-правовых норм</w:t>
      </w:r>
      <w:r>
        <w:rPr>
          <w:rStyle w:val="a5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 xml:space="preserve">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Выделяются следующие источники международного права: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договор ("международное соглашение, заключенное между государствами в письменной форме и регулируемое международным правом, независимо от того, содержится ли такое соглашение в одном документе, в двух или нескольких связанных между собой документах, а также независимо от его конкретного наименования"</w:t>
      </w:r>
      <w:r>
        <w:rPr>
          <w:rStyle w:val="a5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 xml:space="preserve">) обычно считают основным источником международного права.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обычай, то есть "доказательство всеобщей практики, признанной в качестве правовой нормы"</w:t>
      </w:r>
      <w:r>
        <w:rPr>
          <w:rStyle w:val="a5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>. Как отмечает проф. Г.В. Игнатенко, "специфика международно-правового обычая заключается в том, что он не представляет собой, в отличие от договора, официального документа с явно выраженными формулировками правил, однако это ни в коей мере не свидетельствует о "призрачности" обычая"</w:t>
      </w:r>
      <w:r>
        <w:rPr>
          <w:rStyle w:val="a5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 xml:space="preserve">. Как отмечено в решении Международного Суда от 20 ноября 1950г. по делу </w:t>
      </w:r>
      <w:r>
        <w:rPr>
          <w:color w:val="000000"/>
          <w:sz w:val="24"/>
          <w:szCs w:val="24"/>
          <w:lang w:val="en-US"/>
        </w:rPr>
        <w:t>Asylum</w:t>
      </w:r>
      <w:r>
        <w:rPr>
          <w:color w:val="000000"/>
          <w:sz w:val="24"/>
          <w:szCs w:val="24"/>
        </w:rPr>
        <w:t xml:space="preserve"> (Колумбия против Перу), "сторона, которая ссылается на обычай… должна доказать, что этот обычай установился таким образом, что он стал обязательным для другой стороны… что норма, на которую делается ссылка… находится в соответствии с постоянным и единообразным обыкновением, практикуемым данными государствами, и что это обыкновение является выражением права, присущего указанному государству"</w:t>
      </w:r>
      <w:r>
        <w:rPr>
          <w:rStyle w:val="a5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>. Я. Броунли, со ссылками на практику Международного Суда, приводит следующие реквизиты международного обычая</w:t>
      </w:r>
      <w:r>
        <w:rPr>
          <w:rStyle w:val="a5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 xml:space="preserve">: продолжительность существования практики (хотя данное условие само по себе не является определяющим); единообразие и постоянность международной практики; всеобщий характер указанной практики; </w:t>
      </w:r>
      <w:r>
        <w:rPr>
          <w:color w:val="000000"/>
          <w:sz w:val="24"/>
          <w:szCs w:val="24"/>
          <w:lang w:val="en-US"/>
        </w:rPr>
        <w:t>opinion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juris</w:t>
      </w:r>
      <w:r>
        <w:rPr>
          <w:color w:val="000000"/>
          <w:sz w:val="24"/>
          <w:szCs w:val="24"/>
        </w:rPr>
        <w:t xml:space="preserve"> (убежденность сторон в правомерности и необходимости существующего обычая)</w:t>
      </w:r>
      <w:r>
        <w:rPr>
          <w:rStyle w:val="a5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, связь с двусторонними отношениями государств и местными обычаями. Зачастую международные обычные нормы называют "мягким правом", так как его наличие можно доказать только опосредованным путем.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Акты международных конференций. Иногда конференции созываются специально для разработки международных договоров (например, </w:t>
      </w:r>
      <w:r>
        <w:rPr>
          <w:color w:val="000000"/>
          <w:sz w:val="24"/>
          <w:szCs w:val="24"/>
          <w:lang w:val="en-US"/>
        </w:rPr>
        <w:t>III</w:t>
      </w:r>
      <w:r>
        <w:rPr>
          <w:color w:val="000000"/>
          <w:sz w:val="24"/>
          <w:szCs w:val="24"/>
        </w:rPr>
        <w:t xml:space="preserve"> Конференции ООН по морскому праву завершилась принятием Конвенции ООН по морскому праву 1982г.). В некоторых случаях сами акты конференций имеют характер источников международного права (например, Заключительный акт Совещания по безопасности и сотрудничеству в Европе 1975г., содержащий, в частности, развернутые формулировки ряда основных принципов международного права).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Акты международных организаций. Согласно ст.ст.10,11,13 Устава ООН Генеральная Ассамблея уполномочена "делать рекомендации", а согласно ст.25 Устава ООН члены Организации подчиняются решениям Совета Безопасности и обязаны выполнять их. Некоторые акты органов ООН носят нормотворческий характер</w:t>
      </w:r>
      <w:r>
        <w:rPr>
          <w:rStyle w:val="a5"/>
          <w:color w:val="000000"/>
          <w:sz w:val="24"/>
          <w:szCs w:val="24"/>
        </w:rPr>
        <w:footnoteReference w:id="10"/>
      </w:r>
      <w:r>
        <w:rPr>
          <w:color w:val="000000"/>
          <w:sz w:val="24"/>
          <w:szCs w:val="24"/>
        </w:rPr>
        <w:t>. Кроме того, органами международных организаций (например, Генеральной Ассамблеей ООН) принимаются международные договоры, участниками которых становятся в установленном порядке государства-члены данных организаций.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Акты международных судебных органов. Согласно п. "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" ч.1 ст.38 Статута Международного Суда, Суд вправе применять судебные решения "в качестве вспомогательного средства для определения правовых норм". Прецедентные решения принимаются, в частности, таким международным судебным органом как Европейский Суд по правам человека. Я. Броунли упоминает также</w:t>
      </w:r>
      <w:r>
        <w:rPr>
          <w:rStyle w:val="a5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 xml:space="preserve"> решения международных арбитражных судов, Постоянной палаты международного правосудия (предшественницы Международного Суда в рамках Лиги Наций), международных военных трибуналов и даже национальных судов</w:t>
      </w:r>
      <w:r>
        <w:rPr>
          <w:rStyle w:val="a5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 xml:space="preserve">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 Броунли упоминает также об общих принципах права</w:t>
      </w:r>
      <w:r>
        <w:rPr>
          <w:rStyle w:val="a5"/>
          <w:color w:val="000000"/>
          <w:sz w:val="24"/>
          <w:szCs w:val="24"/>
        </w:rPr>
        <w:footnoteReference w:id="13"/>
      </w:r>
      <w:r>
        <w:rPr>
          <w:color w:val="000000"/>
          <w:sz w:val="24"/>
          <w:szCs w:val="24"/>
        </w:rPr>
        <w:t>, трудах специалистов по публичному праву</w:t>
      </w:r>
      <w:r>
        <w:rPr>
          <w:rStyle w:val="a5"/>
          <w:color w:val="000000"/>
          <w:sz w:val="24"/>
          <w:szCs w:val="24"/>
        </w:rPr>
        <w:footnoteReference w:id="14"/>
      </w:r>
      <w:r>
        <w:rPr>
          <w:color w:val="000000"/>
          <w:sz w:val="24"/>
          <w:szCs w:val="24"/>
        </w:rPr>
        <w:t>, принципах справедивости</w:t>
      </w:r>
      <w:r>
        <w:rPr>
          <w:rStyle w:val="a5"/>
          <w:color w:val="000000"/>
          <w:sz w:val="24"/>
          <w:szCs w:val="24"/>
        </w:rPr>
        <w:footnoteReference w:id="15"/>
      </w:r>
      <w:r>
        <w:rPr>
          <w:color w:val="000000"/>
          <w:sz w:val="24"/>
          <w:szCs w:val="24"/>
        </w:rPr>
        <w:t>, соображениях гуманности</w:t>
      </w:r>
      <w:r>
        <w:rPr>
          <w:rStyle w:val="a5"/>
          <w:color w:val="000000"/>
          <w:sz w:val="24"/>
          <w:szCs w:val="24"/>
        </w:rPr>
        <w:footnoteReference w:id="16"/>
      </w:r>
      <w:r>
        <w:rPr>
          <w:color w:val="000000"/>
          <w:sz w:val="24"/>
          <w:szCs w:val="24"/>
        </w:rPr>
        <w:t>, законных интересах</w:t>
      </w:r>
      <w:r>
        <w:rPr>
          <w:rStyle w:val="a5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 xml:space="preserve"> как источниках международного права.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В.С. Иваненко придерживается позитивистской точки зрения на систему источников международного права.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Кодификация и прогрессивное развитие международного права. Основные кодификационные акты.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отмечает Я. Броунли, "в узком смысле слова кодификация означает сведение воедино, в полном виде и в определенном порядке, норм существующего права и одобрение полученного текста правоопределяющим органом. В сфере международных отношений кодификация осуществлялась международными конференциями</w:t>
      </w:r>
      <w:r>
        <w:rPr>
          <w:rStyle w:val="a5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>… и группами экспертов</w:t>
      </w:r>
      <w:r>
        <w:rPr>
          <w:rStyle w:val="a5"/>
          <w:color w:val="000000"/>
          <w:sz w:val="24"/>
          <w:szCs w:val="24"/>
        </w:rPr>
        <w:footnoteReference w:id="19"/>
      </w:r>
      <w:r>
        <w:rPr>
          <w:color w:val="000000"/>
          <w:sz w:val="24"/>
          <w:szCs w:val="24"/>
        </w:rPr>
        <w:t>"</w:t>
      </w:r>
      <w:r>
        <w:rPr>
          <w:rStyle w:val="a5"/>
          <w:color w:val="000000"/>
          <w:sz w:val="24"/>
          <w:szCs w:val="24"/>
        </w:rPr>
        <w:footnoteReference w:id="20"/>
      </w:r>
      <w:r>
        <w:rPr>
          <w:color w:val="000000"/>
          <w:sz w:val="24"/>
          <w:szCs w:val="24"/>
        </w:rPr>
        <w:t>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международным кодификационным актам, созданным под эгидой ООН, можно отнести, в частности, Конвенцию ООН по морскому праву 1982 года, Декларацию принципов международного права</w:t>
      </w:r>
      <w:r>
        <w:rPr>
          <w:rStyle w:val="a5"/>
          <w:color w:val="000000"/>
          <w:sz w:val="24"/>
          <w:szCs w:val="24"/>
        </w:rPr>
        <w:footnoteReference w:id="21"/>
      </w:r>
      <w:r>
        <w:rPr>
          <w:color w:val="000000"/>
          <w:sz w:val="24"/>
          <w:szCs w:val="24"/>
        </w:rPr>
        <w:t>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тем, Я. Броунли специально отмечает, что Комиссия международного права ООН "не придерживалась строгого разграничения своих задач по кодификации и "прогрессивному развитию" международного права. Ее деятельность в различных областях права, включая морское право, создала основу для довольно успешной работы конференций полномочных представителей и привела к принятию многосторонних конвенций"</w:t>
      </w:r>
      <w:r>
        <w:rPr>
          <w:rStyle w:val="a5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>.</w:t>
      </w:r>
    </w:p>
    <w:p w:rsidR="00C946B0" w:rsidRDefault="00C946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C946B0" w:rsidRDefault="00C946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946B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B0" w:rsidRDefault="00C946B0">
      <w:r>
        <w:separator/>
      </w:r>
    </w:p>
  </w:endnote>
  <w:endnote w:type="continuationSeparator" w:id="0">
    <w:p w:rsidR="00C946B0" w:rsidRDefault="00C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B0" w:rsidRDefault="00C946B0">
      <w:r>
        <w:separator/>
      </w:r>
    </w:p>
  </w:footnote>
  <w:footnote w:type="continuationSeparator" w:id="0">
    <w:p w:rsidR="00C946B0" w:rsidRDefault="00C946B0">
      <w:r>
        <w:continuationSeparator/>
      </w:r>
    </w:p>
  </w:footnote>
  <w:footnote w:id="1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с.22.</w:t>
      </w:r>
    </w:p>
  </w:footnote>
  <w:footnote w:id="2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Напр., Заключительный акт Совещания по безопасности и сотрудничеству в Европе (Хельсинки, 1975).</w:t>
      </w:r>
    </w:p>
  </w:footnote>
  <w:footnote w:id="3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1</w:t>
      </w:r>
      <w:r>
        <w:t>, с.103.</w:t>
      </w:r>
    </w:p>
  </w:footnote>
  <w:footnote w:id="4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п. "а" ч.1 ст.2 Венской конвенции о праве международных договоров.</w:t>
      </w:r>
    </w:p>
  </w:footnote>
  <w:footnote w:id="5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п. "</w:t>
      </w:r>
      <w:r>
        <w:rPr>
          <w:lang w:val="en-US"/>
        </w:rPr>
        <w:t>b</w:t>
      </w:r>
      <w:r>
        <w:t>" ч.1 ст.38 Статута Международного Суда ООН.</w:t>
      </w:r>
    </w:p>
  </w:footnote>
  <w:footnote w:id="6">
    <w:p w:rsidR="00C946B0" w:rsidRDefault="00C946B0">
      <w:pPr>
        <w:pStyle w:val="a3"/>
      </w:pPr>
      <w:r>
        <w:rPr>
          <w:rStyle w:val="a5"/>
        </w:rPr>
        <w:footnoteRef/>
      </w:r>
      <w:r>
        <w:rPr>
          <w:lang w:val="en-US"/>
        </w:rPr>
        <w:t xml:space="preserve"> </w:t>
      </w:r>
      <w:r>
        <w:rPr>
          <w:i/>
          <w:iCs/>
          <w:lang w:val="en-US"/>
        </w:rPr>
        <w:t>1</w:t>
      </w:r>
      <w:r>
        <w:rPr>
          <w:lang w:val="en-US"/>
        </w:rPr>
        <w:t xml:space="preserve">, </w:t>
      </w:r>
      <w:r>
        <w:t>с</w:t>
      </w:r>
      <w:r>
        <w:rPr>
          <w:lang w:val="en-US"/>
        </w:rPr>
        <w:t>.109.</w:t>
      </w:r>
    </w:p>
  </w:footnote>
  <w:footnote w:id="7">
    <w:p w:rsidR="00C946B0" w:rsidRDefault="00C946B0">
      <w:pPr>
        <w:pStyle w:val="a3"/>
      </w:pPr>
      <w:r>
        <w:rPr>
          <w:rStyle w:val="a5"/>
        </w:rPr>
        <w:footnoteRef/>
      </w:r>
      <w:r>
        <w:rPr>
          <w:lang w:val="en-US"/>
        </w:rPr>
        <w:t xml:space="preserve"> I.C.J. Reports (1950), pp.276-277.</w:t>
      </w:r>
    </w:p>
  </w:footnote>
  <w:footnote w:id="8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сс.28-36.</w:t>
      </w:r>
    </w:p>
  </w:footnote>
  <w:footnote w:id="9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См.: решение Международного Суда от 20 февраля 1969 года по делу о континентальном шельфе Северного моря (Нидерланды и Дания против Германии). </w:t>
      </w:r>
      <w:r>
        <w:rPr>
          <w:lang w:val="en-US"/>
        </w:rPr>
        <w:t>I.C.J. Reports (1969).</w:t>
      </w:r>
    </w:p>
  </w:footnote>
  <w:footnote w:id="10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Помимо резолюций Генеральной Ассамблеи ООН о внесении изменений в Устав ООН, подлежащих ратификации государствами-членами Организации, можно упомянуть, в частности, резолюцию Генеральной Ассамблеи ООН 1514 (</w:t>
      </w:r>
      <w:r>
        <w:rPr>
          <w:lang w:val="en-US"/>
        </w:rPr>
        <w:t>XV</w:t>
      </w:r>
      <w:r>
        <w:t>) от 14 декабря 1960г. "Декларация о предоставлении независимости колониальным странам и их народам, резолюцию Генеральной Ассамблеи ООН 1962 (</w:t>
      </w:r>
      <w:r>
        <w:rPr>
          <w:lang w:val="en-US"/>
        </w:rPr>
        <w:t>XVIII</w:t>
      </w:r>
      <w:r>
        <w:t>) от 13 декабря 1963г. "Декларация о правовых принципах, регулирующих деятельность государств по исследованию и использованию космического пространства"; резолюцию Совета Безопасности ООН 827 (1993) от 25 мая 1993 года, которой был утвержден Статут Международного трибунала с целью судебного преследования лиц, ответственных за серьезные нарушения международного гуманитарного права на территории бывшей Югославии.</w:t>
      </w:r>
    </w:p>
  </w:footnote>
  <w:footnote w:id="11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сс.47-54.</w:t>
      </w:r>
    </w:p>
  </w:footnote>
  <w:footnote w:id="12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Например, решение Верховного суда США 1934 года по спору между штатами "Нью-Джерси против Делавэра", в котором были применены принципы и нормы международного права [291 </w:t>
      </w:r>
      <w:r>
        <w:rPr>
          <w:lang w:val="en-US"/>
        </w:rPr>
        <w:t>U</w:t>
      </w:r>
      <w:r>
        <w:t>.</w:t>
      </w:r>
      <w:r>
        <w:rPr>
          <w:lang w:val="en-US"/>
        </w:rPr>
        <w:t>S</w:t>
      </w:r>
      <w:r>
        <w:t>. 361]</w:t>
      </w:r>
    </w:p>
  </w:footnote>
  <w:footnote w:id="13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п. "</w:t>
      </w:r>
      <w:r>
        <w:rPr>
          <w:lang w:val="en-US"/>
        </w:rPr>
        <w:t>c</w:t>
      </w:r>
      <w:r>
        <w:t xml:space="preserve">" ч.1 ст.38 Статута Международного Суда; </w:t>
      </w:r>
      <w:r>
        <w:rPr>
          <w:i/>
          <w:iCs/>
        </w:rPr>
        <w:t>2</w:t>
      </w:r>
      <w:r>
        <w:t>, сс.41-47.</w:t>
      </w:r>
    </w:p>
  </w:footnote>
  <w:footnote w:id="14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п. "</w:t>
      </w:r>
      <w:r>
        <w:rPr>
          <w:lang w:val="en-US"/>
        </w:rPr>
        <w:t>d</w:t>
      </w:r>
      <w:r>
        <w:t xml:space="preserve">" ч.1 ст.38 Статута Международного Суда; </w:t>
      </w:r>
      <w:r>
        <w:rPr>
          <w:i/>
          <w:iCs/>
        </w:rPr>
        <w:t xml:space="preserve">2, </w:t>
      </w:r>
      <w:r>
        <w:t>сс.54-56. Действительно, в свое время труды Г.Гроция были чуть ли не непосредственным источником международного права.</w:t>
      </w:r>
    </w:p>
  </w:footnote>
  <w:footnote w:id="15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сс.57-59. См., в частности, решение Международного Суда по делу о континентальном шельфе Северного моря (1969).</w:t>
      </w:r>
    </w:p>
  </w:footnote>
  <w:footnote w:id="16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сс.60-61. См., в частности, решение Международного Суда 15 декабря 1949 года по делу о канале Корфу (Великобритания против Албании).</w:t>
      </w:r>
    </w:p>
  </w:footnote>
  <w:footnote w:id="17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сс.61-63. См., в частности, решение Международного Суда от 18 декабря 1951 года по делу о рыболовстве (Великобритания против Норвегии).</w:t>
      </w:r>
    </w:p>
  </w:footnote>
  <w:footnote w:id="18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Например, результатом работы </w:t>
      </w:r>
      <w:r>
        <w:rPr>
          <w:lang w:val="en-US"/>
        </w:rPr>
        <w:t>II</w:t>
      </w:r>
      <w:r>
        <w:t xml:space="preserve"> международной конференции мира в Гааге (Нидерланды) явилось, в частности, принятие кодифицированной Конвенции о законах и обычаях сухопутной войны.</w:t>
      </w:r>
    </w:p>
  </w:footnote>
  <w:footnote w:id="19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В этом смысле определяющей является деятельность Комиссии международного права, созданной в качестве вспомогательного органа Генеральной Ассамблеи ООН.</w:t>
      </w:r>
    </w:p>
  </w:footnote>
  <w:footnote w:id="20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с.63.</w:t>
      </w:r>
    </w:p>
  </w:footnote>
  <w:footnote w:id="21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Резолюция Генеральной Ассамблеи ООН 2625 (</w:t>
      </w:r>
      <w:r>
        <w:rPr>
          <w:lang w:val="en-US"/>
        </w:rPr>
        <w:t>XXV</w:t>
      </w:r>
      <w:r>
        <w:t>) от 24 октября 1970 года "Декларация о принципах международного права, касающихся дружественных отношений и сотрудничества между государствами в соответствии с Уставом ООН".</w:t>
      </w:r>
    </w:p>
  </w:footnote>
  <w:footnote w:id="22">
    <w:p w:rsidR="00C946B0" w:rsidRDefault="00C946B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</w:rPr>
        <w:t>2</w:t>
      </w:r>
      <w:r>
        <w:t>, с.64.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892834C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1EEA4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AF5CCA0A"/>
    <w:lvl w:ilvl="0" w:tplc="99746878">
      <w:numFmt w:val="none"/>
      <w:lvlText w:val=""/>
      <w:lvlJc w:val="left"/>
      <w:pPr>
        <w:tabs>
          <w:tab w:val="num" w:pos="360"/>
        </w:tabs>
      </w:pPr>
    </w:lvl>
    <w:lvl w:ilvl="1" w:tplc="1E7605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86AD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622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7E9BB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AEC4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8851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E4688F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5CEC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575264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95C071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09B23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69DC9A9C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F0B02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CD"/>
    <w:rsid w:val="001D5BF3"/>
    <w:rsid w:val="00203222"/>
    <w:rsid w:val="008363CD"/>
    <w:rsid w:val="00C9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627C67-D8A1-48BF-ADA4-157A2079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3954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Сущность, источники и система международного права</vt:lpstr>
    </vt:vector>
  </TitlesOfParts>
  <Company>PERSONAL COMPUTERS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Сущность, источники и система международного права</dc:title>
  <dc:subject/>
  <dc:creator>USER</dc:creator>
  <cp:keywords/>
  <dc:description/>
  <cp:lastModifiedBy>admin</cp:lastModifiedBy>
  <cp:revision>2</cp:revision>
  <dcterms:created xsi:type="dcterms:W3CDTF">2014-01-26T07:17:00Z</dcterms:created>
  <dcterms:modified xsi:type="dcterms:W3CDTF">2014-01-26T07:17:00Z</dcterms:modified>
</cp:coreProperties>
</file>