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3F" w:rsidRDefault="00B0363F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 w:line="360" w:lineRule="auto"/>
        <w:rPr>
          <w:snapToGrid w:val="0"/>
        </w:rPr>
      </w:pP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 w:line="360" w:lineRule="auto"/>
        <w:rPr>
          <w:snapToGrid w:val="0"/>
        </w:rPr>
      </w:pP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 w:line="360" w:lineRule="auto"/>
        <w:rPr>
          <w:snapToGrid w:val="0"/>
        </w:rPr>
      </w:pP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 w:line="360" w:lineRule="auto"/>
        <w:rPr>
          <w:snapToGrid w:val="0"/>
        </w:rPr>
      </w:pP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 w:line="360" w:lineRule="auto"/>
        <w:rPr>
          <w:snapToGrid w:val="0"/>
        </w:rPr>
      </w:pP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 w:line="360" w:lineRule="auto"/>
        <w:rPr>
          <w:snapToGrid w:val="0"/>
        </w:rPr>
      </w:pP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 w:line="360" w:lineRule="auto"/>
        <w:rPr>
          <w:snapToGrid w:val="0"/>
        </w:rPr>
      </w:pPr>
    </w:p>
    <w:p w:rsidR="005E5485" w:rsidRDefault="005E5485" w:rsidP="00C21270">
      <w:pPr>
        <w:pStyle w:val="12"/>
        <w:spacing w:before="160" w:line="218" w:lineRule="auto"/>
        <w:ind w:right="800" w:firstLine="900"/>
        <w:jc w:val="center"/>
        <w:rPr>
          <w:sz w:val="32"/>
        </w:rPr>
      </w:pPr>
      <w:r>
        <w:rPr>
          <w:b/>
          <w:sz w:val="32"/>
        </w:rPr>
        <w:t>КУРСОВАЯ  РАБОТА</w:t>
      </w:r>
    </w:p>
    <w:p w:rsidR="005E5485" w:rsidRDefault="005E5485" w:rsidP="00C21270">
      <w:pPr>
        <w:widowControl w:val="0"/>
        <w:rPr>
          <w:snapToGrid w:val="0"/>
        </w:rPr>
      </w:pPr>
    </w:p>
    <w:p w:rsidR="005E5485" w:rsidRDefault="005709B6" w:rsidP="00C21270">
      <w:pPr>
        <w:widowControl w:val="0"/>
        <w:rPr>
          <w:snapToGrid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3.1pt;margin-top:5.9pt;width:286.65pt;height:31.95pt;z-index:251658240" o:allowincell="f" filled="f" stroked="f">
            <v:textbox style="mso-next-textbox:#_x0000_s1026">
              <w:txbxContent>
                <w:p w:rsidR="005E5485" w:rsidRDefault="005E5485" w:rsidP="00C21270">
                  <w:pPr>
                    <w:pStyle w:val="6"/>
                    <w:jc w:val="left"/>
                  </w:pPr>
                  <w:bookmarkStart w:id="0" w:name="_Toc278137004"/>
                  <w:bookmarkStart w:id="1" w:name="_Toc278451746"/>
                  <w:bookmarkStart w:id="2" w:name="_Toc278452478"/>
                  <w:r>
                    <w:t>Методы контроля и анализа веществ</w:t>
                  </w:r>
                  <w:bookmarkEnd w:id="0"/>
                  <w:bookmarkEnd w:id="1"/>
                  <w:bookmarkEnd w:id="2"/>
                </w:p>
              </w:txbxContent>
            </v:textbox>
          </v:shape>
        </w:pict>
      </w:r>
    </w:p>
    <w:p w:rsidR="005E5485" w:rsidRDefault="005E5485" w:rsidP="00C21270">
      <w:pPr>
        <w:widowControl w:val="0"/>
        <w:rPr>
          <w:snapToGrid w:val="0"/>
        </w:rPr>
      </w:pPr>
      <w:r>
        <w:rPr>
          <w:snapToGrid w:val="0"/>
        </w:rPr>
        <w:t>По дисциплине  __________________________________________________________</w:t>
      </w: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/>
        <w:rPr>
          <w:snapToGrid w:val="0"/>
          <w:vertAlign w:val="superscript"/>
        </w:rPr>
      </w:pPr>
      <w:r>
        <w:rPr>
          <w:snapToGrid w:val="0"/>
          <w:vertAlign w:val="superscript"/>
        </w:rPr>
        <w:t>(наименование учебной дисциплины согласно учебному плану)</w:t>
      </w:r>
    </w:p>
    <w:p w:rsidR="005E5485" w:rsidRDefault="005709B6" w:rsidP="00C21270">
      <w:pPr>
        <w:widowControl w:val="0"/>
        <w:rPr>
          <w:snapToGrid w:val="0"/>
        </w:rPr>
      </w:pPr>
      <w:r>
        <w:rPr>
          <w:noProof/>
        </w:rPr>
        <w:pict>
          <v:shape id="_x0000_s1027" type="#_x0000_t202" style="position:absolute;margin-left:117.15pt;margin-top:2.2pt;width:374.4pt;height:45.85pt;z-index:251657216" o:allowincell="f" filled="f" stroked="f">
            <v:textbox style="mso-next-textbox:#_x0000_s1027">
              <w:txbxContent>
                <w:p w:rsidR="005E5485" w:rsidRDefault="005E5485" w:rsidP="00C21270">
                  <w:pPr>
                    <w:jc w:val="both"/>
                  </w:pPr>
                </w:p>
              </w:txbxContent>
            </v:textbox>
          </v:shape>
        </w:pict>
      </w:r>
      <w:r w:rsidR="005E5485">
        <w:rPr>
          <w:snapToGrid w:val="0"/>
        </w:rPr>
        <w:tab/>
      </w:r>
      <w:r w:rsidR="005E5485">
        <w:rPr>
          <w:snapToGrid w:val="0"/>
        </w:rPr>
        <w:tab/>
        <w:t xml:space="preserve">  </w:t>
      </w:r>
      <w:r w:rsidR="005E5485">
        <w:rPr>
          <w:snapToGrid w:val="0"/>
        </w:rPr>
        <w:tab/>
      </w:r>
    </w:p>
    <w:p w:rsidR="005E5485" w:rsidRDefault="005E5485" w:rsidP="00C21270">
      <w:pPr>
        <w:widowControl w:val="0"/>
        <w:rPr>
          <w:snapToGrid w:val="0"/>
        </w:rPr>
      </w:pPr>
    </w:p>
    <w:p w:rsidR="005E5485" w:rsidRDefault="005E5485" w:rsidP="00C21270">
      <w:pPr>
        <w:widowControl w:val="0"/>
        <w:jc w:val="center"/>
        <w:rPr>
          <w:b/>
          <w:snapToGrid w:val="0"/>
          <w:sz w:val="28"/>
        </w:rPr>
      </w:pPr>
    </w:p>
    <w:p w:rsidR="005E5485" w:rsidRDefault="005E5485" w:rsidP="00C21270">
      <w:pPr>
        <w:pStyle w:val="3"/>
        <w:spacing w:line="240" w:lineRule="auto"/>
        <w:ind w:left="-1224"/>
        <w:jc w:val="center"/>
        <w:rPr>
          <w:b/>
          <w:sz w:val="28"/>
        </w:rPr>
      </w:pPr>
      <w:r>
        <w:rPr>
          <w:b/>
          <w:sz w:val="28"/>
        </w:rPr>
        <w:t xml:space="preserve">                 </w:t>
      </w:r>
      <w:bookmarkStart w:id="3" w:name="_Toc58092222"/>
      <w:bookmarkStart w:id="4" w:name="_Toc58093095"/>
      <w:bookmarkStart w:id="5" w:name="_Toc58135173"/>
      <w:bookmarkStart w:id="6" w:name="_Toc58136282"/>
      <w:bookmarkStart w:id="7" w:name="_Toc59024248"/>
      <w:bookmarkStart w:id="8" w:name="_Toc59217915"/>
      <w:bookmarkStart w:id="9" w:name="_Toc61611777"/>
      <w:r>
        <w:rPr>
          <w:b/>
          <w:sz w:val="28"/>
        </w:rPr>
        <w:t>ПОЯСНИТЕЛЬНАЯ ЗАПИСКА</w:t>
      </w:r>
      <w:bookmarkEnd w:id="3"/>
      <w:bookmarkEnd w:id="4"/>
      <w:bookmarkEnd w:id="5"/>
      <w:bookmarkEnd w:id="6"/>
      <w:bookmarkEnd w:id="7"/>
      <w:bookmarkEnd w:id="8"/>
      <w:bookmarkEnd w:id="9"/>
    </w:p>
    <w:p w:rsidR="005E5485" w:rsidRDefault="005E5485" w:rsidP="00C21270">
      <w:pPr>
        <w:widowControl w:val="0"/>
        <w:rPr>
          <w:snapToGrid w:val="0"/>
        </w:rPr>
      </w:pPr>
    </w:p>
    <w:p w:rsidR="005E5485" w:rsidRDefault="005E5485" w:rsidP="00C21270">
      <w:pPr>
        <w:pStyle w:val="a5"/>
        <w:widowControl w:val="0"/>
        <w:tabs>
          <w:tab w:val="left" w:pos="708"/>
        </w:tabs>
        <w:rPr>
          <w:snapToGrid w:val="0"/>
          <w:sz w:val="24"/>
          <w:u w:val="single"/>
        </w:rPr>
      </w:pPr>
      <w:r>
        <w:rPr>
          <w:snapToGrid w:val="0"/>
        </w:rPr>
        <w:t xml:space="preserve">Тема: </w:t>
      </w:r>
      <w:r>
        <w:rPr>
          <w:snapToGrid w:val="0"/>
          <w:u w:val="single"/>
        </w:rPr>
        <w:tab/>
        <w:t xml:space="preserve">                          </w:t>
      </w:r>
      <w:r>
        <w:rPr>
          <w:snapToGrid w:val="0"/>
          <w:sz w:val="28"/>
          <w:u w:val="single"/>
        </w:rPr>
        <w:t>Молекулярная фотометрия и спектрофотометрия</w:t>
      </w:r>
      <w:r>
        <w:rPr>
          <w:snapToGrid w:val="0"/>
          <w:sz w:val="28"/>
          <w:u w:val="single"/>
        </w:rPr>
        <w:tab/>
      </w:r>
      <w:r>
        <w:rPr>
          <w:snapToGrid w:val="0"/>
          <w:sz w:val="24"/>
        </w:rPr>
        <w:t xml:space="preserve"> </w:t>
      </w:r>
    </w:p>
    <w:p w:rsidR="005E5485" w:rsidRDefault="005E5485" w:rsidP="00C21270">
      <w:pPr>
        <w:rPr>
          <w:u w:val="single"/>
        </w:rPr>
      </w:pPr>
    </w:p>
    <w:p w:rsidR="005E5485" w:rsidRDefault="005E5485" w:rsidP="00C21270">
      <w:pPr>
        <w:rPr>
          <w:u w:val="single"/>
        </w:rPr>
      </w:pPr>
    </w:p>
    <w:p w:rsidR="005E5485" w:rsidRDefault="005E5485" w:rsidP="00C21270">
      <w:pPr>
        <w:rPr>
          <w:u w:val="single"/>
        </w:rPr>
      </w:pPr>
    </w:p>
    <w:p w:rsidR="005E5485" w:rsidRDefault="005E5485" w:rsidP="00C21270">
      <w:pPr>
        <w:rPr>
          <w:u w:val="single"/>
        </w:rPr>
      </w:pPr>
    </w:p>
    <w:p w:rsidR="005E5485" w:rsidRDefault="005E5485" w:rsidP="00C21270">
      <w:pPr>
        <w:rPr>
          <w:u w:val="single"/>
        </w:rPr>
      </w:pPr>
    </w:p>
    <w:p w:rsidR="005E5485" w:rsidRPr="00E676E9" w:rsidRDefault="005E5485" w:rsidP="00C21270">
      <w:r w:rsidRPr="009A3DA5">
        <w:rPr>
          <w:b/>
        </w:rPr>
        <w:t>ВЫПОЛНИЛА:</w:t>
      </w:r>
      <w:r w:rsidRPr="00E676E9">
        <w:t xml:space="preserve"> студ.  ______________    /./</w:t>
      </w:r>
    </w:p>
    <w:p w:rsidR="005E5485" w:rsidRPr="00E676E9" w:rsidRDefault="005E5485" w:rsidP="00C21270">
      <w:r w:rsidRPr="00E676E9">
        <w:t xml:space="preserve">                                                                     </w:t>
      </w:r>
      <w:r w:rsidRPr="00E676E9">
        <w:rPr>
          <w:vertAlign w:val="superscript"/>
        </w:rPr>
        <w:t xml:space="preserve">  (подпись)                                  (Ф.И.О.)</w:t>
      </w:r>
      <w:r w:rsidRPr="00E676E9">
        <w:t xml:space="preserve">   </w:t>
      </w:r>
    </w:p>
    <w:p w:rsidR="005E5485" w:rsidRDefault="005E5485" w:rsidP="00C21270">
      <w:pPr>
        <w:rPr>
          <w:snapToGrid w:val="0"/>
        </w:rPr>
      </w:pPr>
      <w:r>
        <w:rPr>
          <w:b/>
          <w:snapToGrid w:val="0"/>
        </w:rPr>
        <w:t>ОЦЕНКА:</w:t>
      </w:r>
      <w:r>
        <w:rPr>
          <w:snapToGrid w:val="0"/>
        </w:rPr>
        <w:tab/>
        <w:t>_____________</w:t>
      </w:r>
    </w:p>
    <w:p w:rsidR="005E5485" w:rsidRDefault="005E5485" w:rsidP="00C21270">
      <w:pPr>
        <w:rPr>
          <w:snapToGrid w:val="0"/>
        </w:rPr>
      </w:pPr>
    </w:p>
    <w:p w:rsidR="005E5485" w:rsidRDefault="005E5485" w:rsidP="00C21270"/>
    <w:p w:rsidR="005E5485" w:rsidRPr="00E676E9" w:rsidRDefault="005E5485" w:rsidP="00C21270">
      <w:r w:rsidRPr="009A3DA5">
        <w:rPr>
          <w:b/>
        </w:rPr>
        <w:t>ДАТА:</w:t>
      </w:r>
      <w:r w:rsidRPr="00E676E9">
        <w:t xml:space="preserve"> __________________</w:t>
      </w:r>
    </w:p>
    <w:p w:rsidR="005E5485" w:rsidRPr="00E676E9" w:rsidRDefault="005E5485" w:rsidP="00C21270"/>
    <w:p w:rsidR="005E5485" w:rsidRPr="00E676E9" w:rsidRDefault="005E5485" w:rsidP="00C21270">
      <w:pPr>
        <w:spacing w:before="240" w:after="60"/>
        <w:outlineLvl w:val="4"/>
        <w:rPr>
          <w:bCs/>
          <w:iCs/>
        </w:rPr>
      </w:pPr>
      <w:r w:rsidRPr="009A3DA5">
        <w:rPr>
          <w:b/>
          <w:bCs/>
          <w:iCs/>
        </w:rPr>
        <w:t>ПРОВЕРИЛ:</w:t>
      </w:r>
      <w:r w:rsidRPr="00E676E9">
        <w:rPr>
          <w:bCs/>
          <w:iCs/>
        </w:rPr>
        <w:t xml:space="preserve">  </w:t>
      </w:r>
      <w:r w:rsidRPr="00E676E9">
        <w:rPr>
          <w:bCs/>
        </w:rPr>
        <w:t xml:space="preserve">   </w:t>
      </w:r>
      <w:r>
        <w:rPr>
          <w:bCs/>
        </w:rPr>
        <w:t xml:space="preserve">доцент       </w:t>
      </w:r>
      <w:r w:rsidRPr="00E676E9">
        <w:rPr>
          <w:bCs/>
        </w:rPr>
        <w:t xml:space="preserve">                 _____________         /./</w:t>
      </w:r>
    </w:p>
    <w:p w:rsidR="005E5485" w:rsidRPr="00E676E9" w:rsidRDefault="005E5485" w:rsidP="00C21270">
      <w:pPr>
        <w:rPr>
          <w:vertAlign w:val="superscript"/>
        </w:rPr>
      </w:pPr>
      <w:r w:rsidRPr="00E676E9">
        <w:rPr>
          <w:vertAlign w:val="superscript"/>
        </w:rPr>
        <w:t xml:space="preserve">                                                                                                          (подпись)                                     (Ф.И.О.)</w:t>
      </w:r>
    </w:p>
    <w:p w:rsidR="005E5485" w:rsidRPr="00E676E9" w:rsidRDefault="005E5485" w:rsidP="00C21270"/>
    <w:p w:rsidR="005E5485" w:rsidRDefault="005E5485" w:rsidP="00C21270">
      <w:pPr>
        <w:widowControl w:val="0"/>
        <w:spacing w:line="360" w:lineRule="auto"/>
        <w:rPr>
          <w:snapToGrid w:val="0"/>
        </w:rPr>
      </w:pPr>
    </w:p>
    <w:p w:rsidR="005E5485" w:rsidRDefault="005E5485" w:rsidP="00C21270">
      <w:pPr>
        <w:widowControl w:val="0"/>
        <w:rPr>
          <w:snapToGrid w:val="0"/>
          <w:vertAlign w:val="superscript"/>
        </w:rPr>
      </w:pPr>
    </w:p>
    <w:p w:rsidR="005E5485" w:rsidRDefault="005E5485" w:rsidP="000A25D8">
      <w:pPr>
        <w:pStyle w:val="a3"/>
        <w:widowControl w:val="0"/>
        <w:tabs>
          <w:tab w:val="left" w:pos="708"/>
        </w:tabs>
        <w:rPr>
          <w:snapToGrid w:val="0"/>
          <w:vertAlign w:val="superscript"/>
        </w:rPr>
      </w:pPr>
      <w:r>
        <w:rPr>
          <w:snapToGrid w:val="0"/>
          <w:vertAlign w:val="superscript"/>
        </w:rPr>
        <w:t xml:space="preserve">                                                                            </w:t>
      </w:r>
    </w:p>
    <w:p w:rsidR="005E5485" w:rsidRDefault="005E5485" w:rsidP="000A25D8">
      <w:pPr>
        <w:pStyle w:val="a3"/>
        <w:widowControl w:val="0"/>
        <w:tabs>
          <w:tab w:val="left" w:pos="708"/>
        </w:tabs>
        <w:rPr>
          <w:snapToGrid w:val="0"/>
          <w:vertAlign w:val="superscript"/>
        </w:rPr>
      </w:pPr>
    </w:p>
    <w:p w:rsidR="005E5485" w:rsidRDefault="005E5485" w:rsidP="000A25D8">
      <w:pPr>
        <w:pStyle w:val="a3"/>
        <w:widowControl w:val="0"/>
        <w:tabs>
          <w:tab w:val="left" w:pos="708"/>
        </w:tabs>
        <w:rPr>
          <w:snapToGrid w:val="0"/>
          <w:vertAlign w:val="superscript"/>
        </w:rPr>
      </w:pPr>
    </w:p>
    <w:p w:rsidR="005E5485" w:rsidRPr="000A25D8" w:rsidRDefault="005E5485" w:rsidP="000A25D8">
      <w:pPr>
        <w:pStyle w:val="a3"/>
        <w:widowControl w:val="0"/>
        <w:tabs>
          <w:tab w:val="left" w:pos="708"/>
        </w:tabs>
        <w:rPr>
          <w:snapToGrid w:val="0"/>
          <w:vertAlign w:val="superscript"/>
        </w:rPr>
      </w:pPr>
    </w:p>
    <w:p w:rsidR="005E5485" w:rsidRDefault="005E5485" w:rsidP="00C21270">
      <w:pPr>
        <w:widowControl w:val="0"/>
        <w:jc w:val="center"/>
        <w:rPr>
          <w:snapToGrid w:val="0"/>
        </w:rPr>
      </w:pPr>
    </w:p>
    <w:p w:rsidR="005E5485" w:rsidRDefault="005E5485" w:rsidP="00C21270">
      <w:pPr>
        <w:widowControl w:val="0"/>
        <w:jc w:val="center"/>
        <w:rPr>
          <w:snapToGrid w:val="0"/>
        </w:rPr>
      </w:pPr>
    </w:p>
    <w:p w:rsidR="005E5485" w:rsidRDefault="005E5485" w:rsidP="00C21270">
      <w:pPr>
        <w:widowControl w:val="0"/>
        <w:jc w:val="center"/>
        <w:rPr>
          <w:snapToGrid w:val="0"/>
        </w:rPr>
      </w:pPr>
      <w:r>
        <w:rPr>
          <w:snapToGrid w:val="0"/>
        </w:rPr>
        <w:t>Санкт-Петербург</w:t>
      </w: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/>
        <w:rPr>
          <w:snapToGrid w:val="0"/>
        </w:rPr>
      </w:pPr>
      <w:r>
        <w:rPr>
          <w:snapToGrid w:val="0"/>
        </w:rPr>
        <w:t>2010</w:t>
      </w:r>
    </w:p>
    <w:p w:rsidR="005E5485" w:rsidRDefault="005E5485" w:rsidP="00C21270">
      <w:pPr>
        <w:spacing w:after="200" w:line="276" w:lineRule="auto"/>
        <w:rPr>
          <w:snapToGrid w:val="0"/>
          <w:szCs w:val="20"/>
        </w:rPr>
      </w:pPr>
    </w:p>
    <w:p w:rsidR="005E5485" w:rsidRDefault="005E5485" w:rsidP="00C21270">
      <w:pPr>
        <w:spacing w:after="200" w:line="276" w:lineRule="auto"/>
        <w:rPr>
          <w:snapToGrid w:val="0"/>
          <w:szCs w:val="20"/>
        </w:rPr>
      </w:pPr>
    </w:p>
    <w:p w:rsidR="005E5485" w:rsidRDefault="005E5485" w:rsidP="00C21270">
      <w:pPr>
        <w:spacing w:after="200" w:line="276" w:lineRule="auto"/>
        <w:rPr>
          <w:snapToGrid w:val="0"/>
          <w:szCs w:val="20"/>
        </w:rPr>
      </w:pPr>
    </w:p>
    <w:p w:rsidR="005E5485" w:rsidRDefault="005E5485" w:rsidP="00C21270">
      <w:pPr>
        <w:jc w:val="center"/>
      </w:pPr>
    </w:p>
    <w:p w:rsidR="005E5485" w:rsidRDefault="005E5485" w:rsidP="00C21270">
      <w:pPr>
        <w:jc w:val="center"/>
      </w:pPr>
    </w:p>
    <w:p w:rsidR="005E5485" w:rsidRDefault="005E5485" w:rsidP="00C21270">
      <w:pPr>
        <w:jc w:val="center"/>
      </w:pPr>
    </w:p>
    <w:p w:rsidR="005E5485" w:rsidRDefault="005E5485" w:rsidP="00C21270">
      <w:pPr>
        <w:jc w:val="center"/>
      </w:pPr>
    </w:p>
    <w:p w:rsidR="005E5485" w:rsidRDefault="005E5485" w:rsidP="00C21270">
      <w:pPr>
        <w:jc w:val="center"/>
      </w:pPr>
    </w:p>
    <w:p w:rsidR="005E5485" w:rsidRDefault="005E5485" w:rsidP="00C21270">
      <w:pPr>
        <w:jc w:val="center"/>
      </w:pPr>
    </w:p>
    <w:p w:rsidR="005E5485" w:rsidRDefault="005E5485" w:rsidP="00C21270">
      <w:pPr>
        <w:jc w:val="center"/>
      </w:pPr>
    </w:p>
    <w:p w:rsidR="005E5485" w:rsidRPr="00E72E2F" w:rsidRDefault="005E5485" w:rsidP="00C21270">
      <w:pPr>
        <w:jc w:val="center"/>
        <w:rPr>
          <w:b/>
          <w:sz w:val="28"/>
          <w:szCs w:val="28"/>
        </w:rPr>
      </w:pPr>
      <w:r w:rsidRPr="00E72E2F">
        <w:rPr>
          <w:b/>
          <w:sz w:val="28"/>
          <w:szCs w:val="28"/>
        </w:rPr>
        <w:t>КУРСОВАЯ РАБОТА</w:t>
      </w:r>
    </w:p>
    <w:p w:rsidR="005E5485" w:rsidRDefault="005E5485" w:rsidP="00C21270">
      <w:pPr>
        <w:jc w:val="center"/>
        <w:rPr>
          <w:sz w:val="28"/>
          <w:szCs w:val="28"/>
        </w:rPr>
      </w:pPr>
    </w:p>
    <w:p w:rsidR="005E5485" w:rsidRDefault="005E5485" w:rsidP="00C21270">
      <w:pPr>
        <w:jc w:val="center"/>
        <w:rPr>
          <w:sz w:val="28"/>
          <w:szCs w:val="28"/>
        </w:rPr>
      </w:pPr>
    </w:p>
    <w:p w:rsidR="005E5485" w:rsidRDefault="005E5485" w:rsidP="00C21270">
      <w:r>
        <w:t>По дисциплине: _____________</w:t>
      </w:r>
      <w:r>
        <w:rPr>
          <w:u w:val="single"/>
        </w:rPr>
        <w:t>Методы контроля и анализа веществ</w:t>
      </w:r>
      <w:r>
        <w:t>__________________</w:t>
      </w:r>
    </w:p>
    <w:p w:rsidR="005E5485" w:rsidRDefault="005E5485" w:rsidP="00C21270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учебной дисциплины согласно учебному плану)</w:t>
      </w:r>
    </w:p>
    <w:p w:rsidR="005E5485" w:rsidRDefault="005E5485" w:rsidP="00C21270">
      <w:pPr>
        <w:jc w:val="center"/>
        <w:rPr>
          <w:sz w:val="16"/>
          <w:szCs w:val="16"/>
        </w:rPr>
      </w:pPr>
    </w:p>
    <w:p w:rsidR="005E5485" w:rsidRDefault="005E5485" w:rsidP="00C21270">
      <w:pPr>
        <w:jc w:val="center"/>
        <w:rPr>
          <w:sz w:val="16"/>
          <w:szCs w:val="16"/>
        </w:rPr>
      </w:pPr>
    </w:p>
    <w:p w:rsidR="005E5485" w:rsidRDefault="005E5485" w:rsidP="00C21270">
      <w:pPr>
        <w:jc w:val="center"/>
        <w:rPr>
          <w:sz w:val="16"/>
          <w:szCs w:val="16"/>
        </w:rPr>
      </w:pPr>
    </w:p>
    <w:p w:rsidR="005E5485" w:rsidRPr="00F712CB" w:rsidRDefault="005E5485" w:rsidP="00C21270">
      <w:r w:rsidRPr="00F712CB">
        <w:t xml:space="preserve">Студента группы   </w:t>
      </w:r>
      <w:r>
        <w:t xml:space="preserve">  .</w:t>
      </w:r>
    </w:p>
    <w:p w:rsidR="005E5485" w:rsidRDefault="005E5485" w:rsidP="00C212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(шифр группы)                                                  (Ф.И.О)</w:t>
      </w:r>
    </w:p>
    <w:p w:rsidR="005E5485" w:rsidRDefault="005E5485" w:rsidP="00C21270">
      <w:pPr>
        <w:tabs>
          <w:tab w:val="left" w:pos="196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5E5485" w:rsidRDefault="005E5485" w:rsidP="00C21270">
      <w:pPr>
        <w:tabs>
          <w:tab w:val="left" w:pos="1965"/>
        </w:tabs>
        <w:rPr>
          <w:sz w:val="16"/>
          <w:szCs w:val="16"/>
        </w:rPr>
      </w:pPr>
    </w:p>
    <w:p w:rsidR="005E5485" w:rsidRDefault="005E5485" w:rsidP="00C21270">
      <w:pPr>
        <w:tabs>
          <w:tab w:val="left" w:pos="1965"/>
        </w:tabs>
        <w:rPr>
          <w:sz w:val="16"/>
          <w:szCs w:val="16"/>
        </w:rPr>
      </w:pPr>
    </w:p>
    <w:p w:rsidR="005E5485" w:rsidRDefault="005E5485" w:rsidP="00C21270">
      <w:pPr>
        <w:tabs>
          <w:tab w:val="left" w:pos="1965"/>
        </w:tabs>
        <w:rPr>
          <w:sz w:val="16"/>
          <w:szCs w:val="16"/>
        </w:rPr>
      </w:pPr>
    </w:p>
    <w:p w:rsidR="005E5485" w:rsidRDefault="005E5485" w:rsidP="00C21270">
      <w:pPr>
        <w:tabs>
          <w:tab w:val="left" w:pos="1965"/>
        </w:tabs>
        <w:rPr>
          <w:sz w:val="16"/>
          <w:szCs w:val="16"/>
        </w:rPr>
      </w:pPr>
    </w:p>
    <w:p w:rsidR="005E5485" w:rsidRDefault="005E5485" w:rsidP="00C21270">
      <w:pPr>
        <w:rPr>
          <w:sz w:val="16"/>
          <w:szCs w:val="16"/>
        </w:rPr>
      </w:pPr>
    </w:p>
    <w:p w:rsidR="005E5485" w:rsidRDefault="005E5485" w:rsidP="00C21270">
      <w:pPr>
        <w:pStyle w:val="1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2CB">
        <w:rPr>
          <w:rFonts w:ascii="Times New Roman" w:hAnsi="Times New Roman"/>
          <w:b/>
          <w:sz w:val="24"/>
          <w:szCs w:val="24"/>
        </w:rPr>
        <w:t>Тема проекта:</w:t>
      </w:r>
      <w:r w:rsidRPr="00F71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Молекулярная фотометрия и спектрофотометрия.</w:t>
      </w:r>
    </w:p>
    <w:p w:rsidR="005E5485" w:rsidRDefault="005E5485" w:rsidP="00C21270">
      <w:pPr>
        <w:pStyle w:val="13"/>
        <w:spacing w:after="0"/>
        <w:ind w:left="1185"/>
        <w:jc w:val="both"/>
        <w:rPr>
          <w:rFonts w:ascii="Times New Roman" w:hAnsi="Times New Roman"/>
          <w:sz w:val="24"/>
          <w:szCs w:val="24"/>
        </w:rPr>
      </w:pPr>
    </w:p>
    <w:p w:rsidR="005E5485" w:rsidRDefault="005E5485" w:rsidP="00C21270">
      <w:pPr>
        <w:pStyle w:val="1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Выходные данные к проекту: </w:t>
      </w:r>
      <w:r>
        <w:rPr>
          <w:rFonts w:ascii="Times New Roman" w:hAnsi="Times New Roman"/>
          <w:sz w:val="24"/>
          <w:szCs w:val="24"/>
        </w:rPr>
        <w:t>методическое указание «Физико-химические методы анлиза» (Санкт-Петербург, 2000)</w:t>
      </w:r>
    </w:p>
    <w:p w:rsidR="005E5485" w:rsidRPr="00CF0A8C" w:rsidRDefault="005E5485" w:rsidP="00C21270">
      <w:pPr>
        <w:pStyle w:val="13"/>
        <w:jc w:val="both"/>
        <w:rPr>
          <w:rFonts w:ascii="Times New Roman" w:hAnsi="Times New Roman"/>
          <w:sz w:val="24"/>
          <w:szCs w:val="24"/>
        </w:rPr>
      </w:pPr>
    </w:p>
    <w:p w:rsidR="005E5485" w:rsidRDefault="005E5485" w:rsidP="00C21270">
      <w:pPr>
        <w:pStyle w:val="1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пояснительной записки: </w:t>
      </w:r>
      <w:r>
        <w:rPr>
          <w:rFonts w:ascii="Times New Roman" w:hAnsi="Times New Roman"/>
          <w:sz w:val="24"/>
          <w:szCs w:val="24"/>
        </w:rPr>
        <w:t>задание на выполнение работы, библиографический список.</w:t>
      </w:r>
    </w:p>
    <w:p w:rsidR="005E5485" w:rsidRPr="00AC5E3D" w:rsidRDefault="005E5485" w:rsidP="00C21270"/>
    <w:p w:rsidR="005E5485" w:rsidRDefault="005E5485" w:rsidP="00C21270">
      <w:pPr>
        <w:pStyle w:val="1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сдачи законченного проекта: 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9C5610">
        <w:rPr>
          <w:rFonts w:ascii="Times New Roman" w:hAnsi="Times New Roman"/>
          <w:sz w:val="24"/>
          <w:szCs w:val="24"/>
          <w:u w:val="single"/>
        </w:rPr>
        <w:t xml:space="preserve">. 12. </w:t>
      </w:r>
      <w:r>
        <w:rPr>
          <w:rFonts w:ascii="Times New Roman" w:hAnsi="Times New Roman"/>
          <w:sz w:val="24"/>
          <w:szCs w:val="24"/>
          <w:u w:val="single"/>
        </w:rPr>
        <w:t>10</w:t>
      </w:r>
    </w:p>
    <w:p w:rsidR="005E5485" w:rsidRDefault="005E5485" w:rsidP="00C21270">
      <w:pPr>
        <w:pStyle w:val="13"/>
        <w:rPr>
          <w:rFonts w:ascii="Times New Roman" w:hAnsi="Times New Roman"/>
          <w:sz w:val="24"/>
          <w:szCs w:val="24"/>
        </w:rPr>
      </w:pPr>
    </w:p>
    <w:p w:rsidR="005E5485" w:rsidRPr="00CF0A8C" w:rsidRDefault="005E5485" w:rsidP="00C21270">
      <w:pPr>
        <w:pStyle w:val="13"/>
        <w:rPr>
          <w:rFonts w:ascii="Times New Roman" w:hAnsi="Times New Roman"/>
          <w:sz w:val="24"/>
          <w:szCs w:val="24"/>
        </w:rPr>
      </w:pPr>
    </w:p>
    <w:p w:rsidR="005E5485" w:rsidRDefault="005E5485" w:rsidP="00C21270">
      <w:r>
        <w:t xml:space="preserve">              </w:t>
      </w:r>
      <w:r>
        <w:rPr>
          <w:b/>
        </w:rPr>
        <w:t xml:space="preserve">Руководитель проекта:   </w:t>
      </w:r>
      <w:r>
        <w:rPr>
          <w:u w:val="single"/>
        </w:rPr>
        <w:t>доцент</w:t>
      </w:r>
      <w:r>
        <w:t xml:space="preserve">           ____________               /</w:t>
      </w:r>
      <w:r>
        <w:rPr>
          <w:u w:val="single"/>
        </w:rPr>
        <w:t>.</w:t>
      </w:r>
      <w:r>
        <w:t>/</w:t>
      </w:r>
    </w:p>
    <w:p w:rsidR="005E5485" w:rsidRDefault="005E5485" w:rsidP="00C21270"/>
    <w:p w:rsidR="005E5485" w:rsidRPr="00E72E2F" w:rsidRDefault="005E5485" w:rsidP="00C21270">
      <w:pPr>
        <w:rPr>
          <w:u w:val="single"/>
        </w:rPr>
      </w:pPr>
      <w:r>
        <w:t xml:space="preserve">              </w:t>
      </w:r>
      <w:r>
        <w:rPr>
          <w:b/>
        </w:rPr>
        <w:t xml:space="preserve">Дата выдачи задания: </w:t>
      </w:r>
      <w:r>
        <w:rPr>
          <w:u w:val="single"/>
        </w:rPr>
        <w:t>15</w:t>
      </w:r>
      <w:r w:rsidRPr="009C5610">
        <w:rPr>
          <w:u w:val="single"/>
        </w:rPr>
        <w:t xml:space="preserve">. 09. </w:t>
      </w:r>
      <w:r>
        <w:rPr>
          <w:u w:val="single"/>
        </w:rPr>
        <w:t>10</w:t>
      </w:r>
    </w:p>
    <w:p w:rsidR="005E5485" w:rsidRDefault="005E5485" w:rsidP="00C21270">
      <w:r>
        <w:t xml:space="preserve">              </w:t>
      </w:r>
    </w:p>
    <w:p w:rsidR="005E5485" w:rsidRDefault="005E5485" w:rsidP="00C21270">
      <w:pPr>
        <w:pStyle w:val="xl26"/>
        <w:widowControl w:val="0"/>
        <w:pBdr>
          <w:left w:val="none" w:sz="0" w:space="0" w:color="auto"/>
          <w:bottom w:val="none" w:sz="0" w:space="0" w:color="auto"/>
        </w:pBdr>
        <w:spacing w:before="0" w:after="0"/>
        <w:rPr>
          <w:snapToGrid w:val="0"/>
        </w:rPr>
      </w:pPr>
    </w:p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/>
    <w:p w:rsidR="005E5485" w:rsidRDefault="005E5485" w:rsidP="00D74A10">
      <w:pPr>
        <w:pStyle w:val="6"/>
      </w:pPr>
      <w:bookmarkStart w:id="10" w:name="_Toc278134027"/>
      <w:bookmarkStart w:id="11" w:name="_Toc278137005"/>
      <w:bookmarkStart w:id="12" w:name="_Toc278451747"/>
      <w:bookmarkStart w:id="13" w:name="_Toc278452479"/>
      <w:r>
        <w:t>Оглавление</w:t>
      </w:r>
      <w:bookmarkEnd w:id="10"/>
      <w:bookmarkEnd w:id="11"/>
      <w:bookmarkEnd w:id="12"/>
      <w:bookmarkEnd w:id="13"/>
    </w:p>
    <w:p w:rsidR="005E5485" w:rsidRDefault="005E5485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r>
        <w:fldChar w:fldCharType="begin"/>
      </w:r>
      <w:r>
        <w:instrText xml:space="preserve"> TOC \h \z \u \t "Заголовок 6;1" </w:instrText>
      </w:r>
      <w:r>
        <w:fldChar w:fldCharType="separate"/>
      </w:r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0" w:history="1">
        <w:r w:rsidR="005E5485" w:rsidRPr="00B34C21">
          <w:rPr>
            <w:rStyle w:val="a9"/>
            <w:noProof/>
          </w:rPr>
          <w:t>Аннотация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_Toc278452480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2" w:history="1">
        <w:r w:rsidR="005E5485" w:rsidRPr="00B34C21">
          <w:rPr>
            <w:rStyle w:val="a9"/>
            <w:noProof/>
          </w:rPr>
          <w:t>Краткая историческая справка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_Toc278452482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3" w:history="1">
        <w:r w:rsidR="005E5485" w:rsidRPr="00B34C21">
          <w:rPr>
            <w:rStyle w:val="a9"/>
            <w:noProof/>
          </w:rPr>
          <w:t>Понятие «спектральный анализ»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_Toc278452483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4" w:history="1">
        <w:r w:rsidR="005E5485" w:rsidRPr="00B34C21">
          <w:rPr>
            <w:rStyle w:val="a9"/>
            <w:noProof/>
          </w:rPr>
          <w:t>Законы поглощения света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_Toc278452484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5" w:history="1">
        <w:r w:rsidR="005E5485" w:rsidRPr="00B34C21">
          <w:rPr>
            <w:rStyle w:val="a9"/>
            <w:noProof/>
          </w:rPr>
          <w:t>Ограничения и условия применимости закона Бугера-Ламберта-Бера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_Toc278452485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6" w:history="1">
        <w:r w:rsidR="005E5485" w:rsidRPr="00B34C21">
          <w:rPr>
            <w:rStyle w:val="a9"/>
            <w:noProof/>
          </w:rPr>
          <w:t>Молекулярный спектральный анализ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_Toc278452486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7" w:history="1">
        <w:r w:rsidR="005E5485" w:rsidRPr="00B34C21">
          <w:rPr>
            <w:rStyle w:val="a9"/>
            <w:noProof/>
          </w:rPr>
          <w:t>Применение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_Toc278452487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8" w:history="1">
        <w:r w:rsidR="005E5485" w:rsidRPr="00B34C21">
          <w:rPr>
            <w:rStyle w:val="a9"/>
            <w:noProof/>
          </w:rPr>
          <w:t>Принципиальная схема спектрометра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_Toc278452488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Default="005709B6">
      <w:pPr>
        <w:pStyle w:val="14"/>
        <w:tabs>
          <w:tab w:val="righ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78452489" w:history="1">
        <w:r w:rsidR="005E5485" w:rsidRPr="00B34C21">
          <w:rPr>
            <w:rStyle w:val="a9"/>
            <w:noProof/>
          </w:rPr>
          <w:t>Библиографический список</w:t>
        </w:r>
        <w:r w:rsidR="005E5485">
          <w:rPr>
            <w:noProof/>
            <w:webHidden/>
          </w:rPr>
          <w:tab/>
        </w:r>
        <w:r w:rsidR="005E5485">
          <w:rPr>
            <w:noProof/>
            <w:webHidden/>
          </w:rPr>
          <w:fldChar w:fldCharType="begin"/>
        </w:r>
        <w:r w:rsidR="005E5485">
          <w:rPr>
            <w:noProof/>
            <w:webHidden/>
          </w:rPr>
          <w:instrText xml:space="preserve"> PAGEREF _Toc278452489 \h </w:instrText>
        </w:r>
        <w:r w:rsidR="005E5485">
          <w:rPr>
            <w:noProof/>
            <w:webHidden/>
          </w:rPr>
        </w:r>
        <w:r w:rsidR="005E5485">
          <w:rPr>
            <w:noProof/>
            <w:webHidden/>
          </w:rPr>
          <w:fldChar w:fldCharType="separate"/>
        </w:r>
        <w:r w:rsidR="00805F11">
          <w:rPr>
            <w:noProof/>
            <w:webHidden/>
          </w:rPr>
          <w:t>- 3 -</w:t>
        </w:r>
        <w:r w:rsidR="005E5485">
          <w:rPr>
            <w:noProof/>
            <w:webHidden/>
          </w:rPr>
          <w:fldChar w:fldCharType="end"/>
        </w:r>
      </w:hyperlink>
    </w:p>
    <w:p w:rsidR="005E5485" w:rsidRPr="00D74A10" w:rsidRDefault="005E5485" w:rsidP="00D74A10">
      <w:r>
        <w:fldChar w:fldCharType="end"/>
      </w:r>
    </w:p>
    <w:p w:rsidR="005E5485" w:rsidRDefault="005E5485" w:rsidP="00D74A10">
      <w:pPr>
        <w:spacing w:line="480" w:lineRule="auto"/>
        <w:jc w:val="both"/>
      </w:pPr>
      <w:r>
        <w:br w:type="page"/>
      </w:r>
    </w:p>
    <w:p w:rsidR="005E5485" w:rsidRDefault="005E5485" w:rsidP="00662D7C">
      <w:pPr>
        <w:pStyle w:val="6"/>
      </w:pPr>
      <w:bookmarkStart w:id="14" w:name="_Toc278452480"/>
      <w:r>
        <w:t>Аннотация</w:t>
      </w:r>
      <w:bookmarkEnd w:id="14"/>
    </w:p>
    <w:p w:rsidR="005E5485" w:rsidRPr="00721D44" w:rsidRDefault="005E5485" w:rsidP="00025FD7">
      <w:pPr>
        <w:pStyle w:val="aa"/>
        <w:spacing w:line="360" w:lineRule="auto"/>
        <w:ind w:firstLine="708"/>
      </w:pPr>
      <w:r w:rsidRPr="00721D44">
        <w:t xml:space="preserve">Данная пояснительная записка представляет собой отчет о выполнении курсового проекта. В ней рассматриваются </w:t>
      </w:r>
      <w:r>
        <w:t xml:space="preserve">основные </w:t>
      </w:r>
      <w:r w:rsidRPr="00721D44">
        <w:t xml:space="preserve">вопросы </w:t>
      </w:r>
      <w:r>
        <w:t>молекулярной фотометрии и спектрофотометрии.</w:t>
      </w:r>
    </w:p>
    <w:p w:rsidR="005E5485" w:rsidRPr="00721D44" w:rsidRDefault="005E5485" w:rsidP="00025FD7">
      <w:pPr>
        <w:pStyle w:val="aa"/>
        <w:spacing w:line="360" w:lineRule="auto"/>
        <w:ind w:left="709"/>
      </w:pPr>
      <w:r w:rsidRPr="00721D44">
        <w:t>Страниц</w:t>
      </w:r>
      <w:r>
        <w:t xml:space="preserve"> 15</w:t>
      </w:r>
      <w:r w:rsidRPr="00721D44">
        <w:t xml:space="preserve">, рисунков </w:t>
      </w:r>
      <w:r>
        <w:t>2</w:t>
      </w:r>
      <w:r w:rsidRPr="00721D44">
        <w:t>.</w:t>
      </w:r>
    </w:p>
    <w:p w:rsidR="005E5485" w:rsidRDefault="005E5485" w:rsidP="00025FD7">
      <w:pPr>
        <w:pStyle w:val="aa"/>
        <w:spacing w:line="360" w:lineRule="auto"/>
        <w:jc w:val="center"/>
        <w:rPr>
          <w:sz w:val="28"/>
          <w:szCs w:val="28"/>
        </w:rPr>
      </w:pPr>
    </w:p>
    <w:p w:rsidR="005E5485" w:rsidRPr="00B4704A" w:rsidRDefault="005E5485" w:rsidP="00025FD7">
      <w:pPr>
        <w:pStyle w:val="6"/>
        <w:rPr>
          <w:lang w:val="en-US"/>
        </w:rPr>
      </w:pPr>
      <w:bookmarkStart w:id="15" w:name="_Toc278451749"/>
      <w:bookmarkStart w:id="16" w:name="_Toc278452481"/>
      <w:r w:rsidRPr="00B4704A">
        <w:rPr>
          <w:lang w:val="en-US"/>
        </w:rPr>
        <w:t>The Summary</w:t>
      </w:r>
      <w:bookmarkEnd w:id="15"/>
      <w:bookmarkEnd w:id="16"/>
    </w:p>
    <w:p w:rsidR="005E5485" w:rsidRPr="00721D44" w:rsidRDefault="005E5485" w:rsidP="00025FD7">
      <w:pPr>
        <w:pStyle w:val="aa"/>
        <w:spacing w:line="360" w:lineRule="auto"/>
        <w:ind w:firstLine="708"/>
        <w:rPr>
          <w:lang w:val="en-US"/>
        </w:rPr>
      </w:pPr>
      <w:r w:rsidRPr="00721D44">
        <w:rPr>
          <w:lang w:val="en-US"/>
        </w:rPr>
        <w:t xml:space="preserve">The given explanatory note represents the report on performance of the course project. In it are considered </w:t>
      </w:r>
      <w:r>
        <w:rPr>
          <w:lang w:val="en-US"/>
        </w:rPr>
        <w:t xml:space="preserve">main </w:t>
      </w:r>
      <w:r w:rsidRPr="00721D44">
        <w:rPr>
          <w:lang w:val="en-US"/>
        </w:rPr>
        <w:t>questions of</w:t>
      </w:r>
      <w:r>
        <w:rPr>
          <w:lang w:val="en-US"/>
        </w:rPr>
        <w:t xml:space="preserve"> </w:t>
      </w:r>
      <w:r w:rsidRPr="00025FD7">
        <w:rPr>
          <w:lang w:val="en-US"/>
        </w:rPr>
        <w:tab/>
        <w:t>molecular</w:t>
      </w:r>
      <w:r>
        <w:rPr>
          <w:lang w:val="en-US"/>
        </w:rPr>
        <w:t xml:space="preserve"> </w:t>
      </w:r>
      <w:r w:rsidRPr="00025FD7">
        <w:rPr>
          <w:lang w:val="en-US"/>
        </w:rPr>
        <w:t>photometry</w:t>
      </w:r>
      <w:r>
        <w:rPr>
          <w:lang w:val="en-US"/>
        </w:rPr>
        <w:t xml:space="preserve"> and </w:t>
      </w:r>
      <w:r w:rsidRPr="00025FD7">
        <w:rPr>
          <w:lang w:val="en-US"/>
        </w:rPr>
        <w:t>spectrophotometric analysis</w:t>
      </w:r>
      <w:r w:rsidRPr="00721D44">
        <w:rPr>
          <w:lang w:val="en-US"/>
        </w:rPr>
        <w:t>.</w:t>
      </w:r>
    </w:p>
    <w:p w:rsidR="005E5485" w:rsidRPr="00452FB6" w:rsidRDefault="005E5485" w:rsidP="00025FD7">
      <w:pPr>
        <w:pStyle w:val="aa"/>
        <w:spacing w:line="360" w:lineRule="auto"/>
        <w:ind w:left="709"/>
        <w:rPr>
          <w:lang w:val="en-US"/>
        </w:rPr>
      </w:pPr>
      <w:r w:rsidRPr="00721D44">
        <w:rPr>
          <w:lang w:val="en-US"/>
        </w:rPr>
        <w:t xml:space="preserve">Pages </w:t>
      </w:r>
      <w:r>
        <w:rPr>
          <w:lang w:val="en-US"/>
        </w:rPr>
        <w:t>15</w:t>
      </w:r>
      <w:r w:rsidRPr="00721D44">
        <w:rPr>
          <w:lang w:val="en-US"/>
        </w:rPr>
        <w:t xml:space="preserve">, figures </w:t>
      </w:r>
      <w:r>
        <w:rPr>
          <w:lang w:val="en-US"/>
        </w:rPr>
        <w:t>2</w:t>
      </w:r>
      <w:r w:rsidRPr="00452FB6">
        <w:rPr>
          <w:lang w:val="en-US"/>
        </w:rPr>
        <w:t>.</w:t>
      </w:r>
    </w:p>
    <w:p w:rsidR="005E5485" w:rsidRPr="00025FD7" w:rsidRDefault="005E5485">
      <w:pPr>
        <w:spacing w:after="200" w:line="276" w:lineRule="auto"/>
        <w:rPr>
          <w:lang w:val="en-US"/>
        </w:rPr>
      </w:pPr>
      <w:r w:rsidRPr="00025FD7">
        <w:rPr>
          <w:lang w:val="en-US"/>
        </w:rPr>
        <w:br w:type="page"/>
      </w:r>
    </w:p>
    <w:p w:rsidR="005E5485" w:rsidRDefault="005E5485" w:rsidP="00662D7C">
      <w:pPr>
        <w:pStyle w:val="6"/>
      </w:pPr>
      <w:bookmarkStart w:id="17" w:name="_Toc278452482"/>
      <w:r>
        <w:t>Краткая историческая справка</w:t>
      </w:r>
      <w:bookmarkEnd w:id="17"/>
    </w:p>
    <w:p w:rsidR="005E5485" w:rsidRDefault="005E5485" w:rsidP="00662D7C">
      <w:pPr>
        <w:spacing w:line="480" w:lineRule="auto"/>
        <w:ind w:firstLine="709"/>
        <w:jc w:val="both"/>
      </w:pPr>
      <w:r>
        <w:t>Спектроскопия вообще и молекулярная спектроскопия в частности – это разделы физики, занимающиеся изучением качественного и количественного составов электромагнитного излучения, поглощенного, испущенного, рассеянного или отраженного веществом. Электромагнитное излучение, разложенное по длинам волн или по энергии, образует спектр. В качестве объектов спектрометрического исследования могут быть использованы самые разнообразные вещества, находящиеся в любых агрегатных состояниях. В простейшем случае это разреженный газ, среднее расстояние между молекулами которого настолько велико, что их можно рассматривать изолированно друг от друга. В наиболее сложном случае это конденсированное тело, в котором каждая образующаяся его частица находится под влиянием сил межмолекулярного взаимодействия. В связи с этим из спектроскопических данных можно получать информацию как о структуре и свойствах молекул, так и о силах межмолекулярного взаимодействия, а следовательно, и о строении вещества в целом.</w:t>
      </w:r>
    </w:p>
    <w:p w:rsidR="005E5485" w:rsidRDefault="005E5485" w:rsidP="00662D7C">
      <w:pPr>
        <w:spacing w:line="480" w:lineRule="auto"/>
        <w:ind w:firstLine="709"/>
        <w:jc w:val="both"/>
      </w:pPr>
      <w:r>
        <w:t xml:space="preserve">В развитии спектроскопии как физического метода исследования веществ можно выделить два основных этапа. Первый этап представляет собой период эмпирического накопления фактов (разложение белого света в спектр с помощью призмы – Ньютон, 1666г.; наблюдение линий и полос поглощения – Волластон и Фраунгофер, 1802-1814гг.), установления многих фундаментальных феноменологических закономерностей (связь между поглощательной и излучательной способностью вещества – Кирхгоф, 1859г.; влияние на спектральные линии внешних магнитных и электрических полей – Зееман, 1896г., Штарк, 1913г.), а также попыток теоретического описания и интерпретации наблюдаемых зависимостей (классическая теория поглощения и дисперсии – вторая половина </w:t>
      </w:r>
      <w:r>
        <w:rPr>
          <w:lang w:val="en-US"/>
        </w:rPr>
        <w:t>XIX</w:t>
      </w:r>
      <w:r>
        <w:t>в.; гипотеза квантов энергии – Планк, 1900г.).</w:t>
      </w:r>
    </w:p>
    <w:p w:rsidR="005E5485" w:rsidRDefault="005E5485" w:rsidP="007B114E">
      <w:pPr>
        <w:spacing w:line="480" w:lineRule="auto"/>
        <w:ind w:firstLine="709"/>
        <w:jc w:val="both"/>
      </w:pPr>
      <w:r>
        <w:t>Второй этап, начавшийся после формулировки Бором в 1913г. своих знаменитых квантовых постулатов и последовавшего за этим бурного развития квантовой теории, ознаменовался тем, что спектроскопия была поставлена на прочную научную основу. Значительный вклад в это внесли русские и в особенности советские ученые (Рождественский, Вавилов, Басов, Прохоров и пр.). В настоящее время спектроскопия и , в частности, молекулярная спектроскопия является одним из важнейших и перспективных физических методов исследования веществ, что делает ее особенно эффективной при решении разнообразных задач современной химии.</w:t>
      </w:r>
    </w:p>
    <w:p w:rsidR="005E5485" w:rsidRDefault="005E5485" w:rsidP="007B114E">
      <w:pPr>
        <w:spacing w:line="480" w:lineRule="auto"/>
        <w:ind w:firstLine="709"/>
        <w:jc w:val="both"/>
      </w:pPr>
    </w:p>
    <w:p w:rsidR="005E5485" w:rsidRDefault="005E5485">
      <w:pPr>
        <w:spacing w:after="200" w:line="276" w:lineRule="auto"/>
        <w:rPr>
          <w:rFonts w:eastAsia="Arial Unicode MS"/>
          <w:sz w:val="28"/>
          <w:szCs w:val="20"/>
        </w:rPr>
      </w:pPr>
      <w:r>
        <w:br w:type="page"/>
      </w:r>
    </w:p>
    <w:p w:rsidR="005E5485" w:rsidRDefault="005E5485" w:rsidP="00E100C2">
      <w:pPr>
        <w:pStyle w:val="6"/>
      </w:pPr>
      <w:bookmarkStart w:id="18" w:name="_Toc278452483"/>
      <w:r>
        <w:t>Понятие «спектральный анализ»</w:t>
      </w:r>
      <w:bookmarkEnd w:id="18"/>
    </w:p>
    <w:p w:rsidR="005E5485" w:rsidRDefault="005E5485" w:rsidP="007B114E">
      <w:pPr>
        <w:spacing w:line="480" w:lineRule="auto"/>
        <w:ind w:firstLine="709"/>
        <w:jc w:val="both"/>
      </w:pPr>
      <w:r>
        <w:t xml:space="preserve">Под названием </w:t>
      </w:r>
      <w:r w:rsidRPr="00E100C2">
        <w:rPr>
          <w:i/>
        </w:rPr>
        <w:t>спектральный анализ</w:t>
      </w:r>
      <w:r>
        <w:t xml:space="preserve"> понимают физический метод анализа химического состава вещества, основанный на исследовании спектров испускания и поглощения атомов или молекул. Эти спектры определяются свойствами электронных оболочек атомов и молекул, колебаниями атомных ядер в молекулах и вращением молекул, а также воздействием массы и структуры атомных ядер на положение энергетических уровней. </w:t>
      </w:r>
    </w:p>
    <w:p w:rsidR="005E5485" w:rsidRDefault="005E5485" w:rsidP="007B114E">
      <w:pPr>
        <w:spacing w:line="480" w:lineRule="auto"/>
        <w:ind w:firstLine="709"/>
        <w:jc w:val="both"/>
      </w:pPr>
      <w:r>
        <w:t>Различные типы спектрального анализа следует рассматривать с трех позиций:</w:t>
      </w:r>
    </w:p>
    <w:p w:rsidR="005E5485" w:rsidRDefault="005E5485" w:rsidP="007B114E">
      <w:pPr>
        <w:pStyle w:val="1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100C2">
        <w:rPr>
          <w:rFonts w:ascii="Times New Roman" w:hAnsi="Times New Roman"/>
          <w:sz w:val="24"/>
          <w:szCs w:val="24"/>
        </w:rPr>
        <w:t>По решаемым задачам</w:t>
      </w:r>
      <w:r>
        <w:rPr>
          <w:rFonts w:ascii="Times New Roman" w:hAnsi="Times New Roman"/>
          <w:sz w:val="24"/>
          <w:szCs w:val="24"/>
        </w:rPr>
        <w:t>:</w:t>
      </w:r>
    </w:p>
    <w:p w:rsidR="005E5485" w:rsidRDefault="005E5485" w:rsidP="007B114E">
      <w:pPr>
        <w:pStyle w:val="13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Элементный – устанавливается состав пробы по элементам</w:t>
      </w:r>
    </w:p>
    <w:p w:rsidR="005E5485" w:rsidRDefault="005E5485" w:rsidP="007B114E">
      <w:pPr>
        <w:pStyle w:val="13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Изотопный – устанавливается состав пробы по изотопам</w:t>
      </w:r>
    </w:p>
    <w:p w:rsidR="005E5485" w:rsidRDefault="005E5485" w:rsidP="007B114E">
      <w:pPr>
        <w:pStyle w:val="13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Молекулярный – устанавливается молекулярный состав пробы</w:t>
      </w:r>
    </w:p>
    <w:p w:rsidR="005E5485" w:rsidRPr="00E100C2" w:rsidRDefault="005E5485" w:rsidP="007B114E">
      <w:pPr>
        <w:pStyle w:val="13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100C2">
        <w:rPr>
          <w:rFonts w:ascii="Times New Roman" w:hAnsi="Times New Roman"/>
          <w:sz w:val="24"/>
          <w:szCs w:val="24"/>
        </w:rPr>
        <w:t>Структурный – устанавливаются структурные составляющие молекулярного соединения</w:t>
      </w:r>
    </w:p>
    <w:p w:rsidR="005E5485" w:rsidRPr="00E100C2" w:rsidRDefault="005E5485" w:rsidP="007B114E">
      <w:pPr>
        <w:pStyle w:val="1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E100C2">
        <w:rPr>
          <w:rFonts w:ascii="Times New Roman" w:hAnsi="Times New Roman"/>
          <w:sz w:val="24"/>
          <w:szCs w:val="24"/>
        </w:rPr>
        <w:t>По применяемым методам</w:t>
      </w:r>
      <w:r>
        <w:rPr>
          <w:rFonts w:ascii="Times New Roman" w:hAnsi="Times New Roman"/>
          <w:sz w:val="24"/>
          <w:szCs w:val="24"/>
        </w:rPr>
        <w:t>:</w:t>
      </w:r>
    </w:p>
    <w:p w:rsidR="005E5485" w:rsidRPr="007D082B" w:rsidRDefault="005E5485" w:rsidP="007B114E">
      <w:pPr>
        <w:pStyle w:val="13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Эмиссионный, использующий спектры поглощения, главным образом атомов.</w:t>
      </w:r>
    </w:p>
    <w:p w:rsidR="005E5485" w:rsidRPr="007D082B" w:rsidRDefault="005E5485" w:rsidP="007B114E">
      <w:pPr>
        <w:pStyle w:val="13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Абсорбционный, использующий спектры поглощения, главным образом молекул и их структурных частей</w:t>
      </w:r>
    </w:p>
    <w:p w:rsidR="005E5485" w:rsidRPr="007D082B" w:rsidRDefault="005E5485" w:rsidP="007B114E">
      <w:pPr>
        <w:pStyle w:val="13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Комбинационный, использующий спектры комбинационного рассеяния твердых, жидких и газообразных проб, возбуждаемые монохроматическим излучением</w:t>
      </w:r>
    </w:p>
    <w:p w:rsidR="005E5485" w:rsidRPr="007D082B" w:rsidRDefault="005E5485" w:rsidP="007B114E">
      <w:pPr>
        <w:pStyle w:val="13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Люминесцентный, использующий спектры люминесценции вещества, возбуждаемые ультрафиолетовым излучением или катодными лучами</w:t>
      </w:r>
    </w:p>
    <w:p w:rsidR="005E5485" w:rsidRPr="007B114E" w:rsidRDefault="005E5485" w:rsidP="007B114E">
      <w:pPr>
        <w:pStyle w:val="13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Рентгеновский, использующий рентгеновские спектры атомов, получающиеся при переходах внутренних электронов в атомах, или дифракцию рентгеновых лучей при </w:t>
      </w:r>
      <w:r w:rsidRPr="007B114E">
        <w:rPr>
          <w:rFonts w:ascii="Times New Roman" w:hAnsi="Times New Roman"/>
          <w:sz w:val="24"/>
          <w:szCs w:val="24"/>
        </w:rPr>
        <w:t>прохождении их через исследуемый объект для изучения структуры вещества</w:t>
      </w:r>
    </w:p>
    <w:p w:rsidR="005E5485" w:rsidRPr="007B114E" w:rsidRDefault="005E5485" w:rsidP="007B114E">
      <w:pPr>
        <w:pStyle w:val="13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B114E">
        <w:rPr>
          <w:rFonts w:ascii="Times New Roman" w:hAnsi="Times New Roman"/>
          <w:sz w:val="24"/>
          <w:szCs w:val="24"/>
        </w:rPr>
        <w:t>Радиоспектроскопический, использующий спектры поглощения молекул в микроволновом участке спектра с длинами волн больше 1 мм</w:t>
      </w:r>
    </w:p>
    <w:p w:rsidR="005E5485" w:rsidRPr="007B114E" w:rsidRDefault="005E5485" w:rsidP="007B114E">
      <w:pPr>
        <w:pStyle w:val="1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B114E">
        <w:rPr>
          <w:rFonts w:ascii="Times New Roman" w:hAnsi="Times New Roman"/>
          <w:sz w:val="24"/>
          <w:szCs w:val="24"/>
        </w:rPr>
        <w:t>По характеру получаемых результатов:</w:t>
      </w:r>
    </w:p>
    <w:p w:rsidR="005E5485" w:rsidRPr="007B114E" w:rsidRDefault="005E5485" w:rsidP="007B114E">
      <w:pPr>
        <w:pStyle w:val="13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B114E">
        <w:rPr>
          <w:rFonts w:ascii="Times New Roman" w:hAnsi="Times New Roman"/>
          <w:sz w:val="24"/>
          <w:szCs w:val="24"/>
        </w:rPr>
        <w:t>Качественный, когда в результате анализа определяется состав без указания на количественное соотношение компонентов</w:t>
      </w:r>
    </w:p>
    <w:p w:rsidR="005E5485" w:rsidRPr="007B114E" w:rsidRDefault="005E5485" w:rsidP="007B114E">
      <w:pPr>
        <w:pStyle w:val="13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B114E">
        <w:rPr>
          <w:rFonts w:ascii="Times New Roman" w:hAnsi="Times New Roman"/>
          <w:sz w:val="24"/>
          <w:szCs w:val="24"/>
        </w:rPr>
        <w:t>Полуколичественный, когда результат выдается в виде оценки содержания компонентов в некоторых более или менее узких интервалах концентраций в зависимости от применяемого метода приближенной количественной оценки</w:t>
      </w:r>
    </w:p>
    <w:p w:rsidR="005E5485" w:rsidRDefault="005E5485" w:rsidP="007B114E">
      <w:pPr>
        <w:pStyle w:val="13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B114E">
        <w:rPr>
          <w:rFonts w:ascii="Times New Roman" w:hAnsi="Times New Roman"/>
          <w:sz w:val="24"/>
          <w:szCs w:val="24"/>
        </w:rPr>
        <w:t>Количественный, при котором выдается точное количественное содержание определяемых элементов или соединений в пробе.</w:t>
      </w:r>
    </w:p>
    <w:p w:rsidR="005E5485" w:rsidRDefault="005E5485" w:rsidP="007B114E">
      <w:pPr>
        <w:spacing w:line="480" w:lineRule="auto"/>
        <w:ind w:firstLine="709"/>
        <w:jc w:val="both"/>
      </w:pPr>
    </w:p>
    <w:p w:rsidR="005E5485" w:rsidRDefault="005E5485">
      <w:pPr>
        <w:spacing w:after="200" w:line="276" w:lineRule="auto"/>
        <w:rPr>
          <w:rFonts w:eastAsia="Arial Unicode MS"/>
          <w:sz w:val="28"/>
          <w:szCs w:val="20"/>
        </w:rPr>
      </w:pPr>
      <w:r>
        <w:br w:type="page"/>
      </w:r>
    </w:p>
    <w:p w:rsidR="005E5485" w:rsidRDefault="005E5485" w:rsidP="007B114E">
      <w:pPr>
        <w:pStyle w:val="6"/>
      </w:pPr>
      <w:bookmarkStart w:id="19" w:name="_Toc278452484"/>
      <w:r>
        <w:t>Законы поглощения света</w:t>
      </w:r>
      <w:bookmarkEnd w:id="19"/>
    </w:p>
    <w:p w:rsidR="005E5485" w:rsidRDefault="005E5485" w:rsidP="007B114E">
      <w:pPr>
        <w:spacing w:line="480" w:lineRule="auto"/>
        <w:ind w:firstLine="709"/>
        <w:jc w:val="both"/>
      </w:pPr>
      <w:r>
        <w:t>Молекулярный анализ с помощью спектров поглощения основан на использовании законов поглощения света. Формальное выражение этих законов одинаково для излучения любых частот, от инфракрасных до ультрафиолетовых.</w:t>
      </w:r>
    </w:p>
    <w:p w:rsidR="005E5485" w:rsidRDefault="005E5485" w:rsidP="007B114E">
      <w:pPr>
        <w:spacing w:line="480" w:lineRule="auto"/>
        <w:ind w:firstLine="709"/>
        <w:jc w:val="both"/>
      </w:pPr>
      <w:r>
        <w:t>Рассмотрим наиболее простой случай, когда лучи монохроматического света проходят через поглощающее вещество параллельным пучком, причем ослабление света определяется только числом поглощающих молекул, находящихся на пути лучей, и не зависит от абсолютной величины потока, а также от взаимного влияния молекул. В более сложных случаях требуются дополнительные расчеты, при которых используются законы ослабления пучка параллельных лучей. Первый из законов поглощения, открытый французским ученым Бугером (1729г.) и подробно проанализированный Ламбертом (1760г.) можно сформулировать следующим образом: каждый бесконечно тонкий слой внутри однородной среды поглощает определенную долю входящего в него потока излучения, пропорциональную его толщине. Вторая закономерность была установлена Бером (1852г.): поглощение данным тонким слоем однородной среды пропорционально числу содержащихся в нем поглощающих молекул, а следовательно также числу их в единице объема среды, т.е. концентрации. Установленные опытным путем Бугером, Ламбертом и Бером закономерности можно выразить математическим выражением:</w:t>
      </w:r>
    </w:p>
    <w:p w:rsidR="005E5485" w:rsidRDefault="005E5485" w:rsidP="001200FE">
      <w:pPr>
        <w:spacing w:line="480" w:lineRule="auto"/>
        <w:ind w:firstLine="709"/>
        <w:jc w:val="center"/>
      </w:pPr>
      <w:r w:rsidRPr="001200FE">
        <w:rPr>
          <w:position w:val="-24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0.75pt" o:ole="">
            <v:imagedata r:id="rId7" o:title=""/>
          </v:shape>
          <o:OLEObject Type="Embed" ProgID="Equation.3" ShapeID="_x0000_i1025" DrawAspect="Content" ObjectID="_1470812121" r:id="rId8"/>
        </w:object>
      </w:r>
      <w:r>
        <w:t xml:space="preserve">  (1)</w:t>
      </w:r>
    </w:p>
    <w:p w:rsidR="005E5485" w:rsidRDefault="005E5485" w:rsidP="001200FE">
      <w:pPr>
        <w:spacing w:line="480" w:lineRule="auto"/>
        <w:jc w:val="both"/>
      </w:pPr>
      <w:r>
        <w:t xml:space="preserve">где </w:t>
      </w:r>
      <w:r w:rsidRPr="001200FE">
        <w:rPr>
          <w:position w:val="-6"/>
        </w:rPr>
        <w:object w:dxaOrig="240" w:dyaOrig="220">
          <v:shape id="_x0000_i1026" type="#_x0000_t75" style="width:12pt;height:11.25pt" o:ole="">
            <v:imagedata r:id="rId9" o:title=""/>
          </v:shape>
          <o:OLEObject Type="Embed" ProgID="Equation.3" ShapeID="_x0000_i1026" DrawAspect="Content" ObjectID="_1470812122" r:id="rId10"/>
        </w:object>
      </w:r>
      <w:r>
        <w:t xml:space="preserve"> - показатель поглощения света, рассчитанный на единицу концентрации вещества и на единицу толщины слоя, - константа, не зависящая от интенсивности падающего света и концентрации вещества (но зависящая от длины волны света). Физический смысл </w:t>
      </w:r>
      <w:r w:rsidRPr="001200FE">
        <w:rPr>
          <w:position w:val="-6"/>
        </w:rPr>
        <w:object w:dxaOrig="240" w:dyaOrig="220">
          <v:shape id="_x0000_i1027" type="#_x0000_t75" style="width:12pt;height:11.25pt" o:ole="">
            <v:imagedata r:id="rId9" o:title=""/>
          </v:shape>
          <o:OLEObject Type="Embed" ProgID="Equation.3" ShapeID="_x0000_i1027" DrawAspect="Content" ObjectID="_1470812123" r:id="rId11"/>
        </w:object>
      </w:r>
      <w:r>
        <w:rPr>
          <w:position w:val="-6"/>
        </w:rPr>
        <w:t xml:space="preserve">становится понятней, если принять </w:t>
      </w:r>
      <w:r w:rsidRPr="00E946FA">
        <w:rPr>
          <w:position w:val="-6"/>
        </w:rPr>
        <w:object w:dxaOrig="480" w:dyaOrig="279">
          <v:shape id="_x0000_i1028" type="#_x0000_t75" style="width:24pt;height:14.25pt" o:ole="">
            <v:imagedata r:id="rId12" o:title=""/>
          </v:shape>
          <o:OLEObject Type="Embed" ProgID="Equation.3" ShapeID="_x0000_i1028" DrawAspect="Content" ObjectID="_1470812124" r:id="rId13"/>
        </w:object>
      </w:r>
      <w:r>
        <w:rPr>
          <w:position w:val="-6"/>
        </w:rPr>
        <w:t xml:space="preserve">см  и </w:t>
      </w:r>
      <w:r w:rsidRPr="00E946FA">
        <w:rPr>
          <w:position w:val="-6"/>
        </w:rPr>
        <w:object w:dxaOrig="520" w:dyaOrig="279">
          <v:shape id="_x0000_i1029" type="#_x0000_t75" style="width:26.25pt;height:14.25pt" o:ole="">
            <v:imagedata r:id="rId14" o:title=""/>
          </v:shape>
          <o:OLEObject Type="Embed" ProgID="Equation.3" ShapeID="_x0000_i1029" DrawAspect="Content" ObjectID="_1470812125" r:id="rId15"/>
        </w:object>
      </w:r>
      <w:r>
        <w:rPr>
          <w:position w:val="-6"/>
        </w:rPr>
        <w:t xml:space="preserve">моль/л, тогда </w:t>
      </w:r>
      <w:r w:rsidRPr="00E946FA">
        <w:rPr>
          <w:position w:val="-6"/>
        </w:rPr>
        <w:object w:dxaOrig="680" w:dyaOrig="279">
          <v:shape id="_x0000_i1030" type="#_x0000_t75" style="width:33.75pt;height:14.25pt" o:ole="">
            <v:imagedata r:id="rId16" o:title=""/>
          </v:shape>
          <o:OLEObject Type="Embed" ProgID="Equation.3" ShapeID="_x0000_i1030" DrawAspect="Content" ObjectID="_1470812126" r:id="rId17"/>
        </w:object>
      </w:r>
      <w:r>
        <w:rPr>
          <w:position w:val="-6"/>
        </w:rPr>
        <w:t>. Следовательно, молярный коэффициент поглощения равен оптической плотности одномолярного раствора при толщине слоя 1 см.</w:t>
      </w:r>
    </w:p>
    <w:p w:rsidR="005E5485" w:rsidRDefault="005E5485" w:rsidP="00BD71EC">
      <w:pPr>
        <w:spacing w:line="480" w:lineRule="auto"/>
        <w:ind w:firstLine="709"/>
        <w:jc w:val="both"/>
      </w:pPr>
      <w:r>
        <w:t xml:space="preserve">Интегрируя выражение (1) от 0 до </w:t>
      </w:r>
      <w:r w:rsidRPr="00BD71EC">
        <w:rPr>
          <w:position w:val="-6"/>
        </w:rPr>
        <w:object w:dxaOrig="139" w:dyaOrig="279">
          <v:shape id="_x0000_i1031" type="#_x0000_t75" style="width:6.75pt;height:14.25pt" o:ole="">
            <v:imagedata r:id="rId18" o:title=""/>
          </v:shape>
          <o:OLEObject Type="Embed" ProgID="Equation.3" ShapeID="_x0000_i1031" DrawAspect="Content" ObjectID="_1470812127" r:id="rId19"/>
        </w:object>
      </w:r>
      <w:r>
        <w:t>, получим:</w:t>
      </w:r>
    </w:p>
    <w:p w:rsidR="005E5485" w:rsidRDefault="005E5485" w:rsidP="00BD71EC">
      <w:pPr>
        <w:spacing w:line="480" w:lineRule="auto"/>
        <w:ind w:firstLine="709"/>
        <w:jc w:val="center"/>
      </w:pPr>
      <w:r w:rsidRPr="00BD71EC">
        <w:rPr>
          <w:position w:val="-12"/>
        </w:rPr>
        <w:object w:dxaOrig="1080" w:dyaOrig="380">
          <v:shape id="_x0000_i1032" type="#_x0000_t75" style="width:54pt;height:18.75pt" o:ole="">
            <v:imagedata r:id="rId20" o:title=""/>
          </v:shape>
          <o:OLEObject Type="Embed" ProgID="Equation.3" ShapeID="_x0000_i1032" DrawAspect="Content" ObjectID="_1470812128" r:id="rId21"/>
        </w:object>
      </w:r>
      <w:r>
        <w:t xml:space="preserve">  (2)</w:t>
      </w:r>
    </w:p>
    <w:p w:rsidR="005E5485" w:rsidRDefault="005E5485" w:rsidP="00BD71EC">
      <w:pPr>
        <w:spacing w:line="480" w:lineRule="auto"/>
        <w:jc w:val="both"/>
      </w:pPr>
      <w:r>
        <w:t xml:space="preserve">закон Бугера-Ламберта-Бера. Предположение о пропорциональности </w:t>
      </w:r>
      <w:r w:rsidRPr="001200FE">
        <w:rPr>
          <w:position w:val="-24"/>
        </w:rPr>
        <w:object w:dxaOrig="340" w:dyaOrig="620">
          <v:shape id="_x0000_i1033" type="#_x0000_t75" style="width:17.25pt;height:30.75pt" o:ole="">
            <v:imagedata r:id="rId22" o:title=""/>
          </v:shape>
          <o:OLEObject Type="Embed" ProgID="Equation.3" ShapeID="_x0000_i1033" DrawAspect="Content" ObjectID="_1470812129" r:id="rId23"/>
        </w:object>
      </w:r>
      <w:r>
        <w:t xml:space="preserve"> концентрации имеет приближенный характер. Оно справедливо для газов при малых давлениях и для растворов при малых концентрациях. Когда происходит сближение молекул при увеличении давления газа или увеличении концентрации раствора С, показатель поглощения </w:t>
      </w:r>
      <w:r w:rsidRPr="001200FE">
        <w:rPr>
          <w:position w:val="-6"/>
        </w:rPr>
        <w:object w:dxaOrig="240" w:dyaOrig="220">
          <v:shape id="_x0000_i1034" type="#_x0000_t75" style="width:12pt;height:11.25pt" o:ole="">
            <v:imagedata r:id="rId9" o:title=""/>
          </v:shape>
          <o:OLEObject Type="Embed" ProgID="Equation.3" ShapeID="_x0000_i1034" DrawAspect="Content" ObjectID="_1470812130" r:id="rId24"/>
        </w:object>
      </w:r>
      <w:r>
        <w:t xml:space="preserve"> обычно начинает изменяться вследствие физико-химического взаимодействия молекул.</w:t>
      </w:r>
    </w:p>
    <w:p w:rsidR="005E5485" w:rsidRDefault="005E5485" w:rsidP="00BD71EC">
      <w:pPr>
        <w:spacing w:line="480" w:lineRule="auto"/>
        <w:ind w:firstLine="709"/>
        <w:jc w:val="both"/>
      </w:pPr>
      <w:r>
        <w:t xml:space="preserve">В случае невозможности установить значение С поглощение относят к слою единичной толщины, полагая </w:t>
      </w:r>
      <w:r w:rsidRPr="00BD71EC">
        <w:rPr>
          <w:position w:val="-6"/>
        </w:rPr>
        <w:object w:dxaOrig="760" w:dyaOrig="279">
          <v:shape id="_x0000_i1035" type="#_x0000_t75" style="width:38.25pt;height:14.25pt" o:ole="">
            <v:imagedata r:id="rId25" o:title=""/>
          </v:shape>
          <o:OLEObject Type="Embed" ProgID="Equation.3" ShapeID="_x0000_i1035" DrawAspect="Content" ObjectID="_1470812131" r:id="rId26"/>
        </w:object>
      </w:r>
      <w:r>
        <w:t xml:space="preserve">, т.е. </w:t>
      </w:r>
      <w:r w:rsidRPr="00BD71EC">
        <w:rPr>
          <w:position w:val="-12"/>
        </w:rPr>
        <w:object w:dxaOrig="960" w:dyaOrig="380">
          <v:shape id="_x0000_i1036" type="#_x0000_t75" style="width:48pt;height:18.75pt" o:ole="">
            <v:imagedata r:id="rId27" o:title=""/>
          </v:shape>
          <o:OLEObject Type="Embed" ProgID="Equation.3" ShapeID="_x0000_i1036" DrawAspect="Content" ObjectID="_1470812132" r:id="rId28"/>
        </w:object>
      </w:r>
      <w:r>
        <w:t xml:space="preserve"> или </w:t>
      </w:r>
      <w:r w:rsidRPr="00BD71EC">
        <w:rPr>
          <w:position w:val="-24"/>
        </w:rPr>
        <w:object w:dxaOrig="999" w:dyaOrig="639">
          <v:shape id="_x0000_i1037" type="#_x0000_t75" style="width:50.25pt;height:32.25pt" o:ole="">
            <v:imagedata r:id="rId29" o:title=""/>
          </v:shape>
          <o:OLEObject Type="Embed" ProgID="Equation.3" ShapeID="_x0000_i1037" DrawAspect="Content" ObjectID="_1470812133" r:id="rId30"/>
        </w:object>
      </w:r>
      <w:r>
        <w:t xml:space="preserve"> (закон Бугера-Ламберта). В этом случае величину </w:t>
      </w:r>
      <w:r w:rsidRPr="00BD71EC">
        <w:rPr>
          <w:i/>
          <w:lang w:val="en-US"/>
        </w:rPr>
        <w:t>k</w:t>
      </w:r>
      <w:r>
        <w:t xml:space="preserve"> называют показателем поглощения, отнесенным к слою единичной толщины.</w:t>
      </w:r>
    </w:p>
    <w:p w:rsidR="005E5485" w:rsidRDefault="005E5485" w:rsidP="00BD71EC">
      <w:pPr>
        <w:spacing w:line="480" w:lineRule="auto"/>
        <w:ind w:firstLine="709"/>
        <w:jc w:val="both"/>
      </w:pPr>
      <w:r>
        <w:t xml:space="preserve">Закон Бугера-Ламберта-Бера справедлив только для монохроматического излучения; кроме того, в качестве </w:t>
      </w:r>
      <w:r w:rsidRPr="00BD71EC">
        <w:rPr>
          <w:position w:val="-12"/>
        </w:rPr>
        <w:object w:dxaOrig="260" w:dyaOrig="360">
          <v:shape id="_x0000_i1038" type="#_x0000_t75" style="width:12.75pt;height:18pt" o:ole="">
            <v:imagedata r:id="rId31" o:title=""/>
          </v:shape>
          <o:OLEObject Type="Embed" ProgID="Equation.3" ShapeID="_x0000_i1038" DrawAspect="Content" ObjectID="_1470812134" r:id="rId32"/>
        </w:object>
      </w:r>
      <w:r>
        <w:t xml:space="preserve"> рассматривался световой поток, только что вступивший в исследуемый слой вещества, а в качестве </w:t>
      </w:r>
      <w:r w:rsidRPr="00BD71EC">
        <w:rPr>
          <w:position w:val="-4"/>
        </w:rPr>
        <w:object w:dxaOrig="200" w:dyaOrig="260">
          <v:shape id="_x0000_i1039" type="#_x0000_t75" style="width:9.75pt;height:12.75pt" o:ole="">
            <v:imagedata r:id="rId33" o:title=""/>
          </v:shape>
          <o:OLEObject Type="Embed" ProgID="Equation.3" ShapeID="_x0000_i1039" DrawAspect="Content" ObjectID="_1470812135" r:id="rId34"/>
        </w:object>
      </w:r>
      <w:r>
        <w:t xml:space="preserve">- покидающий его. </w:t>
      </w:r>
      <w:r w:rsidRPr="00BD71EC">
        <w:rPr>
          <w:position w:val="-12"/>
        </w:rPr>
        <w:object w:dxaOrig="260" w:dyaOrig="360">
          <v:shape id="_x0000_i1040" type="#_x0000_t75" style="width:12.75pt;height:18pt" o:ole="">
            <v:imagedata r:id="rId31" o:title=""/>
          </v:shape>
          <o:OLEObject Type="Embed" ProgID="Equation.3" ShapeID="_x0000_i1040" DrawAspect="Content" ObjectID="_1470812136" r:id="rId35"/>
        </w:object>
      </w:r>
      <w:r>
        <w:t xml:space="preserve"> обычно не равно интенсивности излучения </w:t>
      </w:r>
      <w:r w:rsidRPr="00E10EA5">
        <w:rPr>
          <w:position w:val="-12"/>
        </w:rPr>
        <w:object w:dxaOrig="220" w:dyaOrig="360">
          <v:shape id="_x0000_i1041" type="#_x0000_t75" style="width:11.25pt;height:18pt" o:ole="">
            <v:imagedata r:id="rId36" o:title=""/>
          </v:shape>
          <o:OLEObject Type="Embed" ProgID="Equation.3" ShapeID="_x0000_i1041" DrawAspect="Content" ObjectID="_1470812137" r:id="rId37"/>
        </w:object>
      </w:r>
      <w:r>
        <w:t xml:space="preserve">, падающего на поверхность твердого образца или на поверхность кюветы с раствором, так же как </w:t>
      </w:r>
      <w:r w:rsidRPr="00BD71EC">
        <w:rPr>
          <w:position w:val="-4"/>
        </w:rPr>
        <w:object w:dxaOrig="200" w:dyaOrig="260">
          <v:shape id="_x0000_i1042" type="#_x0000_t75" style="width:9.75pt;height:12.75pt" o:ole="">
            <v:imagedata r:id="rId33" o:title=""/>
          </v:shape>
          <o:OLEObject Type="Embed" ProgID="Equation.3" ShapeID="_x0000_i1042" DrawAspect="Content" ObjectID="_1470812138" r:id="rId38"/>
        </w:object>
      </w:r>
      <w:r>
        <w:t xml:space="preserve"> не равно интенсивности </w:t>
      </w:r>
      <w:r w:rsidRPr="00E10EA5">
        <w:rPr>
          <w:position w:val="-6"/>
        </w:rPr>
        <w:object w:dxaOrig="139" w:dyaOrig="260">
          <v:shape id="_x0000_i1043" type="#_x0000_t75" style="width:6.75pt;height:12.75pt" o:ole="">
            <v:imagedata r:id="rId39" o:title=""/>
          </v:shape>
          <o:OLEObject Type="Embed" ProgID="Equation.3" ShapeID="_x0000_i1043" DrawAspect="Content" ObjectID="_1470812139" r:id="rId40"/>
        </w:object>
      </w:r>
      <w:r>
        <w:t xml:space="preserve"> излучения, вышедшего из твердого образца или из слоя раствора. Это неравенство обусловлено уменьшением измеряемых величин </w:t>
      </w:r>
      <w:r w:rsidRPr="00E10EA5">
        <w:rPr>
          <w:position w:val="-12"/>
        </w:rPr>
        <w:object w:dxaOrig="220" w:dyaOrig="360">
          <v:shape id="_x0000_i1044" type="#_x0000_t75" style="width:11.25pt;height:18pt" o:ole="">
            <v:imagedata r:id="rId41" o:title=""/>
          </v:shape>
          <o:OLEObject Type="Embed" ProgID="Equation.3" ShapeID="_x0000_i1044" DrawAspect="Content" ObjectID="_1470812140" r:id="rId42"/>
        </w:object>
      </w:r>
      <w:r>
        <w:t xml:space="preserve"> и </w:t>
      </w:r>
      <w:r w:rsidRPr="00E10EA5">
        <w:rPr>
          <w:position w:val="-6"/>
        </w:rPr>
        <w:object w:dxaOrig="139" w:dyaOrig="260">
          <v:shape id="_x0000_i1045" type="#_x0000_t75" style="width:6.75pt;height:12.75pt" o:ole="">
            <v:imagedata r:id="rId43" o:title=""/>
          </v:shape>
          <o:OLEObject Type="Embed" ProgID="Equation.3" ShapeID="_x0000_i1045" DrawAspect="Content" ObjectID="_1470812141" r:id="rId44"/>
        </w:object>
      </w:r>
      <w:r>
        <w:t xml:space="preserve"> вследствие отражения при переходе излучения в среду с другим коэффициентом преломления. Кроме того, интенсивность может уменьшаться и вследствие поглощения окошками кюветы и растворителя. </w:t>
      </w:r>
    </w:p>
    <w:p w:rsidR="005E5485" w:rsidRDefault="005E5485" w:rsidP="00E7406B">
      <w:pPr>
        <w:spacing w:line="480" w:lineRule="auto"/>
        <w:ind w:firstLine="709"/>
        <w:jc w:val="both"/>
      </w:pPr>
      <w:r>
        <w:t xml:space="preserve">Задача спектрофотометрии состоит в определении </w:t>
      </w:r>
      <w:r w:rsidRPr="00BD71EC">
        <w:rPr>
          <w:position w:val="-12"/>
        </w:rPr>
        <w:object w:dxaOrig="260" w:dyaOrig="360">
          <v:shape id="_x0000_i1046" type="#_x0000_t75" style="width:12.75pt;height:18pt" o:ole="">
            <v:imagedata r:id="rId31" o:title=""/>
          </v:shape>
          <o:OLEObject Type="Embed" ProgID="Equation.3" ShapeID="_x0000_i1046" DrawAspect="Content" ObjectID="_1470812142" r:id="rId45"/>
        </w:object>
      </w:r>
      <w:r>
        <w:t xml:space="preserve"> и </w:t>
      </w:r>
      <w:r w:rsidRPr="00BD71EC">
        <w:rPr>
          <w:position w:val="-4"/>
        </w:rPr>
        <w:object w:dxaOrig="200" w:dyaOrig="260">
          <v:shape id="_x0000_i1047" type="#_x0000_t75" style="width:9.75pt;height:12.75pt" o:ole="">
            <v:imagedata r:id="rId33" o:title=""/>
          </v:shape>
          <o:OLEObject Type="Embed" ProgID="Equation.3" ShapeID="_x0000_i1047" DrawAspect="Content" ObjectID="_1470812143" r:id="rId46"/>
        </w:object>
      </w:r>
      <w:r>
        <w:t xml:space="preserve"> по измеряемым значениям  </w:t>
      </w:r>
      <w:r w:rsidRPr="00E10EA5">
        <w:rPr>
          <w:position w:val="-12"/>
        </w:rPr>
        <w:object w:dxaOrig="220" w:dyaOrig="360">
          <v:shape id="_x0000_i1048" type="#_x0000_t75" style="width:11.25pt;height:18pt" o:ole="">
            <v:imagedata r:id="rId41" o:title=""/>
          </v:shape>
          <o:OLEObject Type="Embed" ProgID="Equation.3" ShapeID="_x0000_i1048" DrawAspect="Content" ObjectID="_1470812144" r:id="rId47"/>
        </w:object>
      </w:r>
      <w:r>
        <w:t xml:space="preserve"> и </w:t>
      </w:r>
      <w:r w:rsidRPr="00E10EA5">
        <w:rPr>
          <w:position w:val="-6"/>
        </w:rPr>
        <w:object w:dxaOrig="139" w:dyaOrig="260">
          <v:shape id="_x0000_i1049" type="#_x0000_t75" style="width:6.75pt;height:12.75pt" o:ole="">
            <v:imagedata r:id="rId43" o:title=""/>
          </v:shape>
          <o:OLEObject Type="Embed" ProgID="Equation.3" ShapeID="_x0000_i1049" DrawAspect="Content" ObjectID="_1470812145" r:id="rId48"/>
        </w:object>
      </w:r>
      <w:r>
        <w:t xml:space="preserve">. В случае твердых тел </w:t>
      </w:r>
      <w:r w:rsidRPr="00E10EA5">
        <w:rPr>
          <w:position w:val="-30"/>
        </w:rPr>
        <w:object w:dxaOrig="320" w:dyaOrig="680">
          <v:shape id="_x0000_i1050" type="#_x0000_t75" style="width:15.75pt;height:33.75pt" o:ole="">
            <v:imagedata r:id="rId49" o:title=""/>
          </v:shape>
          <o:OLEObject Type="Embed" ProgID="Equation.3" ShapeID="_x0000_i1050" DrawAspect="Content" ObjectID="_1470812146" r:id="rId50"/>
        </w:object>
      </w:r>
      <w:r>
        <w:t xml:space="preserve"> определяют при помощи измерения величин </w:t>
      </w:r>
      <w:r w:rsidRPr="00E10EA5">
        <w:rPr>
          <w:position w:val="-6"/>
        </w:rPr>
        <w:object w:dxaOrig="320" w:dyaOrig="320">
          <v:shape id="_x0000_i1051" type="#_x0000_t75" style="width:15.75pt;height:15.75pt" o:ole="">
            <v:imagedata r:id="rId51" o:title=""/>
          </v:shape>
          <o:OLEObject Type="Embed" ProgID="Equation.3" ShapeID="_x0000_i1051" DrawAspect="Content" ObjectID="_1470812147" r:id="rId52"/>
        </w:object>
      </w:r>
      <w:r>
        <w:t xml:space="preserve"> и </w:t>
      </w:r>
      <w:r w:rsidRPr="00E10EA5">
        <w:rPr>
          <w:position w:val="-6"/>
        </w:rPr>
        <w:object w:dxaOrig="340" w:dyaOrig="320">
          <v:shape id="_x0000_i1052" type="#_x0000_t75" style="width:17.25pt;height:15.75pt" o:ole="">
            <v:imagedata r:id="rId53" o:title=""/>
          </v:shape>
          <o:OLEObject Type="Embed" ProgID="Equation.3" ShapeID="_x0000_i1052" DrawAspect="Content" ObjectID="_1470812148" r:id="rId54"/>
        </w:object>
      </w:r>
      <w:r>
        <w:t xml:space="preserve"> для двух образцов различной толщины </w:t>
      </w:r>
      <w:r w:rsidRPr="00E10EA5">
        <w:rPr>
          <w:position w:val="-10"/>
        </w:rPr>
        <w:object w:dxaOrig="200" w:dyaOrig="340">
          <v:shape id="_x0000_i1053" type="#_x0000_t75" style="width:9.75pt;height:17.25pt" o:ole="">
            <v:imagedata r:id="rId55" o:title=""/>
          </v:shape>
          <o:OLEObject Type="Embed" ProgID="Equation.3" ShapeID="_x0000_i1053" DrawAspect="Content" ObjectID="_1470812149" r:id="rId56"/>
        </w:object>
      </w:r>
      <w:r>
        <w:t xml:space="preserve"> и </w:t>
      </w:r>
      <w:r w:rsidRPr="00E10EA5">
        <w:rPr>
          <w:position w:val="-10"/>
        </w:rPr>
        <w:object w:dxaOrig="220" w:dyaOrig="340">
          <v:shape id="_x0000_i1054" type="#_x0000_t75" style="width:11.25pt;height:17.25pt" o:ole="">
            <v:imagedata r:id="rId57" o:title=""/>
          </v:shape>
          <o:OLEObject Type="Embed" ProgID="Equation.3" ShapeID="_x0000_i1054" DrawAspect="Content" ObjectID="_1470812150" r:id="rId58"/>
        </w:object>
      </w:r>
      <w:r>
        <w:t xml:space="preserve">. Если </w:t>
      </w:r>
      <w:r w:rsidRPr="00E10EA5">
        <w:rPr>
          <w:position w:val="-10"/>
        </w:rPr>
        <w:object w:dxaOrig="200" w:dyaOrig="340">
          <v:shape id="_x0000_i1055" type="#_x0000_t75" style="width:9.75pt;height:17.25pt" o:ole="">
            <v:imagedata r:id="rId55" o:title=""/>
          </v:shape>
          <o:OLEObject Type="Embed" ProgID="Equation.3" ShapeID="_x0000_i1055" DrawAspect="Content" ObjectID="_1470812151" r:id="rId59"/>
        </w:object>
      </w:r>
      <w:r>
        <w:t xml:space="preserve"> больше </w:t>
      </w:r>
      <w:r w:rsidRPr="00E10EA5">
        <w:rPr>
          <w:position w:val="-10"/>
        </w:rPr>
        <w:object w:dxaOrig="220" w:dyaOrig="340">
          <v:shape id="_x0000_i1056" type="#_x0000_t75" style="width:11.25pt;height:17.25pt" o:ole="">
            <v:imagedata r:id="rId57" o:title=""/>
          </v:shape>
          <o:OLEObject Type="Embed" ProgID="Equation.3" ShapeID="_x0000_i1056" DrawAspect="Content" ObjectID="_1470812152" r:id="rId60"/>
        </w:object>
      </w:r>
      <w:r>
        <w:t xml:space="preserve"> и </w:t>
      </w:r>
      <w:r w:rsidRPr="00E7406B">
        <w:rPr>
          <w:position w:val="-10"/>
        </w:rPr>
        <w:object w:dxaOrig="960" w:dyaOrig="340">
          <v:shape id="_x0000_i1057" type="#_x0000_t75" style="width:48pt;height:17.25pt" o:ole="">
            <v:imagedata r:id="rId61" o:title=""/>
          </v:shape>
          <o:OLEObject Type="Embed" ProgID="Equation.3" ShapeID="_x0000_i1057" DrawAspect="Content" ObjectID="_1470812153" r:id="rId62"/>
        </w:object>
      </w:r>
      <w:r>
        <w:t xml:space="preserve">, то при условии, что поверхности обоих образцов имеют одинаковые коэффициенты отражения: </w:t>
      </w:r>
      <w:r w:rsidRPr="00E7406B">
        <w:rPr>
          <w:position w:val="-30"/>
        </w:rPr>
        <w:object w:dxaOrig="2420" w:dyaOrig="720">
          <v:shape id="_x0000_i1058" type="#_x0000_t75" style="width:120pt;height:36pt" o:ole="">
            <v:imagedata r:id="rId63" o:title=""/>
          </v:shape>
          <o:OLEObject Type="Embed" ProgID="Equation.3" ShapeID="_x0000_i1058" DrawAspect="Content" ObjectID="_1470812154" r:id="rId64"/>
        </w:object>
      </w:r>
      <w:r>
        <w:t>. Этот метод применим также при измерении поглощения жидкости.</w:t>
      </w:r>
    </w:p>
    <w:p w:rsidR="005E5485" w:rsidRDefault="005E5485" w:rsidP="00E7406B">
      <w:pPr>
        <w:spacing w:line="480" w:lineRule="auto"/>
        <w:ind w:firstLine="709"/>
        <w:jc w:val="both"/>
      </w:pPr>
      <w:r>
        <w:t>В случае измерения поглощения растворами необходимо исключить также поглощение, обусловленное растворителем. Для этой цели обычно используют две тождественные кюветы. Одну из них заполняют раствором, а другую – растворителем. Если отсутствует взаимодействие между исследуемым веществом и растворителем</w:t>
      </w:r>
      <w:r w:rsidRPr="00E7406B">
        <w:rPr>
          <w:position w:val="-10"/>
        </w:rPr>
        <w:object w:dxaOrig="180" w:dyaOrig="340">
          <v:shape id="_x0000_i1059" type="#_x0000_t75" style="width:9pt;height:17.25pt" o:ole="">
            <v:imagedata r:id="rId65" o:title=""/>
          </v:shape>
          <o:OLEObject Type="Embed" ProgID="Equation.3" ShapeID="_x0000_i1059" DrawAspect="Content" ObjectID="_1470812155" r:id="rId66"/>
        </w:object>
      </w:r>
      <w:r>
        <w:t xml:space="preserve"> и если оптические параметры обеих кювет одинаковы, то измеренное отношение: </w:t>
      </w:r>
      <w:r w:rsidRPr="00E7406B">
        <w:rPr>
          <w:position w:val="-32"/>
        </w:rPr>
        <w:object w:dxaOrig="3680" w:dyaOrig="740">
          <v:shape id="_x0000_i1060" type="#_x0000_t75" style="width:182.25pt;height:36.75pt" o:ole="">
            <v:imagedata r:id="rId67" o:title=""/>
          </v:shape>
          <o:OLEObject Type="Embed" ProgID="Equation.3" ShapeID="_x0000_i1060" DrawAspect="Content" ObjectID="_1470812156" r:id="rId68"/>
        </w:object>
      </w:r>
      <w:r>
        <w:t xml:space="preserve"> для исследуемого растворенного вещества ( здесь </w:t>
      </w:r>
      <w:r w:rsidRPr="00E7406B">
        <w:rPr>
          <w:position w:val="-6"/>
        </w:rPr>
        <w:object w:dxaOrig="200" w:dyaOrig="279">
          <v:shape id="_x0000_i1061" type="#_x0000_t75" style="width:9.75pt;height:14.25pt" o:ole="">
            <v:imagedata r:id="rId69" o:title=""/>
          </v:shape>
          <o:OLEObject Type="Embed" ProgID="Equation.3" ShapeID="_x0000_i1061" DrawAspect="Content" ObjectID="_1470812157" r:id="rId70"/>
        </w:object>
      </w:r>
      <w:r>
        <w:t xml:space="preserve">- показатель поглощения растворителя, а </w:t>
      </w:r>
      <w:r w:rsidRPr="00E7406B">
        <w:rPr>
          <w:position w:val="-6"/>
        </w:rPr>
        <w:object w:dxaOrig="240" w:dyaOrig="220">
          <v:shape id="_x0000_i1062" type="#_x0000_t75" style="width:12pt;height:11.25pt" o:ole="">
            <v:imagedata r:id="rId71" o:title=""/>
          </v:shape>
          <o:OLEObject Type="Embed" ProgID="Equation.3" ShapeID="_x0000_i1062" DrawAspect="Content" ObjectID="_1470812158" r:id="rId72"/>
        </w:object>
      </w:r>
      <w:r>
        <w:t>- показатель поглощения исследуемого вещества).</w:t>
      </w:r>
    </w:p>
    <w:p w:rsidR="005E5485" w:rsidRDefault="005E5485" w:rsidP="00E7406B">
      <w:pPr>
        <w:spacing w:line="480" w:lineRule="auto"/>
        <w:ind w:firstLine="709"/>
        <w:jc w:val="both"/>
      </w:pPr>
      <w:r>
        <w:t>В аналитической литературе также пользуются написанием Бугера-Ламберта-Бера в логарифмическом виде:</w:t>
      </w:r>
    </w:p>
    <w:p w:rsidR="005E5485" w:rsidRDefault="005E5485" w:rsidP="006A6530">
      <w:pPr>
        <w:spacing w:line="480" w:lineRule="auto"/>
        <w:ind w:firstLine="709"/>
        <w:jc w:val="center"/>
      </w:pPr>
      <w:r w:rsidRPr="006A6530">
        <w:rPr>
          <w:position w:val="-24"/>
        </w:rPr>
        <w:object w:dxaOrig="1180" w:dyaOrig="639">
          <v:shape id="_x0000_i1063" type="#_x0000_t75" style="width:59.25pt;height:32.25pt" o:ole="">
            <v:imagedata r:id="rId73" o:title=""/>
          </v:shape>
          <o:OLEObject Type="Embed" ProgID="Equation.3" ShapeID="_x0000_i1063" DrawAspect="Content" ObjectID="_1470812159" r:id="rId74"/>
        </w:object>
      </w:r>
    </w:p>
    <w:p w:rsidR="005E5485" w:rsidRDefault="005E5485" w:rsidP="006A6530">
      <w:pPr>
        <w:spacing w:line="480" w:lineRule="auto"/>
        <w:ind w:firstLine="709"/>
        <w:jc w:val="both"/>
      </w:pPr>
      <w:r>
        <w:t>Если вместо натуральных логарифмов использовать десятичные логарифмы, то</w:t>
      </w:r>
    </w:p>
    <w:p w:rsidR="005E5485" w:rsidRDefault="005E5485" w:rsidP="006A6530">
      <w:pPr>
        <w:spacing w:line="480" w:lineRule="auto"/>
        <w:ind w:firstLine="709"/>
        <w:jc w:val="center"/>
      </w:pPr>
      <w:r w:rsidRPr="006A6530">
        <w:rPr>
          <w:position w:val="-12"/>
        </w:rPr>
        <w:object w:dxaOrig="1380" w:dyaOrig="380">
          <v:shape id="_x0000_i1064" type="#_x0000_t75" style="width:69pt;height:18.75pt" o:ole="">
            <v:imagedata r:id="rId75" o:title=""/>
          </v:shape>
          <o:OLEObject Type="Embed" ProgID="Equation.3" ShapeID="_x0000_i1064" DrawAspect="Content" ObjectID="_1470812160" r:id="rId76"/>
        </w:object>
      </w:r>
      <w:r>
        <w:t xml:space="preserve"> или </w:t>
      </w:r>
      <w:r w:rsidRPr="006A6530">
        <w:rPr>
          <w:position w:val="-24"/>
        </w:rPr>
        <w:object w:dxaOrig="1260" w:dyaOrig="639">
          <v:shape id="_x0000_i1065" type="#_x0000_t75" style="width:63pt;height:32.25pt" o:ole="">
            <v:imagedata r:id="rId77" o:title=""/>
          </v:shape>
          <o:OLEObject Type="Embed" ProgID="Equation.3" ShapeID="_x0000_i1065" DrawAspect="Content" ObjectID="_1470812161" r:id="rId78"/>
        </w:object>
      </w:r>
    </w:p>
    <w:p w:rsidR="005E5485" w:rsidRDefault="005E5485" w:rsidP="006A6530">
      <w:pPr>
        <w:spacing w:line="480" w:lineRule="auto"/>
        <w:jc w:val="both"/>
      </w:pPr>
      <w:r>
        <w:t xml:space="preserve">где </w:t>
      </w:r>
      <w:r w:rsidRPr="006A6530">
        <w:rPr>
          <w:position w:val="-6"/>
        </w:rPr>
        <w:object w:dxaOrig="279" w:dyaOrig="279">
          <v:shape id="_x0000_i1066" type="#_x0000_t75" style="width:14.25pt;height:14.25pt" o:ole="">
            <v:imagedata r:id="rId79" o:title=""/>
          </v:shape>
          <o:OLEObject Type="Embed" ProgID="Equation.3" ShapeID="_x0000_i1066" DrawAspect="Content" ObjectID="_1470812162" r:id="rId80"/>
        </w:object>
      </w:r>
      <w:r>
        <w:t xml:space="preserve"> называют десятичным показателем поглощения на единицу концентрации С вещества. Эту величину называют также коэффициентом погашения или экстинкцией. Величины </w:t>
      </w:r>
      <w:r w:rsidRPr="006A6530">
        <w:rPr>
          <w:position w:val="-6"/>
        </w:rPr>
        <w:object w:dxaOrig="240" w:dyaOrig="220">
          <v:shape id="_x0000_i1067" type="#_x0000_t75" style="width:12pt;height:11.25pt" o:ole="">
            <v:imagedata r:id="rId81" o:title=""/>
          </v:shape>
          <o:OLEObject Type="Embed" ProgID="Equation.3" ShapeID="_x0000_i1067" DrawAspect="Content" ObjectID="_1470812163" r:id="rId82"/>
        </w:object>
      </w:r>
      <w:r>
        <w:t xml:space="preserve"> и </w:t>
      </w:r>
      <w:r w:rsidRPr="006A6530">
        <w:rPr>
          <w:position w:val="-6"/>
        </w:rPr>
        <w:object w:dxaOrig="279" w:dyaOrig="279">
          <v:shape id="_x0000_i1068" type="#_x0000_t75" style="width:14.25pt;height:14.25pt" o:ole="">
            <v:imagedata r:id="rId79" o:title=""/>
          </v:shape>
          <o:OLEObject Type="Embed" ProgID="Equation.3" ShapeID="_x0000_i1068" DrawAspect="Content" ObjectID="_1470812164" r:id="rId83"/>
        </w:object>
      </w:r>
      <w:r>
        <w:t xml:space="preserve"> связаны соотношениями </w:t>
      </w:r>
      <w:r w:rsidRPr="006A6530">
        <w:rPr>
          <w:position w:val="-10"/>
        </w:rPr>
        <w:object w:dxaOrig="1219" w:dyaOrig="320">
          <v:shape id="_x0000_i1069" type="#_x0000_t75" style="width:60pt;height:15.75pt" o:ole="">
            <v:imagedata r:id="rId84" o:title=""/>
          </v:shape>
          <o:OLEObject Type="Embed" ProgID="Equation.3" ShapeID="_x0000_i1069" DrawAspect="Content" ObjectID="_1470812165" r:id="rId85"/>
        </w:object>
      </w:r>
      <w:r>
        <w:t xml:space="preserve"> и </w:t>
      </w:r>
      <w:r w:rsidRPr="006A6530">
        <w:rPr>
          <w:position w:val="-6"/>
        </w:rPr>
        <w:object w:dxaOrig="1320" w:dyaOrig="279">
          <v:shape id="_x0000_i1070" type="#_x0000_t75" style="width:66pt;height:14.25pt" o:ole="">
            <v:imagedata r:id="rId86" o:title=""/>
          </v:shape>
          <o:OLEObject Type="Embed" ProgID="Equation.3" ShapeID="_x0000_i1070" DrawAspect="Content" ObjectID="_1470812166" r:id="rId87"/>
        </w:object>
      </w:r>
      <w:r>
        <w:t xml:space="preserve">. Отношение светового потока, прошедшего через тело, к потоку, упавшему на тело </w:t>
      </w:r>
      <w:r w:rsidRPr="00E10EA5">
        <w:rPr>
          <w:position w:val="-30"/>
        </w:rPr>
        <w:object w:dxaOrig="320" w:dyaOrig="680">
          <v:shape id="_x0000_i1071" type="#_x0000_t75" style="width:15.75pt;height:33.75pt" o:ole="">
            <v:imagedata r:id="rId49" o:title=""/>
          </v:shape>
          <o:OLEObject Type="Embed" ProgID="Equation.3" ShapeID="_x0000_i1071" DrawAspect="Content" ObjectID="_1470812167" r:id="rId88"/>
        </w:object>
      </w:r>
      <w:r>
        <w:t xml:space="preserve">, называют коэффициентом пропускания и обозначают буквой Т. Величину отношения потока излучения, поглощенного данным телом, к потоку излучения, упавшего на него </w:t>
      </w:r>
      <w:r w:rsidRPr="006A6530">
        <w:rPr>
          <w:position w:val="-30"/>
        </w:rPr>
        <w:object w:dxaOrig="1380" w:dyaOrig="700">
          <v:shape id="_x0000_i1072" type="#_x0000_t75" style="width:69pt;height:35.25pt" o:ole="">
            <v:imagedata r:id="rId89" o:title=""/>
          </v:shape>
          <o:OLEObject Type="Embed" ProgID="Equation.3" ShapeID="_x0000_i1072" DrawAspect="Content" ObjectID="_1470812168" r:id="rId90"/>
        </w:object>
      </w:r>
      <w:r>
        <w:t xml:space="preserve">, называют коэффициентом поглощения. Обратный логарифм коэффициента пропускания называют оптической плотностью </w:t>
      </w:r>
      <w:r w:rsidRPr="006A6530">
        <w:rPr>
          <w:position w:val="-4"/>
        </w:rPr>
        <w:object w:dxaOrig="260" w:dyaOrig="260">
          <v:shape id="_x0000_i1073" type="#_x0000_t75" style="width:12.75pt;height:12.75pt" o:ole="">
            <v:imagedata r:id="rId91" o:title=""/>
          </v:shape>
          <o:OLEObject Type="Embed" ProgID="Equation.3" ShapeID="_x0000_i1073" DrawAspect="Content" ObjectID="_1470812169" r:id="rId92"/>
        </w:object>
      </w:r>
      <w:r>
        <w:t>.</w:t>
      </w:r>
    </w:p>
    <w:p w:rsidR="005E5485" w:rsidRDefault="005E5485" w:rsidP="006A6530">
      <w:pPr>
        <w:spacing w:line="480" w:lineRule="auto"/>
        <w:jc w:val="center"/>
      </w:pPr>
      <w:r w:rsidRPr="006A6530">
        <w:rPr>
          <w:position w:val="-30"/>
        </w:rPr>
        <w:object w:dxaOrig="740" w:dyaOrig="680">
          <v:shape id="_x0000_i1074" type="#_x0000_t75" style="width:36.75pt;height:33.75pt" o:ole="">
            <v:imagedata r:id="rId93" o:title=""/>
          </v:shape>
          <o:OLEObject Type="Embed" ProgID="Equation.3" ShapeID="_x0000_i1074" DrawAspect="Content" ObjectID="_1470812170" r:id="rId94"/>
        </w:object>
      </w:r>
    </w:p>
    <w:p w:rsidR="005E5485" w:rsidRPr="00E946FA" w:rsidRDefault="005E5485" w:rsidP="00E946FA">
      <w:pPr>
        <w:spacing w:line="480" w:lineRule="auto"/>
        <w:jc w:val="center"/>
        <w:rPr>
          <w:position w:val="-24"/>
        </w:rPr>
      </w:pPr>
      <w:r w:rsidRPr="006A6530">
        <w:rPr>
          <w:position w:val="-24"/>
        </w:rPr>
        <w:object w:dxaOrig="2500" w:dyaOrig="639">
          <v:shape id="_x0000_i1075" type="#_x0000_t75" style="width:125.25pt;height:32.25pt" o:ole="">
            <v:imagedata r:id="rId95" o:title=""/>
          </v:shape>
          <o:OLEObject Type="Embed" ProgID="Equation.3" ShapeID="_x0000_i1075" DrawAspect="Content" ObjectID="_1470812171" r:id="rId96"/>
        </w:object>
      </w:r>
    </w:p>
    <w:p w:rsidR="005E5485" w:rsidRDefault="005E5485" w:rsidP="009C0921">
      <w:pPr>
        <w:spacing w:line="480" w:lineRule="auto"/>
        <w:ind w:firstLine="709"/>
        <w:jc w:val="both"/>
      </w:pPr>
      <w:r>
        <w:t>Оптическая плотность раствора, содержащего несколько окрашенных веществ, обладает свойством аддитивности, которое иногда называют законом аддитивности светопоглощения. В соответствии с этим законом поглощение света каким-либо веществом не зависит от присутствия в растворе других веществ. При наличии в растворе нескольких окрашенных веществ каждое из них будет давать свой аддитивный вклад в экспериментально определяемую оптическую плотность:</w:t>
      </w:r>
    </w:p>
    <w:p w:rsidR="005E5485" w:rsidRDefault="005E5485" w:rsidP="00E946FA">
      <w:pPr>
        <w:spacing w:line="480" w:lineRule="auto"/>
        <w:ind w:firstLine="709"/>
        <w:jc w:val="center"/>
      </w:pPr>
      <w:r w:rsidRPr="00E946FA">
        <w:rPr>
          <w:position w:val="-12"/>
        </w:rPr>
        <w:object w:dxaOrig="2160" w:dyaOrig="360">
          <v:shape id="_x0000_i1076" type="#_x0000_t75" style="width:108pt;height:18pt" o:ole="">
            <v:imagedata r:id="rId97" o:title=""/>
          </v:shape>
          <o:OLEObject Type="Embed" ProgID="Equation.3" ShapeID="_x0000_i1076" DrawAspect="Content" ObjectID="_1470812172" r:id="rId98"/>
        </w:object>
      </w:r>
    </w:p>
    <w:p w:rsidR="005E5485" w:rsidRPr="002B1946" w:rsidRDefault="005E5485" w:rsidP="00E946FA">
      <w:pPr>
        <w:spacing w:line="480" w:lineRule="auto"/>
      </w:pPr>
      <w:r>
        <w:t xml:space="preserve">где </w:t>
      </w:r>
      <w:r w:rsidRPr="00137B66">
        <w:rPr>
          <w:position w:val="-12"/>
        </w:rPr>
        <w:object w:dxaOrig="1060" w:dyaOrig="360">
          <v:shape id="_x0000_i1077" type="#_x0000_t75" style="width:53.25pt;height:18pt" o:ole="">
            <v:imagedata r:id="rId99" o:title=""/>
          </v:shape>
          <o:OLEObject Type="Embed" ProgID="Equation.3" ShapeID="_x0000_i1077" DrawAspect="Content" ObjectID="_1470812173" r:id="rId100"/>
        </w:object>
      </w:r>
      <w:r>
        <w:t xml:space="preserve"> - оптическая плотность вещества 1,2, </w:t>
      </w:r>
      <w:r>
        <w:rPr>
          <w:lang w:val="de-DE"/>
        </w:rPr>
        <w:t>n</w:t>
      </w:r>
    </w:p>
    <w:p w:rsidR="005E5485" w:rsidRDefault="005E5485" w:rsidP="009C0921">
      <w:pPr>
        <w:spacing w:line="480" w:lineRule="auto"/>
        <w:ind w:firstLine="709"/>
        <w:jc w:val="both"/>
      </w:pPr>
      <w:r>
        <w:t xml:space="preserve">Концентрацию вещества С выражают в различных единицах. Для газов (и растворов) ее можно выражать числом </w:t>
      </w:r>
      <w:r w:rsidRPr="009C0921">
        <w:rPr>
          <w:position w:val="-6"/>
        </w:rPr>
        <w:object w:dxaOrig="200" w:dyaOrig="220">
          <v:shape id="_x0000_i1078" type="#_x0000_t75" style="width:9.75pt;height:11.25pt" o:ole="">
            <v:imagedata r:id="rId101" o:title=""/>
          </v:shape>
          <o:OLEObject Type="Embed" ProgID="Equation.3" ShapeID="_x0000_i1078" DrawAspect="Content" ObjectID="_1470812174" r:id="rId102"/>
        </w:object>
      </w:r>
      <w:r>
        <w:t xml:space="preserve"> молекул в 1 см</w:t>
      </w:r>
      <w:r w:rsidRPr="009C0921">
        <w:rPr>
          <w:vertAlign w:val="superscript"/>
        </w:rPr>
        <w:t>3</w:t>
      </w:r>
      <w:r>
        <w:t xml:space="preserve">. Соответствующий этому случаю показатель поглощения </w:t>
      </w:r>
      <w:r w:rsidRPr="009C0921">
        <w:rPr>
          <w:position w:val="-10"/>
        </w:rPr>
        <w:object w:dxaOrig="200" w:dyaOrig="260">
          <v:shape id="_x0000_i1079" type="#_x0000_t75" style="width:9.75pt;height:12.75pt" o:ole="">
            <v:imagedata r:id="rId103" o:title=""/>
          </v:shape>
          <o:OLEObject Type="Embed" ProgID="Equation.3" ShapeID="_x0000_i1079" DrawAspect="Content" ObjectID="_1470812175" r:id="rId104"/>
        </w:object>
      </w:r>
      <w:r>
        <w:t xml:space="preserve"> называют молекулярным и относят к одной молекуле. Концентрацию растворенного вещества выражают также числом С грамм-молей в 1 литре раствора. В этом случае показатель поглощения принято обозначать буквой </w:t>
      </w:r>
      <w:r w:rsidRPr="009C0921">
        <w:rPr>
          <w:position w:val="-6"/>
        </w:rPr>
        <w:object w:dxaOrig="200" w:dyaOrig="220">
          <v:shape id="_x0000_i1080" type="#_x0000_t75" style="width:9.75pt;height:11.25pt" o:ole="">
            <v:imagedata r:id="rId105" o:title=""/>
          </v:shape>
          <o:OLEObject Type="Embed" ProgID="Equation.3" ShapeID="_x0000_i1080" DrawAspect="Content" ObjectID="_1470812176" r:id="rId106"/>
        </w:object>
      </w:r>
      <w:r>
        <w:t xml:space="preserve"> и называть молярным показателем поглощения. Численное соотношение между обоими коэффициентами можно получить из соотношения </w:t>
      </w:r>
      <w:r w:rsidRPr="009C0921">
        <w:rPr>
          <w:position w:val="-10"/>
        </w:rPr>
        <w:object w:dxaOrig="800" w:dyaOrig="320">
          <v:shape id="_x0000_i1081" type="#_x0000_t75" style="width:39.75pt;height:15.75pt" o:ole="">
            <v:imagedata r:id="rId107" o:title=""/>
          </v:shape>
          <o:OLEObject Type="Embed" ProgID="Equation.3" ShapeID="_x0000_i1081" DrawAspect="Content" ObjectID="_1470812177" r:id="rId108"/>
        </w:object>
      </w:r>
    </w:p>
    <w:p w:rsidR="005E5485" w:rsidRDefault="005E5485" w:rsidP="009C0921">
      <w:pPr>
        <w:spacing w:line="480" w:lineRule="auto"/>
        <w:ind w:firstLine="709"/>
        <w:jc w:val="center"/>
      </w:pPr>
      <w:r w:rsidRPr="009C0921">
        <w:rPr>
          <w:position w:val="-28"/>
        </w:rPr>
        <w:object w:dxaOrig="2840" w:dyaOrig="700">
          <v:shape id="_x0000_i1082" type="#_x0000_t75" style="width:140.25pt;height:35.25pt" o:ole="">
            <v:imagedata r:id="rId109" o:title=""/>
          </v:shape>
          <o:OLEObject Type="Embed" ProgID="Equation.3" ShapeID="_x0000_i1082" DrawAspect="Content" ObjectID="_1470812178" r:id="rId110"/>
        </w:object>
      </w:r>
    </w:p>
    <w:p w:rsidR="005E5485" w:rsidRDefault="005E5485" w:rsidP="009C0921">
      <w:pPr>
        <w:spacing w:line="480" w:lineRule="auto"/>
        <w:jc w:val="both"/>
        <w:rPr>
          <w:lang w:val="en-US"/>
        </w:rPr>
      </w:pPr>
    </w:p>
    <w:p w:rsidR="005E5485" w:rsidRDefault="005E5485" w:rsidP="00943438">
      <w:pPr>
        <w:pStyle w:val="6"/>
        <w:spacing w:line="480" w:lineRule="auto"/>
      </w:pPr>
      <w:bookmarkStart w:id="20" w:name="_Toc278452485"/>
      <w:r>
        <w:t>Ограничения и условия применимости закона Бугера-Ламберта-Бера</w:t>
      </w:r>
      <w:bookmarkEnd w:id="20"/>
    </w:p>
    <w:p w:rsidR="005E5485" w:rsidRDefault="005E5485" w:rsidP="00137B66">
      <w:pPr>
        <w:spacing w:line="480" w:lineRule="auto"/>
        <w:ind w:firstLine="709"/>
        <w:jc w:val="both"/>
      </w:pPr>
      <w:r>
        <w:t>Зависимость оптической плотности от концентрации графически выражается прямой линией, выходящей из начала координат. Опыт показывает, что линейная зависимость выполняется не всегда. При практическом применении закона Бугера-Ламберта-Бера необходимо учитывать следующие ограничения:</w:t>
      </w:r>
    </w:p>
    <w:p w:rsidR="005E5485" w:rsidRDefault="005E5485" w:rsidP="00943438">
      <w:pPr>
        <w:pStyle w:val="13"/>
        <w:numPr>
          <w:ilvl w:val="0"/>
          <w:numId w:val="1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137B66">
        <w:rPr>
          <w:rFonts w:ascii="Times New Roman" w:hAnsi="Times New Roman"/>
          <w:sz w:val="24"/>
          <w:szCs w:val="24"/>
        </w:rPr>
        <w:t xml:space="preserve">Закон справедлив для </w:t>
      </w:r>
      <w:r>
        <w:rPr>
          <w:rFonts w:ascii="Times New Roman" w:hAnsi="Times New Roman"/>
          <w:sz w:val="24"/>
          <w:szCs w:val="24"/>
        </w:rPr>
        <w:t>монохроматического света.</w:t>
      </w:r>
    </w:p>
    <w:p w:rsidR="005E5485" w:rsidRDefault="005E5485" w:rsidP="00943438">
      <w:pPr>
        <w:pStyle w:val="13"/>
        <w:numPr>
          <w:ilvl w:val="0"/>
          <w:numId w:val="1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Коэффициент </w:t>
      </w:r>
      <w:r w:rsidRPr="00137B66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83" type="#_x0000_t75" style="width:12pt;height:11.25pt" o:ole="">
            <v:imagedata r:id="rId111" o:title=""/>
          </v:shape>
          <o:OLEObject Type="Embed" ProgID="Equation.3" ShapeID="_x0000_i1083" DrawAspect="Content" ObjectID="_1470812179" r:id="rId112"/>
        </w:object>
      </w:r>
      <w:r>
        <w:rPr>
          <w:rFonts w:ascii="Times New Roman" w:hAnsi="Times New Roman"/>
          <w:sz w:val="24"/>
          <w:szCs w:val="24"/>
        </w:rPr>
        <w:t>зависит от показателя преломления среды. Если концентрация раствора сравнительно невелика, его показатель преломления остается практически таким же, каким он был у чистого растворителя, и отклонений от закона по этой причине не наблюдается.</w:t>
      </w:r>
    </w:p>
    <w:p w:rsidR="005E5485" w:rsidRDefault="005E5485" w:rsidP="00943438">
      <w:pPr>
        <w:pStyle w:val="13"/>
        <w:numPr>
          <w:ilvl w:val="0"/>
          <w:numId w:val="1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при измерениях должна оставаться постоянной хотя бы в пределах нескольких градусов.</w:t>
      </w:r>
    </w:p>
    <w:p w:rsidR="005E5485" w:rsidRDefault="005E5485" w:rsidP="00943438">
      <w:pPr>
        <w:pStyle w:val="13"/>
        <w:numPr>
          <w:ilvl w:val="0"/>
          <w:numId w:val="1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Пучок света должен быть параллельным.</w:t>
      </w:r>
    </w:p>
    <w:p w:rsidR="005E5485" w:rsidRPr="00137B66" w:rsidRDefault="005E5485" w:rsidP="00943438">
      <w:pPr>
        <w:pStyle w:val="13"/>
        <w:numPr>
          <w:ilvl w:val="0"/>
          <w:numId w:val="1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соблюдается только для систем, в которых светопоглощающими центрами являются частицы одного сорта.</w:t>
      </w:r>
    </w:p>
    <w:p w:rsidR="005E5485" w:rsidRDefault="005E5485" w:rsidP="00137B66">
      <w:pPr>
        <w:spacing w:line="480" w:lineRule="auto"/>
        <w:ind w:firstLine="709"/>
        <w:jc w:val="both"/>
      </w:pPr>
    </w:p>
    <w:p w:rsidR="005E5485" w:rsidRDefault="005E5485">
      <w:pPr>
        <w:spacing w:after="200" w:line="276" w:lineRule="auto"/>
        <w:rPr>
          <w:rFonts w:eastAsia="Arial Unicode MS"/>
          <w:sz w:val="28"/>
          <w:szCs w:val="20"/>
        </w:rPr>
      </w:pPr>
      <w:r>
        <w:br w:type="page"/>
      </w:r>
    </w:p>
    <w:p w:rsidR="005E5485" w:rsidRDefault="005E5485" w:rsidP="009C0921">
      <w:pPr>
        <w:pStyle w:val="6"/>
      </w:pPr>
      <w:bookmarkStart w:id="21" w:name="_Toc278452486"/>
      <w:r>
        <w:t>Молекулярный спектральный анализ</w:t>
      </w:r>
      <w:bookmarkEnd w:id="21"/>
    </w:p>
    <w:p w:rsidR="005E5485" w:rsidRDefault="005E5485" w:rsidP="009C0921">
      <w:pPr>
        <w:spacing w:line="480" w:lineRule="auto"/>
        <w:ind w:firstLine="709"/>
        <w:jc w:val="both"/>
      </w:pPr>
      <w:r>
        <w:t>Молекулярный спектральный анализ предполагает качественное и количественное определение молекулярного состава пробы по молекулярным спектрам поглощения и испускания. Эти методы применяются  для промышленного контроля молекулярного состава проб, например, при производстве красителей, бензинов и т.д. Молекулярные спектры очень сложны, так как возможны различные электронные переходы в молекулах (электронные спектры), колебательные переходы с изменением колебательных состояний ядер атомов, входящих в состав молекулы (колебательный спектр), и изменения вращательных состояний молекулы (вращательный спектр). Эти спектры расположены в различных областях длин волн.</w:t>
      </w:r>
    </w:p>
    <w:p w:rsidR="005E5485" w:rsidRDefault="005E5485" w:rsidP="009C0921">
      <w:pPr>
        <w:spacing w:line="480" w:lineRule="auto"/>
        <w:ind w:firstLine="709"/>
        <w:jc w:val="both"/>
      </w:pPr>
      <w:r>
        <w:t>При проведении абсорбционного анализа по спектрам поглощения проба берется в газообразном, жидком или твердом состоянии, помещается между источником сплошного спектра (лампа накаливания для видимой области спектра, водородная или криптоновая лампа для ультрафиолетовой области, раскаленный штифт для инфракрасной области) и спектральным прибором. Спектр поглощения анализируется при помощи спектрометра или спектрофотометра.</w:t>
      </w:r>
    </w:p>
    <w:p w:rsidR="005E5485" w:rsidRDefault="005E5485" w:rsidP="00E7406B">
      <w:pPr>
        <w:spacing w:line="480" w:lineRule="auto"/>
        <w:ind w:firstLine="709"/>
        <w:jc w:val="both"/>
      </w:pPr>
    </w:p>
    <w:p w:rsidR="005E5485" w:rsidRDefault="005E5485">
      <w:pPr>
        <w:spacing w:after="200" w:line="276" w:lineRule="auto"/>
        <w:rPr>
          <w:rFonts w:eastAsia="Arial Unicode MS"/>
          <w:sz w:val="28"/>
          <w:szCs w:val="20"/>
        </w:rPr>
      </w:pPr>
      <w:r>
        <w:br w:type="page"/>
      </w:r>
    </w:p>
    <w:p w:rsidR="005E5485" w:rsidRDefault="005E5485" w:rsidP="00400AF5">
      <w:pPr>
        <w:pStyle w:val="6"/>
      </w:pPr>
      <w:bookmarkStart w:id="22" w:name="_Toc278452487"/>
      <w:r>
        <w:t>Применение</w:t>
      </w:r>
      <w:bookmarkEnd w:id="22"/>
      <w:r>
        <w:t xml:space="preserve"> </w:t>
      </w:r>
    </w:p>
    <w:p w:rsidR="005E5485" w:rsidRPr="00400AF5" w:rsidRDefault="005E5485" w:rsidP="00C547AC">
      <w:pPr>
        <w:spacing w:line="480" w:lineRule="auto"/>
        <w:ind w:firstLine="709"/>
        <w:jc w:val="both"/>
      </w:pPr>
      <w:r>
        <w:t xml:space="preserve">Спектроскопия считается прикладной наукой и отличается большой информативностью. В молекулярной спектроскопии можно выделит следующие основные </w:t>
      </w:r>
      <w:r w:rsidRPr="00400AF5">
        <w:t>направления ее применения в науке и технике.</w:t>
      </w:r>
    </w:p>
    <w:p w:rsidR="005E5485" w:rsidRDefault="005E5485" w:rsidP="00C547AC">
      <w:pPr>
        <w:pStyle w:val="13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00AF5">
        <w:rPr>
          <w:rFonts w:ascii="Times New Roman" w:hAnsi="Times New Roman"/>
          <w:sz w:val="24"/>
          <w:szCs w:val="24"/>
        </w:rPr>
        <w:t>Идентификация веществ.</w:t>
      </w:r>
      <w:r>
        <w:rPr>
          <w:rFonts w:ascii="Times New Roman" w:hAnsi="Times New Roman"/>
          <w:sz w:val="24"/>
          <w:szCs w:val="24"/>
        </w:rPr>
        <w:t xml:space="preserve"> Она основана на том, что каждое соединение, включая изомеры, имеет свой собственный и только ему присущий спектр. Это свойство используется для качественного анализа тех веществ, спектры которых уже известны.</w:t>
      </w:r>
    </w:p>
    <w:p w:rsidR="005E5485" w:rsidRDefault="005E5485" w:rsidP="00C547AC">
      <w:pPr>
        <w:pStyle w:val="13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Количественный анализ. Измерение интенсивности молекулярных спектров позволяет проводить с очень высокой чувствительностью количественный анализ различных веществ, не разрушая их. </w:t>
      </w:r>
    </w:p>
    <w:p w:rsidR="005E5485" w:rsidRDefault="005E5485" w:rsidP="00C547AC">
      <w:pPr>
        <w:pStyle w:val="13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Структурно-групповой (функциональный) анализ. Систематическое изучение спектров веществ с одинаковыми структурными группами показало, что в их спектрах имеются характерные полосы, с помощью которых можно решать обратную задачу – по характеристичным полосам определять в исследуемом соединении наличие той или иной структурной группы.</w:t>
      </w:r>
    </w:p>
    <w:p w:rsidR="005E5485" w:rsidRDefault="005E5485" w:rsidP="00C547AC">
      <w:pPr>
        <w:pStyle w:val="13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строения молекул и вещества, т.е. пространственного расположения ядер и расстояний между ними.</w:t>
      </w:r>
    </w:p>
    <w:p w:rsidR="005E5485" w:rsidRDefault="005E5485" w:rsidP="00C547AC">
      <w:pPr>
        <w:pStyle w:val="13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различных тепловых эффектов (напр., теплот испарения) по изменению интенсивности спектров в зависимости от температуры вещества.</w:t>
      </w:r>
    </w:p>
    <w:p w:rsidR="005E5485" w:rsidRDefault="005E5485" w:rsidP="00C547AC">
      <w:pPr>
        <w:pStyle w:val="13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Исследования межмолекулярного взаимодействия.</w:t>
      </w:r>
    </w:p>
    <w:p w:rsidR="005E5485" w:rsidRDefault="005E5485" w:rsidP="00C547AC">
      <w:pPr>
        <w:pStyle w:val="13"/>
        <w:spacing w:line="480" w:lineRule="auto"/>
        <w:ind w:left="360"/>
        <w:rPr>
          <w:rFonts w:ascii="Times New Roman" w:hAnsi="Times New Roman"/>
          <w:sz w:val="24"/>
          <w:szCs w:val="24"/>
        </w:rPr>
      </w:pPr>
    </w:p>
    <w:p w:rsidR="005E5485" w:rsidRDefault="005E5485">
      <w:pPr>
        <w:spacing w:after="200" w:line="276" w:lineRule="auto"/>
        <w:rPr>
          <w:rFonts w:eastAsia="Arial Unicode MS"/>
          <w:sz w:val="28"/>
          <w:szCs w:val="20"/>
        </w:rPr>
      </w:pPr>
      <w:r>
        <w:br w:type="page"/>
      </w:r>
    </w:p>
    <w:p w:rsidR="005E5485" w:rsidRDefault="005E5485" w:rsidP="00C547AC">
      <w:pPr>
        <w:pStyle w:val="6"/>
      </w:pPr>
      <w:bookmarkStart w:id="23" w:name="_Toc278452488"/>
      <w:r>
        <w:t>Принципиальная схема спектрометра</w:t>
      </w:r>
      <w:bookmarkEnd w:id="23"/>
    </w:p>
    <w:p w:rsidR="005E5485" w:rsidRPr="00B30EC7" w:rsidRDefault="005E5485" w:rsidP="00C547AC">
      <w:pPr>
        <w:spacing w:line="480" w:lineRule="auto"/>
        <w:ind w:firstLine="709"/>
        <w:jc w:val="both"/>
      </w:pPr>
      <w:r>
        <w:t xml:space="preserve">Фотометрическое измерение заключается в оценке различий в интенсивности двух потоков излучения: падающего на исследуемый объект </w:t>
      </w:r>
      <w:r w:rsidRPr="00BD71EC">
        <w:rPr>
          <w:position w:val="-12"/>
        </w:rPr>
        <w:object w:dxaOrig="260" w:dyaOrig="360">
          <v:shape id="_x0000_i1084" type="#_x0000_t75" style="width:12.75pt;height:18pt" o:ole="">
            <v:imagedata r:id="rId31" o:title=""/>
          </v:shape>
          <o:OLEObject Type="Embed" ProgID="Equation.3" ShapeID="_x0000_i1084" DrawAspect="Content" ObjectID="_1470812180" r:id="rId113"/>
        </w:object>
      </w:r>
      <w:r>
        <w:t xml:space="preserve"> и прошедшего через него </w:t>
      </w:r>
      <w:r w:rsidRPr="00C547AC">
        <w:rPr>
          <w:position w:val="-4"/>
        </w:rPr>
        <w:object w:dxaOrig="200" w:dyaOrig="260">
          <v:shape id="_x0000_i1085" type="#_x0000_t75" style="width:9.75pt;height:12.75pt" o:ole="">
            <v:imagedata r:id="rId114" o:title=""/>
          </v:shape>
          <o:OLEObject Type="Embed" ProgID="Equation.3" ShapeID="_x0000_i1085" DrawAspect="Content" ObjectID="_1470812181" r:id="rId115"/>
        </w:object>
      </w:r>
      <w:r>
        <w:t xml:space="preserve"> на определенной длине волны. Приборы, на которых производят такие измерения, </w:t>
      </w:r>
      <w:r w:rsidRPr="00B30EC7">
        <w:t>классифицируют по следующим основным принципам:</w:t>
      </w:r>
    </w:p>
    <w:p w:rsidR="005E5485" w:rsidRPr="00B30EC7" w:rsidRDefault="005E5485" w:rsidP="00B30EC7">
      <w:pPr>
        <w:pStyle w:val="1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30EC7">
        <w:rPr>
          <w:rFonts w:ascii="Times New Roman" w:hAnsi="Times New Roman"/>
          <w:sz w:val="24"/>
          <w:szCs w:val="24"/>
        </w:rPr>
        <w:t>По спектральным областям, в которых они работают</w:t>
      </w:r>
    </w:p>
    <w:p w:rsidR="005E5485" w:rsidRDefault="005E5485" w:rsidP="00B30EC7">
      <w:pPr>
        <w:pStyle w:val="1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30EC7">
        <w:rPr>
          <w:rFonts w:ascii="Times New Roman" w:hAnsi="Times New Roman"/>
          <w:sz w:val="24"/>
          <w:szCs w:val="24"/>
        </w:rPr>
        <w:t>По способу монохроматизации потока излучений</w:t>
      </w:r>
      <w:r>
        <w:rPr>
          <w:rFonts w:ascii="Times New Roman" w:hAnsi="Times New Roman"/>
          <w:sz w:val="24"/>
          <w:szCs w:val="24"/>
        </w:rPr>
        <w:t>:</w:t>
      </w:r>
    </w:p>
    <w:p w:rsidR="005E5485" w:rsidRDefault="005E5485" w:rsidP="00B30EC7">
      <w:pPr>
        <w:pStyle w:val="13"/>
        <w:numPr>
          <w:ilvl w:val="0"/>
          <w:numId w:val="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высокой степенью монохроматизации (призменные и дифракционные монохроматоры)</w:t>
      </w:r>
    </w:p>
    <w:p w:rsidR="005E5485" w:rsidRPr="00B30EC7" w:rsidRDefault="005E5485" w:rsidP="00B30EC7">
      <w:pPr>
        <w:pStyle w:val="13"/>
        <w:numPr>
          <w:ilvl w:val="0"/>
          <w:numId w:val="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низкой степенью монохроматизации (светофильтры)</w:t>
      </w:r>
    </w:p>
    <w:p w:rsidR="005E5485" w:rsidRDefault="005E5485" w:rsidP="00B30EC7">
      <w:pPr>
        <w:pStyle w:val="1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30EC7">
        <w:rPr>
          <w:rFonts w:ascii="Times New Roman" w:hAnsi="Times New Roman"/>
          <w:sz w:val="24"/>
          <w:szCs w:val="24"/>
        </w:rPr>
        <w:t>По способу регистрации интенсивности</w:t>
      </w:r>
      <w:r>
        <w:rPr>
          <w:rFonts w:ascii="Times New Roman" w:hAnsi="Times New Roman"/>
          <w:sz w:val="24"/>
          <w:szCs w:val="24"/>
        </w:rPr>
        <w:t xml:space="preserve"> излучения:</w:t>
      </w:r>
    </w:p>
    <w:p w:rsidR="005E5485" w:rsidRDefault="005E5485" w:rsidP="00B30EC7">
      <w:pPr>
        <w:pStyle w:val="13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Визуальные (спектроскопы)</w:t>
      </w:r>
    </w:p>
    <w:p w:rsidR="005E5485" w:rsidRDefault="005E5485" w:rsidP="00B30EC7">
      <w:pPr>
        <w:pStyle w:val="13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Фотографические (спектрографы)</w:t>
      </w:r>
    </w:p>
    <w:p w:rsidR="005E5485" w:rsidRDefault="005E5485" w:rsidP="00B30EC7">
      <w:pPr>
        <w:pStyle w:val="13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Фотоэлектрические (фотометры, спектрометры, спектрофотометры)</w:t>
      </w:r>
    </w:p>
    <w:p w:rsidR="005E5485" w:rsidRDefault="005E5485" w:rsidP="007948E3">
      <w:pPr>
        <w:spacing w:line="480" w:lineRule="auto"/>
        <w:ind w:firstLine="709"/>
        <w:jc w:val="both"/>
      </w:pPr>
      <w:r>
        <w:t xml:space="preserve">Спектральные приборы, основанные на фотоэлектрическом принципе регистрации спектров, называются спектрометрами (спектрофотометрами). Они получили широкое распространение. Спектрометр состоит из следующих основных узлов: источника излучения, монохроматора 1, кюветного отделения 2, анализатора 3, приемника излучения 4, усилителя 5, регистрирующего устройства 6. </w:t>
      </w:r>
    </w:p>
    <w:p w:rsidR="005E5485" w:rsidRDefault="005709B6" w:rsidP="001B3EB0">
      <w:pPr>
        <w:jc w:val="center"/>
      </w:pPr>
      <w:r>
        <w:rPr>
          <w:noProof/>
        </w:rPr>
        <w:pict>
          <v:shape id="Рисунок 268" o:spid="_x0000_i1086" type="#_x0000_t75" style="width:465pt;height:84.75pt;visibility:visible">
            <v:imagedata r:id="rId116" o:title=""/>
          </v:shape>
        </w:pict>
      </w:r>
    </w:p>
    <w:p w:rsidR="005E5485" w:rsidRDefault="005E5485" w:rsidP="001B3EB0">
      <w:pPr>
        <w:spacing w:line="480" w:lineRule="auto"/>
        <w:jc w:val="center"/>
      </w:pPr>
      <w:r>
        <w:t>Рис.1. Принципиальная схема спектрофотометра</w:t>
      </w:r>
    </w:p>
    <w:p w:rsidR="005E5485" w:rsidRDefault="005E5485" w:rsidP="001B3EB0">
      <w:pPr>
        <w:spacing w:line="480" w:lineRule="auto"/>
        <w:ind w:firstLine="709"/>
        <w:jc w:val="both"/>
      </w:pPr>
      <w:r>
        <w:t xml:space="preserve">Для УФ-области спектра в качестве источников излучения используются водородные или более мощные дейтериевые лампы, дающие спектр излучения в области 180-400 нм. Обычным источником видимого излучения от 360 нм до ближней ИК-области является лампа накаливания с вольфрамовой нитью. </w:t>
      </w:r>
    </w:p>
    <w:p w:rsidR="005E5485" w:rsidRDefault="005E5485" w:rsidP="001B3EB0">
      <w:pPr>
        <w:spacing w:line="480" w:lineRule="auto"/>
        <w:ind w:firstLine="709"/>
        <w:jc w:val="both"/>
      </w:pPr>
      <w:r>
        <w:t>В спектрофотометрах применяются как призменные, так и дифракционные монохроматоры. Для уменьшения рассеянного излучения используются двойные монохроматоры либо дополнительные светофильтры.</w:t>
      </w:r>
    </w:p>
    <w:p w:rsidR="005E5485" w:rsidRDefault="005E5485" w:rsidP="001B3EB0">
      <w:pPr>
        <w:spacing w:line="480" w:lineRule="auto"/>
        <w:ind w:firstLine="709"/>
        <w:jc w:val="both"/>
      </w:pPr>
      <w:r>
        <w:t>В качестве приемников в УФ- и видимой областях используют вакуумные фотоэлементы, а также твердотельные фотоэлементы. Для УФ-области (150-400 нм) приемником служит фотоэлемент с сурьмяно-цезиевым фотокатодом, в видимой и ближней ИК-областях (до 1200 нм) применяют элементы с кислородно-цезиевым фотокатодом.</w:t>
      </w:r>
    </w:p>
    <w:p w:rsidR="005E5485" w:rsidRDefault="005E5485" w:rsidP="001B3EB0">
      <w:pPr>
        <w:spacing w:line="480" w:lineRule="auto"/>
        <w:ind w:firstLine="709"/>
        <w:jc w:val="both"/>
      </w:pPr>
      <w:r>
        <w:t xml:space="preserve">При использовании такого типа приборов построение спектра поглощения по точкам требует большого числа измерений. Кроме того, однолучевые приборы не пригодны для измерения очень малых изменений поглощения. Эти недостатки были устранены в более совершенных двулучевых схемах, которые предусматривают два равноценных пути прохождения излучения от одного и того же источника света. Один проходит через исследуемый образец, другой – через кюветы, содержащую раствор сравнения. Оба потока измеряют по отдельности или с помощью двух приемников излучения, или на одном приемнике с модулятором. </w:t>
      </w:r>
    </w:p>
    <w:p w:rsidR="005E5485" w:rsidRDefault="005709B6" w:rsidP="00496CD2">
      <w:pPr>
        <w:jc w:val="center"/>
      </w:pPr>
      <w:r>
        <w:rPr>
          <w:noProof/>
        </w:rPr>
        <w:pict>
          <v:shape id="Рисунок 269" o:spid="_x0000_i1087" type="#_x0000_t75" style="width:465pt;height:138pt;visibility:visible">
            <v:imagedata r:id="rId117" o:title=""/>
          </v:shape>
        </w:pict>
      </w:r>
    </w:p>
    <w:p w:rsidR="005E5485" w:rsidRDefault="005E5485" w:rsidP="00496CD2">
      <w:pPr>
        <w:spacing w:line="480" w:lineRule="auto"/>
        <w:jc w:val="center"/>
      </w:pPr>
      <w:r>
        <w:t>Рис.2. Принципиальная схема двулучевого спектрофотометра</w:t>
      </w:r>
    </w:p>
    <w:p w:rsidR="005E5485" w:rsidRDefault="005E5485" w:rsidP="00496CD2">
      <w:pPr>
        <w:spacing w:line="480" w:lineRule="auto"/>
        <w:ind w:firstLine="709"/>
        <w:jc w:val="both"/>
      </w:pPr>
      <w:r>
        <w:t>После монохроматора с помощью системы расщепления луч света делится пополам, а затем через модулятор попадает на образец и эталон. На фотоприемник поочередно направляются лучи, проходящие через образец и эталон. При этом чаще всего используется дифференциальный метод регистрации поглощения или пропускания исследуемого образца относительно эталона. Изменяя длину волны света с помощью монохроматора, получают спектр поглощения исследуемого образца.</w:t>
      </w:r>
    </w:p>
    <w:p w:rsidR="005E5485" w:rsidRDefault="005E5485" w:rsidP="00496CD2">
      <w:pPr>
        <w:spacing w:line="480" w:lineRule="auto"/>
        <w:jc w:val="center"/>
      </w:pPr>
    </w:p>
    <w:p w:rsidR="005E5485" w:rsidRDefault="005E5485">
      <w:pPr>
        <w:spacing w:after="200" w:line="276" w:lineRule="auto"/>
        <w:rPr>
          <w:rFonts w:eastAsia="Arial Unicode MS"/>
          <w:sz w:val="28"/>
          <w:szCs w:val="20"/>
        </w:rPr>
      </w:pPr>
      <w:r>
        <w:br w:type="page"/>
      </w:r>
    </w:p>
    <w:p w:rsidR="005E5485" w:rsidRDefault="005E5485" w:rsidP="008F7473">
      <w:pPr>
        <w:pStyle w:val="6"/>
      </w:pPr>
      <w:bookmarkStart w:id="24" w:name="_Toc278452489"/>
      <w:r>
        <w:t>Библиографический список</w:t>
      </w:r>
      <w:bookmarkEnd w:id="24"/>
    </w:p>
    <w:p w:rsidR="005E5485" w:rsidRDefault="005E5485" w:rsidP="008F7473">
      <w:pPr>
        <w:pStyle w:val="13"/>
        <w:numPr>
          <w:ilvl w:val="0"/>
          <w:numId w:val="10"/>
        </w:numPr>
        <w:spacing w:after="0"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F7473">
        <w:rPr>
          <w:rFonts w:ascii="Times New Roman" w:hAnsi="Times New Roman"/>
          <w:sz w:val="24"/>
          <w:szCs w:val="24"/>
        </w:rPr>
        <w:t>Бабушкин А.А., Бажулин П.А., Королев Ф.А</w:t>
      </w:r>
      <w:r>
        <w:rPr>
          <w:rFonts w:ascii="Times New Roman" w:hAnsi="Times New Roman"/>
          <w:sz w:val="24"/>
          <w:szCs w:val="24"/>
        </w:rPr>
        <w:t xml:space="preserve"> и др. Методы спектрального анализа (под ред. Левшина В.Л.). М.: Издательство Московского университета, 1962</w:t>
      </w:r>
    </w:p>
    <w:p w:rsidR="005E5485" w:rsidRDefault="005E5485" w:rsidP="008F7473">
      <w:pPr>
        <w:pStyle w:val="13"/>
        <w:numPr>
          <w:ilvl w:val="0"/>
          <w:numId w:val="10"/>
        </w:numPr>
        <w:spacing w:after="0"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Бахшиев Н.Г. Введение в молекулярную спектроскопию. Ленинград: Издательство Ленинградского университета, 1987</w:t>
      </w:r>
    </w:p>
    <w:p w:rsidR="005E5485" w:rsidRDefault="005E5485" w:rsidP="008F7473">
      <w:pPr>
        <w:pStyle w:val="13"/>
        <w:numPr>
          <w:ilvl w:val="0"/>
          <w:numId w:val="10"/>
        </w:numPr>
        <w:spacing w:after="0"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Левшин Л.В., Салецкий А.М. Оптические методы исследования молекулярных систем. Молекулярная спектроскопия. М.: Издательство Московского университета, 1994</w:t>
      </w:r>
    </w:p>
    <w:p w:rsidR="005E5485" w:rsidRDefault="005E5485" w:rsidP="008F7473">
      <w:pPr>
        <w:pStyle w:val="13"/>
        <w:numPr>
          <w:ilvl w:val="0"/>
          <w:numId w:val="10"/>
        </w:numPr>
        <w:spacing w:after="0"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Мальцев А.А. Молекулярная спектроскопия. М.: Издательство Московского университета, 1980</w:t>
      </w:r>
    </w:p>
    <w:p w:rsidR="005E5485" w:rsidRDefault="005E5485" w:rsidP="008F7473">
      <w:pPr>
        <w:pStyle w:val="13"/>
        <w:numPr>
          <w:ilvl w:val="0"/>
          <w:numId w:val="10"/>
        </w:numPr>
        <w:spacing w:after="0"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Зайдель А.Н., Островская Г.В., Островский Ю.И. Техника и практика спектроскопии. М.: Издательство «Наука», 1972</w:t>
      </w:r>
    </w:p>
    <w:p w:rsidR="005E5485" w:rsidRPr="008F7473" w:rsidRDefault="005E5485" w:rsidP="008F7473"/>
    <w:p w:rsidR="005E5485" w:rsidRPr="008F7473" w:rsidRDefault="005E5485" w:rsidP="001B3EB0">
      <w:pPr>
        <w:spacing w:line="480" w:lineRule="auto"/>
        <w:jc w:val="center"/>
      </w:pPr>
    </w:p>
    <w:p w:rsidR="005E5485" w:rsidRPr="00B30EC7" w:rsidRDefault="005E5485" w:rsidP="001B3EB0">
      <w:pPr>
        <w:jc w:val="center"/>
      </w:pPr>
      <w:bookmarkStart w:id="25" w:name="_GoBack"/>
      <w:bookmarkEnd w:id="25"/>
    </w:p>
    <w:sectPr w:rsidR="005E5485" w:rsidRPr="00B30EC7" w:rsidSect="00400AF5">
      <w:footerReference w:type="default" r:id="rId118"/>
      <w:pgSz w:w="11906" w:h="16838"/>
      <w:pgMar w:top="1134" w:right="850" w:bottom="1134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85" w:rsidRDefault="005E5485" w:rsidP="00400AF5">
      <w:r>
        <w:separator/>
      </w:r>
    </w:p>
  </w:endnote>
  <w:endnote w:type="continuationSeparator" w:id="0">
    <w:p w:rsidR="005E5485" w:rsidRDefault="005E5485" w:rsidP="0040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85" w:rsidRDefault="005E5485" w:rsidP="00400AF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85" w:rsidRDefault="005E5485" w:rsidP="00400AF5">
      <w:r>
        <w:separator/>
      </w:r>
    </w:p>
  </w:footnote>
  <w:footnote w:type="continuationSeparator" w:id="0">
    <w:p w:rsidR="005E5485" w:rsidRDefault="005E5485" w:rsidP="0040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B2D"/>
    <w:multiLevelType w:val="hybridMultilevel"/>
    <w:tmpl w:val="BFE8C5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4712E7F"/>
    <w:multiLevelType w:val="hybridMultilevel"/>
    <w:tmpl w:val="7AF2399E"/>
    <w:lvl w:ilvl="0" w:tplc="4BA8E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67645D5"/>
    <w:multiLevelType w:val="hybridMultilevel"/>
    <w:tmpl w:val="11320C8C"/>
    <w:lvl w:ilvl="0" w:tplc="4BA8E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B57F79"/>
    <w:multiLevelType w:val="hybridMultilevel"/>
    <w:tmpl w:val="B336D36A"/>
    <w:lvl w:ilvl="0" w:tplc="10366A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D6A4E3F"/>
    <w:multiLevelType w:val="hybridMultilevel"/>
    <w:tmpl w:val="0F7AFD0C"/>
    <w:lvl w:ilvl="0" w:tplc="47C846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BD60B6D"/>
    <w:multiLevelType w:val="hybridMultilevel"/>
    <w:tmpl w:val="046AB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801E59"/>
    <w:multiLevelType w:val="hybridMultilevel"/>
    <w:tmpl w:val="11320C8C"/>
    <w:lvl w:ilvl="0" w:tplc="4BA8E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D47053"/>
    <w:multiLevelType w:val="hybridMultilevel"/>
    <w:tmpl w:val="7AF2399E"/>
    <w:lvl w:ilvl="0" w:tplc="4BA8E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4685A51"/>
    <w:multiLevelType w:val="hybridMultilevel"/>
    <w:tmpl w:val="5B7863A8"/>
    <w:lvl w:ilvl="0" w:tplc="47C846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B43E3C"/>
    <w:multiLevelType w:val="hybridMultilevel"/>
    <w:tmpl w:val="74F683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6A21677"/>
    <w:multiLevelType w:val="hybridMultilevel"/>
    <w:tmpl w:val="19AAF1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73D335E"/>
    <w:multiLevelType w:val="hybridMultilevel"/>
    <w:tmpl w:val="9BB864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270"/>
    <w:rsid w:val="00025FD7"/>
    <w:rsid w:val="00062A60"/>
    <w:rsid w:val="000A25D8"/>
    <w:rsid w:val="001200FE"/>
    <w:rsid w:val="00137B66"/>
    <w:rsid w:val="00164034"/>
    <w:rsid w:val="001B3EB0"/>
    <w:rsid w:val="002B1946"/>
    <w:rsid w:val="002F34D7"/>
    <w:rsid w:val="00316D1D"/>
    <w:rsid w:val="003E3F74"/>
    <w:rsid w:val="00400AF5"/>
    <w:rsid w:val="00452FB6"/>
    <w:rsid w:val="00496CD2"/>
    <w:rsid w:val="004B0CC7"/>
    <w:rsid w:val="004E5C2F"/>
    <w:rsid w:val="005709B6"/>
    <w:rsid w:val="005E5485"/>
    <w:rsid w:val="00662D7C"/>
    <w:rsid w:val="006A6530"/>
    <w:rsid w:val="00721D44"/>
    <w:rsid w:val="007948E3"/>
    <w:rsid w:val="007B114E"/>
    <w:rsid w:val="007D082B"/>
    <w:rsid w:val="00805F11"/>
    <w:rsid w:val="00837795"/>
    <w:rsid w:val="0089420C"/>
    <w:rsid w:val="008F7473"/>
    <w:rsid w:val="00943438"/>
    <w:rsid w:val="009A3DA5"/>
    <w:rsid w:val="009C0921"/>
    <w:rsid w:val="009C5610"/>
    <w:rsid w:val="00A040F4"/>
    <w:rsid w:val="00A250FD"/>
    <w:rsid w:val="00A95DBD"/>
    <w:rsid w:val="00AC5E3D"/>
    <w:rsid w:val="00B0363F"/>
    <w:rsid w:val="00B21F28"/>
    <w:rsid w:val="00B30EC7"/>
    <w:rsid w:val="00B34C21"/>
    <w:rsid w:val="00B4704A"/>
    <w:rsid w:val="00B512C6"/>
    <w:rsid w:val="00B64D3B"/>
    <w:rsid w:val="00B87A01"/>
    <w:rsid w:val="00BD71EC"/>
    <w:rsid w:val="00C13B13"/>
    <w:rsid w:val="00C21270"/>
    <w:rsid w:val="00C547AC"/>
    <w:rsid w:val="00CF0A8C"/>
    <w:rsid w:val="00CF444B"/>
    <w:rsid w:val="00D07E3D"/>
    <w:rsid w:val="00D72FB7"/>
    <w:rsid w:val="00D74A10"/>
    <w:rsid w:val="00E100C2"/>
    <w:rsid w:val="00E10EA5"/>
    <w:rsid w:val="00E32ACC"/>
    <w:rsid w:val="00E676E9"/>
    <w:rsid w:val="00E72E2F"/>
    <w:rsid w:val="00E7406B"/>
    <w:rsid w:val="00E75B06"/>
    <w:rsid w:val="00E946FA"/>
    <w:rsid w:val="00EA140C"/>
    <w:rsid w:val="00F712CB"/>
    <w:rsid w:val="00FD67E6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</o:shapelayout>
  </w:shapeDefaults>
  <w:decimalSymbol w:val=","/>
  <w:listSeparator w:val=";"/>
  <w15:chartTrackingRefBased/>
  <w15:docId w15:val="{A4273741-260E-4B78-BA02-EACC3EB2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74A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74A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21270"/>
    <w:pPr>
      <w:keepNext/>
      <w:spacing w:line="360" w:lineRule="auto"/>
      <w:outlineLvl w:val="2"/>
    </w:pPr>
    <w:rPr>
      <w:rFonts w:eastAsia="Arial Unicode MS"/>
      <w:szCs w:val="20"/>
    </w:rPr>
  </w:style>
  <w:style w:type="paragraph" w:styleId="6">
    <w:name w:val="heading 6"/>
    <w:basedOn w:val="a"/>
    <w:next w:val="a"/>
    <w:link w:val="60"/>
    <w:qFormat/>
    <w:rsid w:val="00662D7C"/>
    <w:pPr>
      <w:keepNext/>
      <w:tabs>
        <w:tab w:val="left" w:pos="8222"/>
      </w:tabs>
      <w:spacing w:line="360" w:lineRule="auto"/>
      <w:jc w:val="center"/>
      <w:outlineLvl w:val="5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сичена цитата1"/>
    <w:basedOn w:val="a"/>
    <w:next w:val="a"/>
    <w:link w:val="IntenseQuoteChar"/>
    <w:autoRedefine/>
    <w:rsid w:val="00B21F28"/>
    <w:pPr>
      <w:pBdr>
        <w:bottom w:val="single" w:sz="4" w:space="4" w:color="4F81BD"/>
      </w:pBdr>
      <w:spacing w:before="200" w:after="280"/>
      <w:ind w:left="936" w:right="936"/>
      <w:jc w:val="center"/>
    </w:pPr>
    <w:rPr>
      <w:b/>
      <w:bCs/>
      <w:i/>
      <w:iCs/>
      <w:sz w:val="32"/>
    </w:rPr>
  </w:style>
  <w:style w:type="character" w:customStyle="1" w:styleId="IntenseQuoteChar">
    <w:name w:val="Intense Quote Char"/>
    <w:basedOn w:val="a0"/>
    <w:link w:val="11"/>
    <w:locked/>
    <w:rsid w:val="00B21F28"/>
    <w:rPr>
      <w:rFonts w:ascii="Times New Roman" w:hAnsi="Times New Roman" w:cs="Times New Roman"/>
      <w:b/>
      <w:bCs/>
      <w:i/>
      <w:iCs/>
      <w:sz w:val="32"/>
    </w:rPr>
  </w:style>
  <w:style w:type="character" w:customStyle="1" w:styleId="30">
    <w:name w:val="Заголовок 3 Знак"/>
    <w:basedOn w:val="a0"/>
    <w:link w:val="3"/>
    <w:locked/>
    <w:rsid w:val="00C21270"/>
    <w:rPr>
      <w:rFonts w:ascii="Times New Roman" w:eastAsia="Arial Unicode MS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locked/>
    <w:rsid w:val="00662D7C"/>
    <w:rPr>
      <w:rFonts w:ascii="Times New Roman" w:eastAsia="Arial Unicode MS" w:hAnsi="Times New Roman" w:cs="Times New Roman"/>
      <w:sz w:val="20"/>
      <w:szCs w:val="20"/>
      <w:lang w:val="x-none" w:eastAsia="ru-RU"/>
    </w:rPr>
  </w:style>
  <w:style w:type="paragraph" w:styleId="a3">
    <w:name w:val="footer"/>
    <w:basedOn w:val="a"/>
    <w:link w:val="a4"/>
    <w:rsid w:val="00C2127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Нижній колонтитул Знак"/>
    <w:basedOn w:val="a0"/>
    <w:link w:val="a3"/>
    <w:locked/>
    <w:rsid w:val="00C2127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xl26">
    <w:name w:val="xl26"/>
    <w:basedOn w:val="a"/>
    <w:rsid w:val="00C21270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szCs w:val="20"/>
    </w:rPr>
  </w:style>
  <w:style w:type="paragraph" w:customStyle="1" w:styleId="12">
    <w:name w:val="Обычный1"/>
    <w:rsid w:val="00C21270"/>
    <w:pPr>
      <w:widowControl w:val="0"/>
      <w:snapToGrid w:val="0"/>
      <w:spacing w:before="220" w:line="300" w:lineRule="auto"/>
      <w:ind w:firstLine="700"/>
      <w:jc w:val="both"/>
    </w:pPr>
    <w:rPr>
      <w:rFonts w:ascii="Times New Roman" w:hAnsi="Times New Roman"/>
      <w:sz w:val="22"/>
    </w:rPr>
  </w:style>
  <w:style w:type="paragraph" w:styleId="a5">
    <w:name w:val="header"/>
    <w:basedOn w:val="a"/>
    <w:link w:val="a6"/>
    <w:rsid w:val="00C212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ій колонтитул Знак"/>
    <w:basedOn w:val="a0"/>
    <w:link w:val="a5"/>
    <w:locked/>
    <w:rsid w:val="00C2127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Абзац списку1"/>
    <w:basedOn w:val="a"/>
    <w:rsid w:val="00C2127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Balloon Text"/>
    <w:basedOn w:val="a"/>
    <w:link w:val="a8"/>
    <w:semiHidden/>
    <w:rsid w:val="007948E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locked/>
    <w:rsid w:val="007948E3"/>
    <w:rPr>
      <w:rFonts w:ascii="Tahoma" w:hAnsi="Tahoma" w:cs="Tahoma"/>
      <w:sz w:val="16"/>
      <w:szCs w:val="16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D74A10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D74A10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14">
    <w:name w:val="toc 1"/>
    <w:basedOn w:val="a"/>
    <w:next w:val="a"/>
    <w:autoRedefine/>
    <w:rsid w:val="00D74A10"/>
    <w:pPr>
      <w:spacing w:after="100"/>
    </w:pPr>
  </w:style>
  <w:style w:type="character" w:styleId="a9">
    <w:name w:val="Hyperlink"/>
    <w:basedOn w:val="a0"/>
    <w:rsid w:val="00D74A10"/>
    <w:rPr>
      <w:rFonts w:cs="Times New Roman"/>
      <w:color w:val="0000FF"/>
      <w:u w:val="single"/>
    </w:rPr>
  </w:style>
  <w:style w:type="paragraph" w:customStyle="1" w:styleId="aa">
    <w:name w:val="курсовик"/>
    <w:rsid w:val="00025FD7"/>
    <w:pPr>
      <w:spacing w:line="480" w:lineRule="auto"/>
      <w:jc w:val="both"/>
    </w:pPr>
    <w:rPr>
      <w:rFonts w:ascii="Times New Roman" w:hAnsi="Times New Roman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0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6.bin"/><Relationship Id="rId84" Type="http://schemas.openxmlformats.org/officeDocument/2006/relationships/image" Target="media/image34.wmf"/><Relationship Id="rId89" Type="http://schemas.openxmlformats.org/officeDocument/2006/relationships/image" Target="media/image36.wmf"/><Relationship Id="rId112" Type="http://schemas.openxmlformats.org/officeDocument/2006/relationships/oleObject" Target="embeddings/oleObject59.bin"/><Relationship Id="rId16" Type="http://schemas.openxmlformats.org/officeDocument/2006/relationships/image" Target="media/image5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5" Type="http://schemas.openxmlformats.org/officeDocument/2006/relationships/footnotes" Target="footnote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39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60.bin"/><Relationship Id="rId118" Type="http://schemas.openxmlformats.org/officeDocument/2006/relationships/footer" Target="footer1.xml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1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0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18.wmf"/><Relationship Id="rId114" Type="http://schemas.openxmlformats.org/officeDocument/2006/relationships/image" Target="media/image48.wmf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5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28.wmf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1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3.bin"/><Relationship Id="rId67" Type="http://schemas.openxmlformats.org/officeDocument/2006/relationships/image" Target="media/image26.wmf"/><Relationship Id="rId116" Type="http://schemas.openxmlformats.org/officeDocument/2006/relationships/image" Target="media/image49.png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111" Type="http://schemas.openxmlformats.org/officeDocument/2006/relationships/image" Target="media/image4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 РАБОТА</vt:lpstr>
    </vt:vector>
  </TitlesOfParts>
  <Company>Grizli777</Company>
  <LinksUpToDate>false</LinksUpToDate>
  <CharactersWithSpaces>21371</CharactersWithSpaces>
  <SharedDoc>false</SharedDoc>
  <HLinks>
    <vt:vector size="54" baseType="variant"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_Toc278452489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_Toc278452488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_Toc278452487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_Toc278452486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_Toc278452485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_Toc278452484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_Toc278452483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_Toc278452482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_Toc278452480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 РАБОТА</dc:title>
  <dc:subject/>
  <dc:creator>Туфрикова</dc:creator>
  <cp:keywords/>
  <dc:description/>
  <cp:lastModifiedBy>Irina</cp:lastModifiedBy>
  <cp:revision>2</cp:revision>
  <cp:lastPrinted>2010-11-25T20:01:00Z</cp:lastPrinted>
  <dcterms:created xsi:type="dcterms:W3CDTF">2014-08-29T07:07:00Z</dcterms:created>
  <dcterms:modified xsi:type="dcterms:W3CDTF">2014-08-29T07:07:00Z</dcterms:modified>
</cp:coreProperties>
</file>