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5F11" w:rsidRDefault="00C05F11">
      <w:pPr>
        <w:widowControl w:val="0"/>
        <w:spacing w:before="120"/>
        <w:jc w:val="center"/>
        <w:rPr>
          <w:rFonts w:ascii="Times New Roman" w:hAnsi="Times New Roman" w:cs="Times New Roman"/>
          <w:b/>
          <w:bCs/>
          <w:color w:val="000000"/>
          <w:sz w:val="32"/>
          <w:szCs w:val="32"/>
        </w:rPr>
      </w:pPr>
      <w:r>
        <w:rPr>
          <w:rFonts w:ascii="Times New Roman" w:hAnsi="Times New Roman" w:cs="Times New Roman"/>
          <w:b/>
          <w:bCs/>
          <w:color w:val="000000"/>
          <w:sz w:val="32"/>
          <w:szCs w:val="32"/>
        </w:rPr>
        <w:t xml:space="preserve">Международный кредит </w:t>
      </w:r>
    </w:p>
    <w:p w:rsidR="00C05F11" w:rsidRDefault="00C05F11">
      <w:pPr>
        <w:widowControl w:val="0"/>
        <w:spacing w:before="120"/>
        <w:jc w:val="center"/>
        <w:rPr>
          <w:rFonts w:ascii="Times New Roman" w:hAnsi="Times New Roman" w:cs="Times New Roman"/>
          <w:b/>
          <w:bCs/>
          <w:color w:val="000000"/>
        </w:rPr>
      </w:pPr>
      <w:r>
        <w:rPr>
          <w:rFonts w:ascii="Times New Roman" w:hAnsi="Times New Roman" w:cs="Times New Roman"/>
          <w:b/>
          <w:bCs/>
          <w:color w:val="000000"/>
        </w:rPr>
        <w:t>Введение.</w:t>
      </w:r>
    </w:p>
    <w:p w:rsidR="00C05F11" w:rsidRDefault="00C05F11">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Международная торговля всегда была связана с кредитом вследствие несовпадения во времени продолжительности процесса производства и обращения различных товаров, а также стремления экспортера повысить конкурентоспособность своих товаров за счет предоставления импортерам льготных условий платежа. Неизмеримо возросли масштабы и формы кредитования внешнеэкономической деятельности в современных условиях.</w:t>
      </w:r>
    </w:p>
    <w:p w:rsidR="00C05F11" w:rsidRDefault="00C05F11">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Участниками международных кредитных отношений являются как частные предприятия, коммерческие банки, так и государственные учреждения, правительства, международные и региональные валютно-кредитные и финансовые организации, которые выступают в качестве кредиторов и заемщиков.</w:t>
      </w:r>
    </w:p>
    <w:p w:rsidR="00C05F11" w:rsidRDefault="00C05F11">
      <w:pPr>
        <w:widowControl w:val="0"/>
        <w:spacing w:before="120"/>
        <w:jc w:val="center"/>
        <w:rPr>
          <w:rFonts w:ascii="Times New Roman" w:hAnsi="Times New Roman" w:cs="Times New Roman"/>
          <w:b/>
          <w:bCs/>
          <w:color w:val="000000"/>
        </w:rPr>
      </w:pPr>
      <w:r>
        <w:rPr>
          <w:rFonts w:ascii="Times New Roman" w:hAnsi="Times New Roman" w:cs="Times New Roman"/>
          <w:b/>
          <w:bCs/>
          <w:color w:val="000000"/>
        </w:rPr>
        <w:t>Понятие и виды международного кредита.</w:t>
      </w:r>
    </w:p>
    <w:p w:rsidR="00C05F11" w:rsidRDefault="00C05F11">
      <w:pPr>
        <w:widowControl w:val="0"/>
        <w:spacing w:before="120"/>
        <w:jc w:val="center"/>
        <w:rPr>
          <w:rFonts w:ascii="Times New Roman" w:hAnsi="Times New Roman" w:cs="Times New Roman"/>
          <w:b/>
          <w:bCs/>
          <w:color w:val="000000"/>
        </w:rPr>
      </w:pPr>
      <w:r>
        <w:rPr>
          <w:rFonts w:ascii="Times New Roman" w:hAnsi="Times New Roman" w:cs="Times New Roman"/>
          <w:b/>
          <w:bCs/>
          <w:color w:val="000000"/>
        </w:rPr>
        <w:t>Сущность международного кредита.</w:t>
      </w:r>
    </w:p>
    <w:p w:rsidR="00C05F11" w:rsidRDefault="00C05F11">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Международный кредит представляет собой одну из форм движения ссудного капитала в сфере международных экономических отношений, связанного с предоставлением валютных и товарных кредитов на условиях возвратности, срочности и уплаты процентов.</w:t>
      </w:r>
    </w:p>
    <w:p w:rsidR="00C05F11" w:rsidRDefault="00C05F11">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Необходимость и постоянное расширение международного кредита обусловлены действием целого ряда факторов.</w:t>
      </w:r>
    </w:p>
    <w:p w:rsidR="00C05F11" w:rsidRDefault="00C05F11">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Роль кредита в международной торговле возрастала в ходе научно-технической революции, одним из следствий которой явилось увеличение предложения на мировом рынке машин, станков, целых промышленных комплексов, т.е. товаров инвестиционного назначения, производство и закупка которых связаны с крупными капиталовложениями экспортеров и импортеров. Отсюда кредит превращается в один из важнейших факторов, от которых зависит конкурентоспособность на рынке инвестиционных товаров. Предоставление кредита, маневрирование его условиями нередко ведут к вытеснению конкурентов.</w:t>
      </w:r>
    </w:p>
    <w:p w:rsidR="00C05F11" w:rsidRDefault="00C05F11">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Вследствие широкого использования кредита существенные преимущества на мировом рынке получили фирмы промышленно развитых стран с налаженной системой государственного стимулирования экспорта, имевшие возможности использовать государственные ресурсы, а следовательно, привлекать покупателя не только ценой и качеством товара, но и более льготными условиями кредита, прежде всего за счет удлинения сроков кредитования.</w:t>
      </w:r>
    </w:p>
    <w:p w:rsidR="00C05F11" w:rsidRDefault="00C05F11">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Одной из самых ярких и значительных черт в развитии международного кредита во второй половине XX в. является государственное стимулирование экспорта, от отдельных мероприятий кредитно-финансового характера до создания целостной национальной системы финансирования экспорта.</w:t>
      </w:r>
    </w:p>
    <w:p w:rsidR="00C05F11" w:rsidRDefault="00C05F11">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Государственное стимулирование национального экспорта, осуществляется в двух основных формах:</w:t>
      </w:r>
    </w:p>
    <w:p w:rsidR="00C05F11" w:rsidRDefault="00C05F11">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в форме прямой финансовой поддержки экспорта, выражающейся в непосредственном предоставлении или фондировании экспортных кредитов за счет средств государственного бюджета или специальных бюджетных фондов, либо предоставлении за счет этих же средств субсидий коммерческим банкам-кредиторам для снижения ставок по экспортным кредитам до уровня более низкого, чем уровень ставок на национальном денежном рынке;</w:t>
      </w:r>
    </w:p>
    <w:p w:rsidR="00C05F11" w:rsidRDefault="00C05F11">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в форме предоставления экспортерам и банкам-кредиторам гарантий по экспортным кредитам, т.е. страхования этих кредитов государством от риска непогашения.</w:t>
      </w:r>
    </w:p>
    <w:p w:rsidR="00C05F11" w:rsidRDefault="00C05F11">
      <w:pPr>
        <w:widowControl w:val="0"/>
        <w:spacing w:before="120"/>
        <w:jc w:val="center"/>
        <w:rPr>
          <w:rFonts w:ascii="Times New Roman" w:hAnsi="Times New Roman" w:cs="Times New Roman"/>
          <w:b/>
          <w:bCs/>
          <w:color w:val="000000"/>
        </w:rPr>
      </w:pPr>
      <w:r>
        <w:rPr>
          <w:rFonts w:ascii="Times New Roman" w:hAnsi="Times New Roman" w:cs="Times New Roman"/>
          <w:b/>
          <w:bCs/>
          <w:color w:val="000000"/>
        </w:rPr>
        <w:t>Виды международного кредита.</w:t>
      </w:r>
    </w:p>
    <w:p w:rsidR="00C05F11" w:rsidRDefault="00C05F11">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Кредиты, применяемые в международной торговле, можно классифицировать по нескольким главным признакам, характеризующим отдельные стороны кредитных отношений.</w:t>
      </w:r>
    </w:p>
    <w:p w:rsidR="00C05F11" w:rsidRDefault="00C05F11">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Классификация видов международного кредита осуществляется:</w:t>
      </w:r>
    </w:p>
    <w:p w:rsidR="00C05F11" w:rsidRDefault="00C05F11">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по назначению:</w:t>
      </w:r>
    </w:p>
    <w:p w:rsidR="00C05F11" w:rsidRDefault="00C05F11">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коммерческие кредиты, обслуживающие международную торговлю товарами и услугами;</w:t>
      </w:r>
    </w:p>
    <w:p w:rsidR="00C05F11" w:rsidRDefault="00C05F11">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финансовые кредиты, используемые для инвестиционных объектов, приобретения ценных бумаг, погашения внешнего долга, проведения валютной интервенции центральным банком;</w:t>
      </w:r>
    </w:p>
    <w:p w:rsidR="00C05F11" w:rsidRDefault="00C05F11">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промежуточные кредиты для обслуживания смешанных форм экспорта капиталов, товаров, услуг (например, инжиниринг);</w:t>
      </w:r>
    </w:p>
    <w:p w:rsidR="00C05F11" w:rsidRDefault="00C05F11">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по видам:</w:t>
      </w:r>
    </w:p>
    <w:p w:rsidR="00C05F11" w:rsidRDefault="00C05F11">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товарные (при экспорте товаров с отсрочкой платежа);</w:t>
      </w:r>
    </w:p>
    <w:p w:rsidR="00C05F11" w:rsidRDefault="00C05F11">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валютные (в денежной форме);</w:t>
      </w:r>
    </w:p>
    <w:p w:rsidR="00C05F11" w:rsidRDefault="00C05F11">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по технике предоставления:</w:t>
      </w:r>
    </w:p>
    <w:p w:rsidR="00C05F11" w:rsidRDefault="00C05F11">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наличные кредиты, зачисляемые на счет заемщика;</w:t>
      </w:r>
    </w:p>
    <w:p w:rsidR="00C05F11" w:rsidRDefault="00C05F11">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акцептные в форме акцепта (согласия платить) тратты импортером или банком;</w:t>
      </w:r>
    </w:p>
    <w:p w:rsidR="00C05F11" w:rsidRDefault="00C05F11">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депозитные сертификаты;</w:t>
      </w:r>
    </w:p>
    <w:p w:rsidR="00C05F11" w:rsidRDefault="00C05F11">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облигационные займы, консорциональные кредиты; </w:t>
      </w:r>
    </w:p>
    <w:p w:rsidR="00C05F11" w:rsidRDefault="00C05F11">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по валюте займа:</w:t>
      </w:r>
    </w:p>
    <w:p w:rsidR="00C05F11" w:rsidRDefault="00C05F11">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международные кредиты в валюте либо страны-должника, либо страны-кредитора, либо третьей страны, либо в международных валютных единицах (евро);</w:t>
      </w:r>
    </w:p>
    <w:p w:rsidR="00C05F11" w:rsidRDefault="00C05F11">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по срокам:</w:t>
      </w:r>
    </w:p>
    <w:p w:rsidR="00C05F11" w:rsidRDefault="00C05F11">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краткосрочные кредиты (от одного дня до одного года);</w:t>
      </w:r>
    </w:p>
    <w:p w:rsidR="00C05F11" w:rsidRDefault="00C05F11">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среднесрочные (от одного года до пяти лет);</w:t>
      </w:r>
    </w:p>
    <w:p w:rsidR="00C05F11" w:rsidRDefault="00C05F11">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долгосрочные (свыше пяти лет);</w:t>
      </w:r>
    </w:p>
    <w:p w:rsidR="00C05F11" w:rsidRDefault="00C05F11">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по обеспечению:</w:t>
      </w:r>
    </w:p>
    <w:p w:rsidR="00C05F11" w:rsidRDefault="00C05F11">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обеспеченные кредиты (в качестве обеспечения используются товары, коммерческие и финансовые документы, ценные бумаги, недвижимость, другие ценности);</w:t>
      </w:r>
    </w:p>
    <w:p w:rsidR="00C05F11" w:rsidRDefault="00C05F11">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бланковые кредиты (выдается под обязательство (вексель) должника погасить его в срок).</w:t>
      </w:r>
    </w:p>
    <w:p w:rsidR="00C05F11" w:rsidRDefault="00C05F11">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С 80-х гг. активно развивается проектное финансирование (кредитование) совместно с несколькими кредитными учреждениями без привлечения средств из государственного бюджета.</w:t>
      </w:r>
    </w:p>
    <w:p w:rsidR="00C05F11" w:rsidRDefault="00C05F11">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Специфической формой кредитного обслуживания внешнеэкономических связей являются операции по лизингу, факторингу, форфейтированию.</w:t>
      </w:r>
    </w:p>
    <w:p w:rsidR="00C05F11" w:rsidRDefault="00C05F11">
      <w:pPr>
        <w:widowControl w:val="0"/>
        <w:spacing w:before="120"/>
        <w:jc w:val="center"/>
        <w:rPr>
          <w:rFonts w:ascii="Times New Roman" w:hAnsi="Times New Roman" w:cs="Times New Roman"/>
          <w:b/>
          <w:bCs/>
          <w:color w:val="000000"/>
        </w:rPr>
      </w:pPr>
      <w:r>
        <w:rPr>
          <w:rFonts w:ascii="Times New Roman" w:hAnsi="Times New Roman" w:cs="Times New Roman"/>
          <w:b/>
          <w:bCs/>
          <w:color w:val="000000"/>
        </w:rPr>
        <w:t>Функции международного кредита.</w:t>
      </w:r>
    </w:p>
    <w:p w:rsidR="00C05F11" w:rsidRDefault="00C05F11">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Функции международного кредита выражают особенности движения ссудного капиталам сфере международных экономических отношений. Выделяют 4 основные функции международного кредитования:</w:t>
      </w:r>
    </w:p>
    <w:p w:rsidR="00C05F11" w:rsidRDefault="00C05F11">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1. Перераспределение ссудного капитала между странами для обеспечения потребностей расширенного воспроизводства. Ссудный капитал направляется в отрасли тех стран, где обеспечивается наибольшая прибыль. Тем самым кредит содействует выравниванию национальной прибыли в среднюю прибыль, увеличивая ее массу.</w:t>
      </w:r>
    </w:p>
    <w:p w:rsidR="00C05F11" w:rsidRDefault="00C05F11">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2. Экономия издержек обращения в сфере международных расчетов путем использования кредитных средств (тратт, векселей, чеков, переводов и др.). Использование кредитных инструментов ведет к ускорению безналичных платежей, к увеличению скорости оборота капиталов и повышению производительного его использования, обеспечивая расширенное воспроизводство.</w:t>
      </w:r>
    </w:p>
    <w:p w:rsidR="00C05F11" w:rsidRDefault="00C05F11">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3. Ускорение концентрации и централизации капитала благодаря использованию иностранных кредитов.</w:t>
      </w:r>
    </w:p>
    <w:p w:rsidR="00C05F11" w:rsidRDefault="00C05F11">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4. Регулирование экономики.</w:t>
      </w:r>
    </w:p>
    <w:p w:rsidR="00C05F11" w:rsidRDefault="00C05F11">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Выполняя эти взаимосвязанные функции, международный кредит играет двоякую роль в развитии производства: положительную и отрицательную. С одной стороны, кредит обеспечивает непрерывность воспроизводства и его расширение. Он способствует интернационализации производства и обмена, углублению международного разделения труда. С другой стороны, международный кредит усиливает диспропорции общественного воспроизводства, стимулируя скачкообразное расширение прибыльных отраслей, сдерживает развитие отраслей, в которые не привлекаются иностранные заемные средства. Международный кредит используется для укрепления позиций иностранных кредиторов в конкурентной борьбе.</w:t>
      </w:r>
    </w:p>
    <w:p w:rsidR="00C05F11" w:rsidRDefault="00C05F11">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Двоякая роль международного кредита в условиях рыночной экономики проявляется в его использовании как средства взаимовыгодного сотрудничества стран и конкурентной борьбы между ними.</w:t>
      </w:r>
    </w:p>
    <w:p w:rsidR="00C05F11" w:rsidRDefault="00C05F11">
      <w:pPr>
        <w:widowControl w:val="0"/>
        <w:spacing w:before="120"/>
        <w:jc w:val="center"/>
        <w:rPr>
          <w:rFonts w:ascii="Times New Roman" w:hAnsi="Times New Roman" w:cs="Times New Roman"/>
          <w:b/>
          <w:bCs/>
          <w:color w:val="000000"/>
        </w:rPr>
      </w:pPr>
      <w:r>
        <w:rPr>
          <w:rFonts w:ascii="Times New Roman" w:hAnsi="Times New Roman" w:cs="Times New Roman"/>
          <w:b/>
          <w:bCs/>
          <w:color w:val="000000"/>
        </w:rPr>
        <w:t>Кредитование международной торговли.</w:t>
      </w:r>
    </w:p>
    <w:p w:rsidR="00C05F11" w:rsidRDefault="00C05F11">
      <w:pPr>
        <w:widowControl w:val="0"/>
        <w:spacing w:before="120"/>
        <w:jc w:val="center"/>
        <w:rPr>
          <w:rFonts w:ascii="Times New Roman" w:hAnsi="Times New Roman" w:cs="Times New Roman"/>
          <w:b/>
          <w:bCs/>
          <w:color w:val="000000"/>
        </w:rPr>
      </w:pPr>
      <w:r>
        <w:rPr>
          <w:rFonts w:ascii="Times New Roman" w:hAnsi="Times New Roman" w:cs="Times New Roman"/>
          <w:b/>
          <w:bCs/>
          <w:color w:val="000000"/>
        </w:rPr>
        <w:t>Расчёты во внешней торговле.</w:t>
      </w:r>
    </w:p>
    <w:p w:rsidR="00C05F11" w:rsidRDefault="00C05F11">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Основное место в кредитовании международной торговли занимают фирменные и банковские кредиты, в исполнении обязательств по которым большую роль играют переводные и простые векселя. В международных расчетах также широко применяются различные банковские чеки - чеки, выписанные банками на корреспондентов. </w:t>
      </w:r>
    </w:p>
    <w:p w:rsidR="00C05F11" w:rsidRDefault="00C05F11">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Вексель — письменное долговое обязательство строго установленной формы, дающее его владельцу (векселедержателю) бесспорное право по истечении срока или по предъявлении требовать с должника уплаты обозначенной денежной суммы.</w:t>
      </w:r>
    </w:p>
    <w:p w:rsidR="00C05F11" w:rsidRDefault="00C05F11">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Различают простые и переводные векселя.</w:t>
      </w:r>
    </w:p>
    <w:p w:rsidR="00C05F11" w:rsidRDefault="00C05F11">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В простом векселе участвуют два лица. Его выписывает и подписывает должник, принимая на себя безусловное обязательство возвратить определенную сумму определенному лицу в определенный срок и в определенном месте.</w:t>
      </w:r>
    </w:p>
    <w:p w:rsidR="00C05F11" w:rsidRDefault="00C05F11">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Переводный вексель (тратта) выписывается и подписывается кредитором (трассантом) и представляет собой приказ должнику (трассату) об уплате в указанный срок обозначенной суммы третьему лицу (ремитенту). В операциях с переводным векселем участвуют три стороны: кредитор -- трассант, должник — трассат и получатель платежа — ремитент. Достаточно часто в переводных векселях трассант (кредитор, экспортер, продавец) и ремитент (получатель платежа) — одно лицо.</w:t>
      </w:r>
    </w:p>
    <w:p w:rsidR="00C05F11" w:rsidRDefault="00C05F11">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В траттах, выставляемых российскими организациями-экспортерами, ремитентом обычно выступает российский уполномоченный банк, клиентом которого является предприятие-поставщик. Иностранные поставщики в качестве общего правила также указывают кредитующие их банки, что не исключает выставление тратты в пользу самого трассанта.</w:t>
      </w:r>
    </w:p>
    <w:p w:rsidR="00C05F11" w:rsidRDefault="00C05F11">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Как долговое денежное обязательство, вексель имеет ряд существенных особенностей. Главной из них является абстрактность. Возникнув на основе конкретной сделки, вексель от нее обособляется и существует как самостоятельный договор. В текст векселя нельзя включать какие-либо дополнения, увязывающие исполнение вексельного обязательства с отношениями по контракту. Вместе с тем вексельное законодательство допускает возможность введения в текст векселя ссылки на номер внешнеторгового контракта, банковской гарантии, аккредитива, что не лишает вексель юридической силы, но облегчает процедуру расчетов.</w:t>
      </w:r>
    </w:p>
    <w:p w:rsidR="00C05F11" w:rsidRDefault="00C05F11">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Другой особенностью векселя является его бесспорность. Это означает, что держатель векселя свободен от возражений, которые могли бы быть выдвинуты к другим участникам вексельного договора. Это вызвано тем, что вексель не только форма кредита, не только средство возврата платежа, но и важный трансферабельный документ, выступающий в качестве средства платежа, который может быть учтен (куплен банком до истечения срока платежа по векселю) или заложен в банке.</w:t>
      </w:r>
    </w:p>
    <w:p w:rsidR="00C05F11" w:rsidRDefault="00C05F11">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Вексельное законодательство предусматривает порядок передачи векселей: на оборотной стороне делается специальная надпись — индоссамент. Он может быть нескольких видов.</w:t>
      </w:r>
    </w:p>
    <w:p w:rsidR="00C05F11" w:rsidRDefault="00C05F11">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1. Полный (именной) индоссамент с указанием имени нового владельца;</w:t>
      </w:r>
    </w:p>
    <w:p w:rsidR="00C05F11" w:rsidRDefault="00C05F11">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2. Бланковый индоссамент, отмечающий лишь факт передачи векселя без указания конкретного лица;</w:t>
      </w:r>
    </w:p>
    <w:p w:rsidR="00C05F11" w:rsidRDefault="00C05F11">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3. Безоборотный индоссамент, позволяющий передавать вексель, не принимая на себя ответственность за акцепт и платеж перед последующим держателями.</w:t>
      </w:r>
    </w:p>
    <w:p w:rsidR="00C05F11" w:rsidRDefault="00C05F11">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Согласно вексельному законодательству, индоссамент не должен вносить в текст векселя какие-либо условия или передавать право только на часть суммы векселя.</w:t>
      </w:r>
    </w:p>
    <w:p w:rsidR="00C05F11" w:rsidRDefault="00C05F11">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Отмеченные особенности векселя — абстрактность, бесспорность, право протеста и солидарная ответственность — превращают его в удобное и достаточно надежное средство обеспечения погашения задолженности по кредиту, объясняют его широкое использование во внешней торговле.</w:t>
      </w:r>
    </w:p>
    <w:p w:rsidR="00C05F11" w:rsidRDefault="00C05F11">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В российской внешнеторговой практике встречаются и простые, и переводные векселя. Однако простые векселя встречаются сравнительно редко, например в кредитных операциях в форме форфейтинга. Основное распространение получили переводные векселя — тратты, обязательный инструмент в таких расчетных операциях, как документарный аккредитив и документарное инкассо при предоставлении экспортером рассрочки платежа зарубежному покупателю, когда условием передачи товарных документов служит акцепт тратты импортером или банком. Многие экспортеры используют тратты и при наличных платежах, особенно в контрактах на значительные суммы, выписывая их платежом по предъявлении.</w:t>
      </w:r>
    </w:p>
    <w:p w:rsidR="00C05F11" w:rsidRDefault="00C05F11">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Форма векселя, порядок его выставления, оплаты, обращения, права и обязанности сторон и все прочие вексельные правоотношения регулируются нормами вексельного законодательства. Вексельное законодательство выделяет следующие обязательные элементы, которые должен содержать вексель:</w:t>
      </w:r>
    </w:p>
    <w:p w:rsidR="00C05F11" w:rsidRDefault="00C05F11">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вексельную метку — наименование «вексель» в тексте документа;</w:t>
      </w:r>
    </w:p>
    <w:p w:rsidR="00C05F11" w:rsidRDefault="00C05F11">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безусловный приказ или обязательство уплатить определенную сумму;</w:t>
      </w:r>
    </w:p>
    <w:p w:rsidR="00C05F11" w:rsidRDefault="00C05F11">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наименование плательщика и первого держателя;</w:t>
      </w:r>
    </w:p>
    <w:p w:rsidR="00C05F11" w:rsidRDefault="00C05F11">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наименование ремитента;</w:t>
      </w:r>
    </w:p>
    <w:p w:rsidR="00C05F11" w:rsidRDefault="00C05F11">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срок и место платежа;</w:t>
      </w:r>
    </w:p>
    <w:p w:rsidR="00C05F11" w:rsidRDefault="00C05F11">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дату и место составления документа;</w:t>
      </w:r>
    </w:p>
    <w:p w:rsidR="00C05F11" w:rsidRDefault="00C05F11">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подпись векселедателя.</w:t>
      </w:r>
    </w:p>
    <w:p w:rsidR="00C05F11" w:rsidRDefault="00C05F11">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Лишь составленный в строгом соответствии с требованиями закона вексель выполнит закрепленную за ним важную функцию обеспечения надежности исполнения денежных обязательств в международной торговле.</w:t>
      </w:r>
    </w:p>
    <w:p w:rsidR="00C05F11" w:rsidRDefault="00C05F11">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Чек — денежный документ, содержащий безусловный приказ владельца текущего счета банку о выплате указанной в нем суммы определенному лицу или предъявителю. Главное назначение чека — быть инструментом распоряжения средствами, находящимися на текущем счете (на расчетном счете или счете до востребования, а чаще просто на чековом счете), быть средством безналичных расчетов.</w:t>
      </w:r>
    </w:p>
    <w:p w:rsidR="00C05F11" w:rsidRDefault="00C05F11">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Чек выступает также и в качестве средства платежа во внешней торговле, в частности при переводе авансов и гарантийных сумм, при погашении штрафов и претензий и др. Но здесь его роль ограничена, так как расчеты чеком не будут означать завершение платежных отношений между экспортером и импортером до тех пор, пока сумма чека не будет зачислена на счет экспортера в его банке. Однако, поскольку по своей природе чек не является инструментом кредитования и подлежит оплате по предъявлении его в банк, срок обращения чека ограничен (8-70 дней).</w:t>
      </w:r>
    </w:p>
    <w:p w:rsidR="00C05F11" w:rsidRDefault="00C05F11">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Различают несколько видов чеков: предъявительские, именные и ордерные. </w:t>
      </w:r>
    </w:p>
    <w:p w:rsidR="00C05F11" w:rsidRDefault="00C05F11">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Предъявительский чек выписывается на предъявителя, его передача осуществляется простым вручением. Широкого распространения он, однако, не получил, а в международных расчетах вообще не используется. </w:t>
      </w:r>
    </w:p>
    <w:p w:rsidR="00C05F11" w:rsidRDefault="00C05F11">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Именной чек, выписываемый на определенное лицо, также ограничен в распространении.</w:t>
      </w:r>
    </w:p>
    <w:p w:rsidR="00C05F11" w:rsidRDefault="00C05F11">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Ордерный чек выписывается в пользу определенного лица, т.е. чекодержатель может передавать его новому владельцу с помощью индоссамента, который выполняет те же функции, что и вексельный индоссамент.</w:t>
      </w:r>
    </w:p>
    <w:p w:rsidR="00C05F11" w:rsidRDefault="00C05F11">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Ордерный чек является самым удобным и распространенным видом чека, используется он и в расчетах российских участников внешнеэкономической деятельности, главным образом в экспортных операциях. Выписанные в пользу российской организации ордерные чеки передаются по именному индоссаменту — приказу уполномоченного банка, который, в свою очередь, индоссирует чек для зачисления выручки на его счет в иностранном банке-корреспонденте.</w:t>
      </w:r>
    </w:p>
    <w:p w:rsidR="00C05F11" w:rsidRDefault="00C05F11">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Банковский чек оплачивается за счет средств банка-чекодателя, имеющихся у корреспондента. Такие чеки выполняют функции банковского перевода средств из одной страны в другую и в основном используются в неторговых расчетах.</w:t>
      </w:r>
    </w:p>
    <w:p w:rsidR="00C05F11" w:rsidRDefault="00C05F11">
      <w:pPr>
        <w:widowControl w:val="0"/>
        <w:spacing w:before="120"/>
        <w:jc w:val="center"/>
        <w:rPr>
          <w:rFonts w:ascii="Times New Roman" w:hAnsi="Times New Roman" w:cs="Times New Roman"/>
          <w:b/>
          <w:bCs/>
          <w:color w:val="000000"/>
        </w:rPr>
      </w:pPr>
      <w:r>
        <w:rPr>
          <w:rFonts w:ascii="Times New Roman" w:hAnsi="Times New Roman" w:cs="Times New Roman"/>
          <w:b/>
          <w:bCs/>
          <w:color w:val="000000"/>
        </w:rPr>
        <w:t>Виды кредитования.</w:t>
      </w:r>
    </w:p>
    <w:p w:rsidR="00C05F11" w:rsidRDefault="00C05F11">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В кредитовании в международной торговле наибольшее распространение получили фирменные кредиты и прямое банковское кредитование. В настоящее время все большее распространение получают и такие формы банковского кредитования, как факторинг и форфейтирование.</w:t>
      </w:r>
    </w:p>
    <w:p w:rsidR="00C05F11" w:rsidRDefault="00C05F11">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Фирменные кредиты как форма коммерческого кредита в области внешней торговли представляются экспортером одной страны импортеру другой страны в форме рассрочки платежа за проданный товар от своего имени за счет собственных (или привлеченных) средств. Отсюда его название — кредит продавца.</w:t>
      </w:r>
    </w:p>
    <w:p w:rsidR="00C05F11" w:rsidRDefault="00C05F11">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Сроки фирменных кредитов различны (от нескольких месяцев до нескольких лет), и зависят от вида товара, конъюнктуры мировых товарных рынков, политической обстановки. </w:t>
      </w:r>
    </w:p>
    <w:p w:rsidR="00C05F11" w:rsidRDefault="00C05F11">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Различают полный и средний срок кредита. Полный срок кредита во внешней торговле представляет собой период времени от начала использования кредита до окончательного погашения всей суммы кредита. Полный срок включает в себя следующие компоненты:</w:t>
      </w:r>
    </w:p>
    <w:p w:rsidR="00C05F11" w:rsidRDefault="00C05F11">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срок использования — срок поставки товара и признания покупателем задолженности по кредиту путем акцепта векселей экспортера;</w:t>
      </w:r>
    </w:p>
    <w:p w:rsidR="00C05F11" w:rsidRDefault="00C05F11">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льготный период — период между окончанием использования и началом погашения кредита;</w:t>
      </w:r>
    </w:p>
    <w:p w:rsidR="00C05F11" w:rsidRDefault="00C05F11">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срок погашения — период, в течение которого осуществляется погашение кредита. -</w:t>
      </w:r>
    </w:p>
    <w:p w:rsidR="00C05F11" w:rsidRDefault="00C05F11">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Фирменные кредиты, предоставляемые поставщиками при экспорте сложного оборудования, судов и машин, никогда не покрывают полной стоимости экспортируемого товара, часть заказа оплачивается покупателем путем наличного расчета и даже аванса.</w:t>
      </w:r>
    </w:p>
    <w:p w:rsidR="00C05F11" w:rsidRDefault="00C05F11">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Целевой характер фирменных кредитов, связанность только с одним поставщиком, трудности с выбором закупаемого оборудования представляют неудобство для импортера, так же как и зависимость от финансового положения поставщика и его возможностей получить кредит в банке. Последнее обстоятельство резко снижает конкурентоспособность фирменного кредита, особенно в условиях повышения процентных ставок на национальных денежных рынках. Это вынуждает экспортера изыскивать недостающие средства и обращаться к частным компаниям для страхования рисков по оставшейся части кредита, а это ведет к удорожанию фирменных кредитов. Их доля в кредитовании внешней торговли уступила место прямым банковским кредитам.</w:t>
      </w:r>
    </w:p>
    <w:p w:rsidR="00C05F11" w:rsidRDefault="00C05F11">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Банковское кредитование предполагает несколько видов участия банков в кредитовании внешнеэкономической деятельности:</w:t>
      </w:r>
    </w:p>
    <w:p w:rsidR="00C05F11" w:rsidRDefault="00C05F11">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банковский кредит, когда кредитующие банки покупают у экспортеров кредитные обязательства (векселя, банковские гарантии) или приобретают права по ним. В этом случае банковский кредит осуществляется в формах кратко- и среднесрочного финансирования фирменных кредитов.</w:t>
      </w:r>
    </w:p>
    <w:p w:rsidR="00C05F11" w:rsidRDefault="00C05F11">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банковский кредит, когда импортер или его банк выписывают долговые обязательства непосредственно на имя банка-кредитора. При таком виде кредитования кредитующие банки вкладывают в кредитные операции собственные ресурсы, предоставляя кредит непосредственно импортеру, его банку или специальной кредитно-финансовой компании.</w:t>
      </w:r>
    </w:p>
    <w:p w:rsidR="00C05F11" w:rsidRDefault="00C05F11">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акцепт банками векселей, выставляемых на них экспортерами или импортерами. В этом случае акцепт банков выступает средством для получения кредита, поскольку участники национальных денежных и валютных рынков вкладывают временно свободные средства в банковские акцепты.</w:t>
      </w:r>
    </w:p>
    <w:p w:rsidR="00C05F11" w:rsidRDefault="00C05F11">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Банковские кредиты покупателю, играющие важную роль в современных условиях, предоставляются банком страны экспортера непосредственно банку импортера или реже — самому импортеру. В этом случае кредитующий банк выплачивает экспортеру полную стоимость отгруженных товаров при представлении товарных документов. Освобождение экспортера от необходимости предоставлять кредит за счет собственных средств, позволяет продавцу поставлять товар по более низким ценам.</w:t>
      </w:r>
    </w:p>
    <w:p w:rsidR="00C05F11" w:rsidRDefault="00C05F11">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Привлекательность банковского кредита для импортера связана в первую очередь с более низкими ставками, взимаемыми банками по сравнению с процентами по фирменному кредиту. Другое преимущество прямого банковского кредитования заключается в том, что оно не связано с определенными фирмами, хотя и ограничено пределами страны-кредитора. Недостаток этой формы финансирования состоит в том, что любые задержки с подписанием контракта с поставкой машин и оборудования могут заметно сократить срок кредита, а также привести к его удорожанию за счет взимания комиссии за обязательство, которую должник вынужден выплачивать банку-кредитору с неиспользованной части кредита.</w:t>
      </w:r>
    </w:p>
    <w:p w:rsidR="00C05F11" w:rsidRDefault="00C05F11">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При кредите покупателю в форме финансирования коммерческим банком наличных платежей экспортеру кредитующий банк производит наличные платежи экспортеру против отгруженных в адрес импортера товаров. Обязательством совершенных наличных платежей служат пересылаемые банком импортера простые векселя на сумму кредита и процентов. Таким образом, банк экспортера финансирует непосредственно торговую сделку, предоставляя кредит банку импортера.</w:t>
      </w:r>
    </w:p>
    <w:p w:rsidR="00C05F11" w:rsidRDefault="00C05F11">
      <w:pPr>
        <w:widowControl w:val="0"/>
        <w:spacing w:before="120"/>
        <w:jc w:val="center"/>
        <w:rPr>
          <w:rFonts w:ascii="Times New Roman" w:hAnsi="Times New Roman" w:cs="Times New Roman"/>
          <w:b/>
          <w:bCs/>
          <w:color w:val="000000"/>
        </w:rPr>
      </w:pPr>
      <w:r>
        <w:rPr>
          <w:rFonts w:ascii="Times New Roman" w:hAnsi="Times New Roman" w:cs="Times New Roman"/>
          <w:b/>
          <w:bCs/>
          <w:color w:val="000000"/>
        </w:rPr>
        <w:t>Факторинг.</w:t>
      </w:r>
    </w:p>
    <w:p w:rsidR="00C05F11" w:rsidRDefault="00C05F11">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Под факторингом в международной торговле понимается целый ряд комиссионно-посреднических операций, связанных с переуступкой банку клиентом-поставщиком неоплаченных счетов за поставленные товары, выполненные работы, оказанные услуги и, соответственно, права получения платежа по ним, т.е. с инкассированием дебиторской задолженности клиента (получением средств по платежным документам). Во внешней торговле факторинг означает покупку банком или специальной компанией требований экспортера к импортеру и их инкассацию. Применяется факторинг при экспорте потребительских и серийных товаров с рассрочкой платежа на 90—120 дней. Предприятия, особенно средние, с большой долей экспортной продукции, имеют возможность превратить с помощью факторинга поставки с рассрочкой платежа в операции с условно немедленной оплатой наличными.</w:t>
      </w:r>
    </w:p>
    <w:p w:rsidR="00C05F11" w:rsidRDefault="00C05F11">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Коммерческие банки, осуществляющие экспортный факторинг, предлагают своим клиентам тройную выгоду. Банк принимает на себя услуги по учету дебиторов, контролю и инкассации задолженности, ведению статистики продаж. Экспортный факторинг играет важную роль в первую очередь для мелких и средних предприятий, стремящихся увеличить объем продажи производимых ими товаров или заинтересованных в новых рынках сбыта своей продукции. Услуги, предоставляемые банками в факторинговых операциях, привлекательны и для предприятий, у которых невелик удельный вес экспорта в их общем обороте и которым невыгодно содержать специальный штат работников, занятых обработкой внешнеторговой документации, заниматься вопросами получения выручки от поставленных товаров на экспорт и валютными проблемами.</w:t>
      </w:r>
    </w:p>
    <w:p w:rsidR="00C05F11" w:rsidRDefault="00C05F11">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Экспортный факторинг представляет собой форму кредитования. Это так называемый «факторинг с финансированием», при котором банк экспортера оплачивает счета-фактуры в определенном размере (до 70—90% от суммы долговых обязательств) вне зависимости от срока платежа за товар, иными словами осуществляет финансирование в виде досрочной оплаты поставленных товаров. Оставшаяся сумма возмещается экспортеру по поступлении платежа от покупателя. </w:t>
      </w:r>
    </w:p>
    <w:p w:rsidR="00C05F11" w:rsidRDefault="00C05F11">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Осуществляя факторинговые операции, банки принимают на себя риск неплатежа со стороны покупателя. Это так называемый «факторинг без права регресса» или «настоящий факторинг». </w:t>
      </w:r>
    </w:p>
    <w:p w:rsidR="00C05F11" w:rsidRDefault="00C05F11">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Коммерческие банки выступают в операциях международного факторинга в качестве фактора экспортера-поставщика и фактора импортера-покупателя.</w:t>
      </w:r>
    </w:p>
    <w:p w:rsidR="00C05F11" w:rsidRDefault="00C05F11">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Когда российские банки выступают в качестве фактора экспортера, сумма процентов за обслуживание рассчитывается ими аналогично стоимости предоставления краткосрочных валютных кредитов и зависит от объема продаж, количества клиентов у экспортера, количества счетов-фактур, финансового состояния партнеров, характера сделок и т.д.</w:t>
      </w:r>
    </w:p>
    <w:p w:rsidR="00C05F11" w:rsidRDefault="00C05F11">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Факторинг выгоден экспортерам прежде всего за счет ускорения оборачиваемости средств во внешнеторговых операциях. Но и импортеры, в случае использования международного факторинга, получают возможность согласовывать с экспортерами приемлемые для них сроки отсрочки платежа.</w:t>
      </w:r>
    </w:p>
    <w:p w:rsidR="00C05F11" w:rsidRDefault="00C05F11">
      <w:pPr>
        <w:widowControl w:val="0"/>
        <w:spacing w:before="120"/>
        <w:jc w:val="center"/>
        <w:rPr>
          <w:rFonts w:ascii="Times New Roman" w:hAnsi="Times New Roman" w:cs="Times New Roman"/>
          <w:b/>
          <w:bCs/>
          <w:color w:val="000000"/>
        </w:rPr>
      </w:pPr>
      <w:r>
        <w:rPr>
          <w:rFonts w:ascii="Times New Roman" w:hAnsi="Times New Roman" w:cs="Times New Roman"/>
          <w:b/>
          <w:bCs/>
          <w:color w:val="000000"/>
        </w:rPr>
        <w:t>Форфейтирование.</w:t>
      </w:r>
    </w:p>
    <w:p w:rsidR="00C05F11" w:rsidRDefault="00C05F11">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Форфейтирование - покупка банком или форфетором на полный срок на заранее оговоренных условиях векселей (тратт) и других финансовых документов. Тем самым экспортер передает форфетору коммерческие риски, связанные с неплатежеспособностью импортера. В результате продажи портфеля долговых требований упрощается структура баланса фирмы-экспортера, сокращаются сроки инкассации требований, бухгалтерские и административные расходы.</w:t>
      </w:r>
    </w:p>
    <w:p w:rsidR="00C05F11" w:rsidRDefault="00C05F11">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Форфейтирование обычно применяется при поставках инвестиционных товаров на крупные суммы и с длительной рассрочкой платежа, которые по тем или иным причинам не могут быть профинансированы обычными методами. Как дополнение к традиционным методам кредитования внешней торговли форфейтирование нашло широкое применение при экспорте машин и оборудования.</w:t>
      </w:r>
    </w:p>
    <w:p w:rsidR="00C05F11" w:rsidRDefault="00C05F11">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К форфейтированию принимаются векселя, выписанные в немецких марках, долларах США и швейцарских франках. Необходимым условием покупки векселя, акцептованного импортером, является получение гарантии крупного банка страны импортера.</w:t>
      </w:r>
    </w:p>
    <w:p w:rsidR="00C05F11" w:rsidRDefault="00C05F11">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Форфейтинговое обслуживание экспорта предполагает среднесрочное (от 6 месяцев до 3—5 лет) кредитование, а факторинг — краткосрочное (от 30 до 120—180 дней). Банк при факторинге в отличие от форфейтинга берет на себя лишь часть рисков экспортера. Кроме того, форфейтинг является однократной операцией, связанной с взиманием денежных средств по определенному документу, в то время как экспортный факторинг обычно предполагает постоянные связи между сторонами и наличие комплексной системы обслуживания. Еще одна характерная особенность форфейтинга заключается в наличии вторичного рынка, на котором возможна перепродажа приобретенных коммерческих векселей.</w:t>
      </w:r>
    </w:p>
    <w:p w:rsidR="00C05F11" w:rsidRDefault="00C05F11">
      <w:pPr>
        <w:widowControl w:val="0"/>
        <w:spacing w:before="120"/>
        <w:jc w:val="center"/>
        <w:rPr>
          <w:rFonts w:ascii="Times New Roman" w:hAnsi="Times New Roman" w:cs="Times New Roman"/>
          <w:b/>
          <w:bCs/>
          <w:color w:val="000000"/>
        </w:rPr>
      </w:pPr>
      <w:r>
        <w:rPr>
          <w:rFonts w:ascii="Times New Roman" w:hAnsi="Times New Roman" w:cs="Times New Roman"/>
          <w:b/>
          <w:bCs/>
          <w:color w:val="000000"/>
        </w:rPr>
        <w:t>Заключение.</w:t>
      </w:r>
    </w:p>
    <w:p w:rsidR="00C05F11" w:rsidRDefault="00C05F11">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В условиях обострения конкуренции на мировых рынках кредитование внешнеэкономической деятельности становится не только необходимым, но иногда и неизбежным условием реализации товаров, главным образом машин и оборудования. В полной мере это положение относится и к кредиту во внешнеэкономических связях России.</w:t>
      </w:r>
    </w:p>
    <w:p w:rsidR="00C05F11" w:rsidRDefault="00C05F11">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Объективной основой развития международного кредитования является выход производства за национальные границы, усиление интернационализации хозяйственных связей при углублении специализации и кооперирования производства разных стран.</w:t>
      </w:r>
    </w:p>
    <w:p w:rsidR="00C05F11" w:rsidRDefault="00C05F11">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Международный кредит является важным фактором создания крупных акционерных обществ и затрудняет доступ мелких и средних фирм на рынок ссудных капиталов.</w:t>
      </w:r>
    </w:p>
    <w:p w:rsidR="00C05F11" w:rsidRDefault="00C05F11">
      <w:pPr>
        <w:widowControl w:val="0"/>
        <w:spacing w:before="120"/>
        <w:jc w:val="center"/>
        <w:rPr>
          <w:rFonts w:ascii="Times New Roman" w:hAnsi="Times New Roman" w:cs="Times New Roman"/>
          <w:b/>
          <w:bCs/>
          <w:color w:val="000000"/>
        </w:rPr>
      </w:pPr>
      <w:r>
        <w:rPr>
          <w:rFonts w:ascii="Times New Roman" w:hAnsi="Times New Roman" w:cs="Times New Roman"/>
          <w:b/>
          <w:bCs/>
          <w:color w:val="000000"/>
        </w:rPr>
        <w:t>Список литературы</w:t>
      </w:r>
    </w:p>
    <w:p w:rsidR="00C05F11" w:rsidRDefault="00C05F11">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1. Финансы, деньги, кредит / Под ред. О.В. Соколовой. М.:Юристъ, 2000</w:t>
      </w:r>
    </w:p>
    <w:p w:rsidR="00C05F11" w:rsidRDefault="00C05F11">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2. Финансы, денежное обращение и кредит / Под ред. В.К. Сенчагова, А.И. Архипова. М.:Проспект, 1999</w:t>
      </w:r>
    </w:p>
    <w:p w:rsidR="00C05F11" w:rsidRDefault="00C05F11">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3. Деньги. Кредит. Банки / Под ред. О.И. Лаврушина. М.:Финансы и статистика, 2000</w:t>
      </w:r>
    </w:p>
    <w:p w:rsidR="00C05F11" w:rsidRDefault="00C05F11">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4. </w:t>
      </w:r>
      <w:r>
        <w:rPr>
          <w:rFonts w:ascii="Times New Roman" w:hAnsi="Times New Roman" w:cs="Times New Roman"/>
          <w:color w:val="000000"/>
          <w:sz w:val="24"/>
          <w:szCs w:val="24"/>
          <w:lang w:val="en-US"/>
        </w:rPr>
        <w:t>ek</w:t>
      </w:r>
      <w:r>
        <w:rPr>
          <w:rFonts w:ascii="Times New Roman" w:hAnsi="Times New Roman" w:cs="Times New Roman"/>
          <w:color w:val="000000"/>
          <w:sz w:val="24"/>
          <w:szCs w:val="24"/>
        </w:rPr>
        <w:t>-</w:t>
      </w:r>
      <w:r>
        <w:rPr>
          <w:rFonts w:ascii="Times New Roman" w:hAnsi="Times New Roman" w:cs="Times New Roman"/>
          <w:color w:val="000000"/>
          <w:sz w:val="24"/>
          <w:szCs w:val="24"/>
          <w:lang w:val="en-US"/>
        </w:rPr>
        <w:t>lit</w:t>
      </w:r>
      <w:r>
        <w:rPr>
          <w:rFonts w:ascii="Times New Roman" w:hAnsi="Times New Roman" w:cs="Times New Roman"/>
          <w:color w:val="000000"/>
          <w:sz w:val="24"/>
          <w:szCs w:val="24"/>
        </w:rPr>
        <w:t>.</w:t>
      </w:r>
      <w:r>
        <w:rPr>
          <w:rFonts w:ascii="Times New Roman" w:hAnsi="Times New Roman" w:cs="Times New Roman"/>
          <w:color w:val="000000"/>
          <w:sz w:val="24"/>
          <w:szCs w:val="24"/>
          <w:lang w:val="en-US"/>
        </w:rPr>
        <w:t>agava</w:t>
      </w:r>
      <w:r>
        <w:rPr>
          <w:rFonts w:ascii="Times New Roman" w:hAnsi="Times New Roman" w:cs="Times New Roman"/>
          <w:color w:val="000000"/>
          <w:sz w:val="24"/>
          <w:szCs w:val="24"/>
        </w:rPr>
        <w:t>.</w:t>
      </w:r>
      <w:r>
        <w:rPr>
          <w:rFonts w:ascii="Times New Roman" w:hAnsi="Times New Roman" w:cs="Times New Roman"/>
          <w:color w:val="000000"/>
          <w:sz w:val="24"/>
          <w:szCs w:val="24"/>
          <w:lang w:val="en-US"/>
        </w:rPr>
        <w:t>ru</w:t>
      </w:r>
      <w:r>
        <w:rPr>
          <w:rFonts w:ascii="Times New Roman" w:hAnsi="Times New Roman" w:cs="Times New Roman"/>
          <w:color w:val="000000"/>
          <w:sz w:val="24"/>
          <w:szCs w:val="24"/>
        </w:rPr>
        <w:t xml:space="preserve"> – библиотека деловой и экономической литературы</w:t>
      </w:r>
    </w:p>
    <w:p w:rsidR="00C05F11" w:rsidRDefault="00C05F11">
      <w:pPr>
        <w:widowControl w:val="0"/>
        <w:spacing w:before="120"/>
        <w:ind w:firstLine="567"/>
        <w:jc w:val="both"/>
        <w:rPr>
          <w:rFonts w:ascii="Times New Roman" w:hAnsi="Times New Roman" w:cs="Times New Roman"/>
          <w:color w:val="000000"/>
          <w:sz w:val="24"/>
          <w:szCs w:val="24"/>
        </w:rPr>
      </w:pPr>
    </w:p>
    <w:p w:rsidR="00C05F11" w:rsidRDefault="00C05F11">
      <w:pPr>
        <w:widowControl w:val="0"/>
        <w:spacing w:before="120"/>
        <w:ind w:firstLine="567"/>
        <w:jc w:val="both"/>
        <w:rPr>
          <w:rFonts w:ascii="Times New Roman" w:hAnsi="Times New Roman" w:cs="Times New Roman"/>
          <w:color w:val="000000"/>
          <w:sz w:val="24"/>
          <w:szCs w:val="24"/>
        </w:rPr>
      </w:pPr>
      <w:bookmarkStart w:id="0" w:name="_GoBack"/>
      <w:bookmarkEnd w:id="0"/>
    </w:p>
    <w:sectPr w:rsidR="00C05F11">
      <w:pgSz w:w="11900" w:h="16820" w:code="9"/>
      <w:pgMar w:top="1134" w:right="1134" w:bottom="1134" w:left="1134" w:header="1440" w:footer="1440" w:gutter="0"/>
      <w:pgNumType w:start="2"/>
      <w:cols w:space="720"/>
      <w:noEndnote/>
      <w:docGrid w:linePitch="1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autoHyphenation/>
  <w:hyphenationZone w:val="357"/>
  <w:doNotHyphenateCaps/>
  <w:drawingGridHorizontalSpacing w:val="83"/>
  <w:drawingGridVerticalSpacing w:val="56"/>
  <w:displayHorizontalDrawingGridEvery w:val="0"/>
  <w:displayVerticalDrawingGridEvery w:val="0"/>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01C2F"/>
    <w:rsid w:val="006730C8"/>
    <w:rsid w:val="00C01C2F"/>
    <w:rsid w:val="00C05F11"/>
    <w:rsid w:val="00FF7D4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4D3C1493-5E2A-47D3-BEAE-3955ED12C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Courier New" w:hAnsi="Courier New" w:cs="Courier New"/>
      <w:sz w:val="28"/>
      <w:szCs w:val="28"/>
      <w:lang w:val="ru-RU" w:eastAsia="ru-RU"/>
    </w:rPr>
  </w:style>
  <w:style w:type="paragraph" w:styleId="1">
    <w:name w:val="heading 1"/>
    <w:basedOn w:val="a"/>
    <w:next w:val="a"/>
    <w:link w:val="10"/>
    <w:uiPriority w:val="99"/>
    <w:qFormat/>
    <w:pPr>
      <w:keepNext/>
      <w:jc w:val="both"/>
      <w:outlineLvl w:val="0"/>
    </w:pPr>
    <w:rPr>
      <w:b/>
      <w:bCs/>
    </w:rPr>
  </w:style>
  <w:style w:type="paragraph" w:styleId="2">
    <w:name w:val="heading 2"/>
    <w:basedOn w:val="a"/>
    <w:next w:val="a"/>
    <w:link w:val="20"/>
    <w:uiPriority w:val="99"/>
    <w:qFormat/>
    <w:pPr>
      <w:keepNext/>
      <w:ind w:left="40"/>
      <w:jc w:val="both"/>
      <w:outlineLvl w:val="1"/>
    </w:pPr>
    <w:rPr>
      <w:b/>
      <w:bCs/>
    </w:rPr>
  </w:style>
  <w:style w:type="paragraph" w:styleId="3">
    <w:name w:val="heading 3"/>
    <w:basedOn w:val="a"/>
    <w:next w:val="a"/>
    <w:link w:val="30"/>
    <w:uiPriority w:val="99"/>
    <w:qFormat/>
    <w:pPr>
      <w:keepNext/>
      <w:spacing w:line="312" w:lineRule="auto"/>
      <w:jc w:val="center"/>
      <w:outlineLvl w:val="2"/>
    </w:pPr>
    <w:rPr>
      <w:u w:val="wav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paragraph" w:styleId="21">
    <w:name w:val="Body Text 2"/>
    <w:basedOn w:val="a"/>
    <w:link w:val="22"/>
    <w:uiPriority w:val="99"/>
    <w:pPr>
      <w:spacing w:line="312" w:lineRule="auto"/>
      <w:ind w:firstLine="720"/>
      <w:jc w:val="both"/>
    </w:pPr>
  </w:style>
  <w:style w:type="character" w:customStyle="1" w:styleId="22">
    <w:name w:val="Основной текст 2 Знак"/>
    <w:link w:val="21"/>
    <w:uiPriority w:val="99"/>
    <w:semiHidden/>
    <w:rPr>
      <w:rFonts w:ascii="Courier New" w:hAnsi="Courier New" w:cs="Courier New"/>
      <w:sz w:val="28"/>
      <w:szCs w:val="28"/>
    </w:rPr>
  </w:style>
  <w:style w:type="paragraph" w:styleId="23">
    <w:name w:val="Body Text Indent 2"/>
    <w:basedOn w:val="a"/>
    <w:link w:val="24"/>
    <w:uiPriority w:val="99"/>
    <w:pPr>
      <w:spacing w:line="220" w:lineRule="auto"/>
      <w:ind w:firstLine="320"/>
      <w:jc w:val="both"/>
    </w:pPr>
  </w:style>
  <w:style w:type="character" w:customStyle="1" w:styleId="24">
    <w:name w:val="Основной текст с отступом 2 Знак"/>
    <w:link w:val="23"/>
    <w:uiPriority w:val="99"/>
    <w:semiHidden/>
    <w:rPr>
      <w:rFonts w:ascii="Courier New" w:hAnsi="Courier New" w:cs="Courier New"/>
      <w:sz w:val="28"/>
      <w:szCs w:val="28"/>
    </w:rPr>
  </w:style>
  <w:style w:type="paragraph" w:styleId="31">
    <w:name w:val="Body Text Indent 3"/>
    <w:basedOn w:val="a"/>
    <w:link w:val="32"/>
    <w:uiPriority w:val="99"/>
    <w:pPr>
      <w:ind w:left="80"/>
      <w:jc w:val="both"/>
    </w:pPr>
  </w:style>
  <w:style w:type="character" w:customStyle="1" w:styleId="32">
    <w:name w:val="Основной текст с отступом 3 Знак"/>
    <w:link w:val="31"/>
    <w:uiPriority w:val="99"/>
    <w:semiHidden/>
    <w:rPr>
      <w:rFonts w:ascii="Courier New" w:hAnsi="Courier New" w:cs="Courier New"/>
      <w:sz w:val="16"/>
      <w:szCs w:val="16"/>
    </w:rPr>
  </w:style>
  <w:style w:type="paragraph" w:styleId="a3">
    <w:name w:val="Body Text"/>
    <w:basedOn w:val="a"/>
    <w:link w:val="a4"/>
    <w:uiPriority w:val="99"/>
    <w:pPr>
      <w:spacing w:before="40" w:line="312" w:lineRule="auto"/>
      <w:jc w:val="both"/>
    </w:pPr>
    <w:rPr>
      <w:spacing w:val="20"/>
    </w:rPr>
  </w:style>
  <w:style w:type="character" w:customStyle="1" w:styleId="a4">
    <w:name w:val="Основной текст Знак"/>
    <w:link w:val="a3"/>
    <w:uiPriority w:val="99"/>
    <w:semiHidden/>
    <w:rPr>
      <w:rFonts w:ascii="Courier New" w:hAnsi="Courier New" w:cs="Courier New"/>
      <w:sz w:val="28"/>
      <w:szCs w:val="28"/>
    </w:rPr>
  </w:style>
  <w:style w:type="paragraph" w:customStyle="1" w:styleId="FR2">
    <w:name w:val="FR2"/>
    <w:uiPriority w:val="99"/>
    <w:pPr>
      <w:widowControl w:val="0"/>
      <w:ind w:firstLine="320"/>
      <w:jc w:val="both"/>
    </w:pPr>
    <w:rPr>
      <w:rFonts w:ascii="Arial" w:hAnsi="Arial" w:cs="Arial"/>
      <w:lang w:val="ru-RU" w:eastAsia="ru-RU"/>
    </w:rPr>
  </w:style>
  <w:style w:type="paragraph" w:customStyle="1" w:styleId="FR3">
    <w:name w:val="FR3"/>
    <w:uiPriority w:val="99"/>
    <w:pPr>
      <w:widowControl w:val="0"/>
      <w:ind w:left="280"/>
    </w:pPr>
    <w:rPr>
      <w:rFonts w:ascii="Courier New" w:hAnsi="Courier New"/>
      <w:b/>
      <w:bCs/>
      <w:sz w:val="16"/>
      <w:szCs w:val="16"/>
      <w:lang w:val="ru-RU" w:eastAsia="ru-RU"/>
    </w:rPr>
  </w:style>
  <w:style w:type="paragraph" w:customStyle="1" w:styleId="FR1">
    <w:name w:val="FR1"/>
    <w:uiPriority w:val="99"/>
    <w:pPr>
      <w:widowControl w:val="0"/>
      <w:spacing w:before="60"/>
      <w:ind w:left="40"/>
      <w:jc w:val="center"/>
    </w:pPr>
    <w:rPr>
      <w:rFonts w:ascii="Arial" w:hAnsi="Arial" w:cs="Arial"/>
      <w:sz w:val="16"/>
      <w:szCs w:val="16"/>
      <w:lang w:val="ru-RU" w:eastAsia="ru-RU"/>
    </w:rPr>
  </w:style>
  <w:style w:type="paragraph" w:styleId="a5">
    <w:name w:val="footer"/>
    <w:basedOn w:val="a"/>
    <w:link w:val="a6"/>
    <w:uiPriority w:val="99"/>
    <w:pPr>
      <w:tabs>
        <w:tab w:val="center" w:pos="4153"/>
        <w:tab w:val="right" w:pos="8306"/>
      </w:tabs>
    </w:pPr>
  </w:style>
  <w:style w:type="character" w:customStyle="1" w:styleId="a6">
    <w:name w:val="Нижний колонтитул Знак"/>
    <w:link w:val="a5"/>
    <w:uiPriority w:val="99"/>
    <w:semiHidden/>
    <w:rPr>
      <w:rFonts w:ascii="Courier New" w:hAnsi="Courier New" w:cs="Courier New"/>
      <w:sz w:val="28"/>
      <w:szCs w:val="28"/>
    </w:rPr>
  </w:style>
  <w:style w:type="character" w:styleId="a7">
    <w:name w:val="page number"/>
    <w:uiPriority w:val="99"/>
  </w:style>
  <w:style w:type="paragraph" w:styleId="a8">
    <w:name w:val="header"/>
    <w:basedOn w:val="a"/>
    <w:link w:val="a9"/>
    <w:uiPriority w:val="99"/>
    <w:pPr>
      <w:tabs>
        <w:tab w:val="center" w:pos="4677"/>
        <w:tab w:val="right" w:pos="9355"/>
      </w:tabs>
    </w:pPr>
  </w:style>
  <w:style w:type="character" w:customStyle="1" w:styleId="a9">
    <w:name w:val="Верхний колонтитул Знак"/>
    <w:link w:val="a8"/>
    <w:uiPriority w:val="99"/>
    <w:semiHidden/>
    <w:rPr>
      <w:rFonts w:ascii="Courier New" w:hAnsi="Courier New" w:cs="Courier New"/>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15477</Words>
  <Characters>8823</Characters>
  <Application>Microsoft Office Word</Application>
  <DocSecurity>0</DocSecurity>
  <Lines>73</Lines>
  <Paragraphs>48</Paragraphs>
  <ScaleCrop>false</ScaleCrop>
  <HeadingPairs>
    <vt:vector size="2" baseType="variant">
      <vt:variant>
        <vt:lpstr>Название</vt:lpstr>
      </vt:variant>
      <vt:variant>
        <vt:i4>1</vt:i4>
      </vt:variant>
    </vt:vector>
  </HeadingPairs>
  <TitlesOfParts>
    <vt:vector size="1" baseType="lpstr">
      <vt:lpstr>Международная торговля всегда была связана с кредитом вследствие несовпадения во времени продолжительности процес-са производства и обращения различных товаров, а также стрем-ления экспортера повысить конкурентоспособность своих това-ров за счет предоста</vt:lpstr>
    </vt:vector>
  </TitlesOfParts>
  <Company>"Рога и копыта"</Company>
  <LinksUpToDate>false</LinksUpToDate>
  <CharactersWithSpaces>24252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Международная торговля всегда была связана с кредитом вследствие несовпадения во времени продолжительности процес-са производства и обращения различных товаров, а также стрем-ления экспортера повысить конкурентоспособность своих това-ров за счет предоста</dc:title>
  <dc:subject/>
  <dc:creator>Вася Пупкин</dc:creator>
  <cp:keywords/>
  <dc:description/>
  <cp:lastModifiedBy>admin</cp:lastModifiedBy>
  <cp:revision>2</cp:revision>
  <dcterms:created xsi:type="dcterms:W3CDTF">2014-01-26T04:45:00Z</dcterms:created>
  <dcterms:modified xsi:type="dcterms:W3CDTF">2014-01-26T04:45:00Z</dcterms:modified>
</cp:coreProperties>
</file>