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BCF" w:rsidRPr="00695E41" w:rsidRDefault="00184BCF" w:rsidP="00695E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E4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695E41" w:rsidRDefault="00695E41" w:rsidP="00695E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4BCF" w:rsidRPr="00695E41" w:rsidRDefault="00184BCF" w:rsidP="00695E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Общая схема планировки является эскизным решением архитектурно-планировочной композиции и планировочной структуры населенного пункта в целом, где учтены местные условия и соблюдены санитарно-гигиенические, инженерно-строительные, архитектурные, противопожарные и зооветеринарные требования.</w:t>
      </w:r>
    </w:p>
    <w:p w:rsidR="00184BCF" w:rsidRPr="00695E41" w:rsidRDefault="00184BCF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Сельские населенные места застраиваются преимущественно усадебными и ограничено блокированными и секционными домами, составляющими кварталы, входящие в первичные жилые комплексы. Необходимо ознакомиться с типами сельских жилых кварталов, их размерами и формой, с размерами и организацией первичных жилых комплексов. Это целесообразно сделать с помощью литературных источников и путем изучения ряда конкретных решений проектов планировки поселений.</w:t>
      </w:r>
    </w:p>
    <w:p w:rsidR="00184BCF" w:rsidRPr="00695E41" w:rsidRDefault="00184BCF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Создавая планировочную структуру населенного пункта и одновременно решая его архитектурно-планировочную композицию средствами системы уличной сети, обеспечивают наилучшие связи населения с производственной зоной, с внешним миром и взаимосвязи структурных частей поселения.</w:t>
      </w:r>
    </w:p>
    <w:p w:rsidR="005601D0" w:rsidRPr="00695E41" w:rsidRDefault="005601D0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2FD" w:rsidRPr="00695E41" w:rsidRDefault="00695E41" w:rsidP="00695E41">
      <w:pPr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75E2C" w:rsidRPr="00695E41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5601D0" w:rsidRPr="00695E41" w:rsidRDefault="005601D0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2FD" w:rsidRPr="00695E41" w:rsidRDefault="004112FD" w:rsidP="00366583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E41">
        <w:rPr>
          <w:rFonts w:ascii="Times New Roman" w:hAnsi="Times New Roman" w:cs="Times New Roman"/>
          <w:b/>
          <w:bCs/>
          <w:sz w:val="28"/>
          <w:szCs w:val="28"/>
        </w:rPr>
        <w:t>Местоположение</w:t>
      </w:r>
    </w:p>
    <w:p w:rsid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555A" w:rsidRPr="00695E41" w:rsidRDefault="00A1555A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Рельеф территории представляет собой увалисто-холмистую равнину с общим уклоном на юго-восток.</w:t>
      </w:r>
    </w:p>
    <w:p w:rsidR="00231E46" w:rsidRPr="00695E41" w:rsidRDefault="00231E46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С южной стороны общественный центр примыкает к лесному массиву, образую лесопарковую зону.</w:t>
      </w:r>
    </w:p>
    <w:p w:rsidR="00231E46" w:rsidRPr="00695E41" w:rsidRDefault="00231E46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Вдоль восточной границы села протекает река Ря, где организован пруд, который примыкает к общественному центру.</w:t>
      </w:r>
    </w:p>
    <w:p w:rsidR="00231E46" w:rsidRPr="00695E41" w:rsidRDefault="00231E46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1">
        <w:rPr>
          <w:rFonts w:ascii="Times New Roman" w:hAnsi="Times New Roman" w:cs="Times New Roman"/>
          <w:sz w:val="28"/>
          <w:szCs w:val="28"/>
        </w:rPr>
        <w:t>Производственная зона расположена в северной части села, в состав которого входят МТФ на 800 коров, МТМ на 64 трактора,</w:t>
      </w:r>
      <w:r w:rsidR="00695E41">
        <w:rPr>
          <w:rFonts w:ascii="Times New Roman" w:hAnsi="Times New Roman" w:cs="Times New Roman"/>
          <w:sz w:val="28"/>
          <w:szCs w:val="28"/>
        </w:rPr>
        <w:t xml:space="preserve"> складские здания, конный двор.</w:t>
      </w:r>
    </w:p>
    <w:p w:rsidR="00C75E2C" w:rsidRPr="00695E41" w:rsidRDefault="00C75E2C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2FD" w:rsidRPr="00695E41" w:rsidRDefault="004112FD" w:rsidP="00366583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E41">
        <w:rPr>
          <w:rFonts w:ascii="Times New Roman" w:hAnsi="Times New Roman" w:cs="Times New Roman"/>
          <w:b/>
          <w:bCs/>
          <w:sz w:val="28"/>
          <w:szCs w:val="28"/>
        </w:rPr>
        <w:t>Природные условия</w:t>
      </w:r>
    </w:p>
    <w:p w:rsid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12FD" w:rsidRPr="00695E41" w:rsidRDefault="004112FD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Климат района континентальный, с холодной продолжительной зимой и жарким летом.</w:t>
      </w:r>
    </w:p>
    <w:p w:rsidR="004112FD" w:rsidRPr="00695E41" w:rsidRDefault="004112FD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Продолжительность безморозного периода 88 дней. Абсолютный минимум - 49</w:t>
      </w:r>
      <w:r w:rsidR="00A1555A" w:rsidRPr="00695E41">
        <w:rPr>
          <w:rFonts w:ascii="Times New Roman" w:hAnsi="Times New Roman" w:cs="Times New Roman"/>
          <w:sz w:val="28"/>
          <w:szCs w:val="28"/>
        </w:rPr>
        <w:t xml:space="preserve">ºС (январь), абсолютный максимум - +38ºС (июль), относительная влажность – 78%. Годовая сумма осадков – 420мм. Высота снежного покрова – </w:t>
      </w:r>
      <w:smartTag w:uri="urn:schemas-microsoft-com:office:smarttags" w:element="metricconverter">
        <w:smartTagPr>
          <w:attr w:name="ProductID" w:val="40 см"/>
        </w:smartTagPr>
        <w:r w:rsidR="00A1555A" w:rsidRPr="00695E41">
          <w:rPr>
            <w:rFonts w:ascii="Times New Roman" w:hAnsi="Times New Roman" w:cs="Times New Roman"/>
            <w:sz w:val="28"/>
            <w:szCs w:val="28"/>
          </w:rPr>
          <w:t>40 см</w:t>
        </w:r>
      </w:smartTag>
      <w:r w:rsidR="00A1555A" w:rsidRPr="00695E41">
        <w:rPr>
          <w:rFonts w:ascii="Times New Roman" w:hAnsi="Times New Roman" w:cs="Times New Roman"/>
          <w:sz w:val="28"/>
          <w:szCs w:val="28"/>
        </w:rPr>
        <w:t>.</w:t>
      </w:r>
    </w:p>
    <w:p w:rsidR="00A1555A" w:rsidRPr="00695E41" w:rsidRDefault="00A1555A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 xml:space="preserve">Расчетная температура - 34ºС и 20ºС. Продолжительность отопительного сезона 220 дней. Глубина промерзания грунта – </w:t>
      </w:r>
      <w:smartTag w:uri="urn:schemas-microsoft-com:office:smarttags" w:element="metricconverter">
        <w:smartTagPr>
          <w:attr w:name="ProductID" w:val="160 см"/>
        </w:smartTagPr>
        <w:r w:rsidRPr="00695E41">
          <w:rPr>
            <w:rFonts w:ascii="Times New Roman" w:hAnsi="Times New Roman" w:cs="Times New Roman"/>
            <w:sz w:val="28"/>
            <w:szCs w:val="28"/>
          </w:rPr>
          <w:t>160 см</w:t>
        </w:r>
      </w:smartTag>
      <w:r w:rsidRPr="00695E41">
        <w:rPr>
          <w:rFonts w:ascii="Times New Roman" w:hAnsi="Times New Roman" w:cs="Times New Roman"/>
          <w:sz w:val="28"/>
          <w:szCs w:val="28"/>
        </w:rPr>
        <w:t xml:space="preserve">, грунтовые воды залегают на глубине 2м. </w:t>
      </w:r>
    </w:p>
    <w:p w:rsidR="00A1555A" w:rsidRPr="00695E41" w:rsidRDefault="00A1555A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По климатическим условиям территория ограниченно-благоприятна для сельского хозяйства. Из-за частоповторяющихся поздневесенних и раннеосенних</w:t>
      </w:r>
      <w:r w:rsidR="00695E41">
        <w:rPr>
          <w:rFonts w:ascii="Times New Roman" w:hAnsi="Times New Roman" w:cs="Times New Roman"/>
          <w:sz w:val="28"/>
          <w:szCs w:val="28"/>
        </w:rPr>
        <w:t xml:space="preserve"> </w:t>
      </w:r>
      <w:r w:rsidRPr="00695E41">
        <w:rPr>
          <w:rFonts w:ascii="Times New Roman" w:hAnsi="Times New Roman" w:cs="Times New Roman"/>
          <w:sz w:val="28"/>
          <w:szCs w:val="28"/>
        </w:rPr>
        <w:t>заморозков и короткого безморозного периода.</w:t>
      </w:r>
    </w:p>
    <w:p w:rsidR="00A1555A" w:rsidRPr="00695E41" w:rsidRDefault="00A1555A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 xml:space="preserve">Почвенный покров представлен преимущественно темно-серыми лесными почвами. Согласно данным оценки земель общий балл сельхозугодий 26,0 балла, лучше по качеству, чем в среднем по 21,4 балла. </w:t>
      </w:r>
    </w:p>
    <w:p w:rsidR="00C75E2C" w:rsidRPr="00695E41" w:rsidRDefault="00C75E2C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1E46" w:rsidRPr="00695E41" w:rsidRDefault="00231E46" w:rsidP="00366583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E41">
        <w:rPr>
          <w:rFonts w:ascii="Times New Roman" w:hAnsi="Times New Roman" w:cs="Times New Roman"/>
          <w:b/>
          <w:bCs/>
          <w:sz w:val="28"/>
          <w:szCs w:val="28"/>
        </w:rPr>
        <w:t>Характеристика су</w:t>
      </w:r>
      <w:r w:rsidR="00C75E2C" w:rsidRPr="00695E41">
        <w:rPr>
          <w:rFonts w:ascii="Times New Roman" w:hAnsi="Times New Roman" w:cs="Times New Roman"/>
          <w:b/>
          <w:bCs/>
          <w:sz w:val="28"/>
          <w:szCs w:val="28"/>
        </w:rPr>
        <w:t>ществующего состояния застройки</w:t>
      </w:r>
    </w:p>
    <w:p w:rsid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1E46" w:rsidRDefault="00231E46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1">
        <w:rPr>
          <w:rFonts w:ascii="Times New Roman" w:hAnsi="Times New Roman" w:cs="Times New Roman"/>
          <w:sz w:val="28"/>
          <w:szCs w:val="28"/>
        </w:rPr>
        <w:t>Застройка села представлена в основном одноэтажной застройкой. Общественный центр и примыкающие к нему территории застроены двухэ</w:t>
      </w:r>
      <w:r w:rsidR="00695E41">
        <w:rPr>
          <w:rFonts w:ascii="Times New Roman" w:hAnsi="Times New Roman" w:cs="Times New Roman"/>
          <w:sz w:val="28"/>
          <w:szCs w:val="28"/>
        </w:rPr>
        <w:t>тажной секционной застройкой.</w:t>
      </w:r>
    </w:p>
    <w:p w:rsidR="00695E41" w:rsidRP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5E41" w:rsidRPr="00695E41" w:rsidRDefault="00366583" w:rsidP="00366583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231E46" w:rsidRPr="00695E41">
        <w:rPr>
          <w:rFonts w:ascii="Times New Roman" w:hAnsi="Times New Roman" w:cs="Times New Roman"/>
          <w:b/>
          <w:bCs/>
          <w:sz w:val="28"/>
          <w:szCs w:val="28"/>
        </w:rPr>
        <w:t>арактеристика природных ресурсов, транспортных с</w:t>
      </w:r>
      <w:r w:rsidR="00695E41">
        <w:rPr>
          <w:rFonts w:ascii="Times New Roman" w:hAnsi="Times New Roman" w:cs="Times New Roman"/>
          <w:b/>
          <w:bCs/>
          <w:sz w:val="28"/>
          <w:szCs w:val="28"/>
        </w:rPr>
        <w:t xml:space="preserve">вязей, </w:t>
      </w:r>
    </w:p>
    <w:p w:rsidR="00231E46" w:rsidRP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экологического состояния</w:t>
      </w:r>
    </w:p>
    <w:p w:rsid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FC3" w:rsidRPr="00695E41" w:rsidRDefault="002C0FC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1">
        <w:rPr>
          <w:rFonts w:ascii="Times New Roman" w:hAnsi="Times New Roman" w:cs="Times New Roman"/>
          <w:sz w:val="28"/>
          <w:szCs w:val="28"/>
        </w:rPr>
        <w:t>Село Малиновка расположено на территории Белебеевского нефтяного месторождения. Зеленые насаждения имеются в виде отдельно стоящих деревьев на приусадебных участках, вок</w:t>
      </w:r>
      <w:r w:rsidR="00695E41">
        <w:rPr>
          <w:rFonts w:ascii="Times New Roman" w:hAnsi="Times New Roman" w:cs="Times New Roman"/>
          <w:sz w:val="28"/>
          <w:szCs w:val="28"/>
        </w:rPr>
        <w:t>руг пруда и по берегам реки Ря.</w:t>
      </w:r>
    </w:p>
    <w:p w:rsidR="002C0FC3" w:rsidRPr="00695E41" w:rsidRDefault="002C0FC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С южной стороны к нему примыкает лесной массив, с запада село Скобелевка, которое срослось с селом Малиновка.</w:t>
      </w:r>
    </w:p>
    <w:p w:rsidR="002C0FC3" w:rsidRPr="00695E41" w:rsidRDefault="002C0FC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Населенный пункт Малиновка расположен в 15км от районного центра г. Белебей, в 6км от ближайшей железнодорожной станции Аксаково и в 200км от республиканского центра г. Уфы. Село Малиновка является административным центром Малиновского сельского совета. Связь с административным центром района города Белебей и с республиканским центром г. Уфой осуществляется по дороге Уфа-Аксаково-Приютово.</w:t>
      </w:r>
    </w:p>
    <w:p w:rsidR="00672088" w:rsidRPr="00695E41" w:rsidRDefault="00672088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Также имеются дороги местного значения, связывающие все населенные пункты. Дорога областного значения имеет асфальтовое покрытие, а местного значения – щебеночное и грунтовое. Почти все дороги нуждаются в полной или частичной реконструкции.</w:t>
      </w:r>
    </w:p>
    <w:p w:rsidR="00672088" w:rsidRPr="00695E41" w:rsidRDefault="00672088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В настоящее время имеется постоянный автобусный маршрут Уфа – Белебей - Бишбуляк и Белебей – Приютово</w:t>
      </w:r>
      <w:r w:rsidR="00366583">
        <w:rPr>
          <w:rFonts w:ascii="Times New Roman" w:hAnsi="Times New Roman" w:cs="Times New Roman"/>
          <w:sz w:val="28"/>
          <w:szCs w:val="28"/>
        </w:rPr>
        <w:t xml:space="preserve"> с которого</w:t>
      </w:r>
      <w:r w:rsidRPr="00695E41">
        <w:rPr>
          <w:rFonts w:ascii="Times New Roman" w:hAnsi="Times New Roman" w:cs="Times New Roman"/>
          <w:sz w:val="28"/>
          <w:szCs w:val="28"/>
        </w:rPr>
        <w:t xml:space="preserve"> есть въезд в с. Малиновка, полукольцом проходящей через западную окраину села. По территории Сельсовета специального автобусного маршрута нет.</w:t>
      </w:r>
    </w:p>
    <w:p w:rsidR="002C0FC3" w:rsidRPr="00695E41" w:rsidRDefault="002C0FC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1">
        <w:rPr>
          <w:rFonts w:ascii="Times New Roman" w:hAnsi="Times New Roman" w:cs="Times New Roman"/>
          <w:sz w:val="28"/>
          <w:szCs w:val="28"/>
        </w:rPr>
        <w:t xml:space="preserve">Экологическое состояние территории нормальное. Белебеевский район считается нефтяным, соответственно и в селе Малиновка есть действующие нефтяные скважины. Но эти скважины расположены в должном санитарном </w:t>
      </w:r>
      <w:r w:rsidR="00E03730" w:rsidRPr="00695E41">
        <w:rPr>
          <w:rFonts w:ascii="Times New Roman" w:hAnsi="Times New Roman" w:cs="Times New Roman"/>
          <w:sz w:val="28"/>
          <w:szCs w:val="28"/>
        </w:rPr>
        <w:t>и противопожарном разрыве и оборудованы защитными сооружениями относительно жилых и производственных комплексов. По территории так же проходит сеть высоковольтных линий п/станции «Аксаково», что должно учитываться при проведении сельскохозяйственных работ складирования материалов, скирдов сена</w:t>
      </w:r>
      <w:r w:rsidR="007C5A67" w:rsidRPr="00695E41">
        <w:rPr>
          <w:rFonts w:ascii="Times New Roman" w:hAnsi="Times New Roman" w:cs="Times New Roman"/>
          <w:sz w:val="28"/>
          <w:szCs w:val="28"/>
        </w:rPr>
        <w:t xml:space="preserve"> </w:t>
      </w:r>
      <w:r w:rsidR="00E03730" w:rsidRPr="00695E41">
        <w:rPr>
          <w:rFonts w:ascii="Times New Roman" w:hAnsi="Times New Roman" w:cs="Times New Roman"/>
          <w:sz w:val="28"/>
          <w:szCs w:val="28"/>
        </w:rPr>
        <w:t>и соломы, т.к. в охранной зоне от 25-35 кв запрещается ставить скирду, стога сена, штабелирование материалов, возведение построек.</w:t>
      </w:r>
    </w:p>
    <w:p w:rsidR="007C5A67" w:rsidRPr="00695E41" w:rsidRDefault="007C5A67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Основным источником загрязнения окружающей среды являются животноводческие фермы на берегу реки Ря и ремонтно–механические дворы, расположенные в непосредственной близости от открытых водоисточников и жилых образований.</w:t>
      </w:r>
    </w:p>
    <w:p w:rsidR="007C5A67" w:rsidRPr="00695E41" w:rsidRDefault="007C5A67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A67" w:rsidRPr="00695E41" w:rsidRDefault="00695E41" w:rsidP="00695E41">
      <w:pPr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C5A67" w:rsidRPr="00695E41">
        <w:rPr>
          <w:rFonts w:ascii="Times New Roman" w:hAnsi="Times New Roman" w:cs="Times New Roman"/>
          <w:b/>
          <w:bCs/>
          <w:sz w:val="28"/>
          <w:szCs w:val="28"/>
        </w:rPr>
        <w:t>Предварительный расчет по проекту</w:t>
      </w: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A67" w:rsidRPr="00695E41" w:rsidRDefault="007C5A67" w:rsidP="00695E41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E41">
        <w:rPr>
          <w:rFonts w:ascii="Times New Roman" w:hAnsi="Times New Roman" w:cs="Times New Roman"/>
          <w:b/>
          <w:bCs/>
          <w:sz w:val="28"/>
          <w:szCs w:val="28"/>
        </w:rPr>
        <w:t>Перспективный рас</w:t>
      </w:r>
      <w:r w:rsidR="00695E41" w:rsidRPr="00695E41">
        <w:rPr>
          <w:rFonts w:ascii="Times New Roman" w:hAnsi="Times New Roman" w:cs="Times New Roman"/>
          <w:b/>
          <w:bCs/>
          <w:sz w:val="28"/>
          <w:szCs w:val="28"/>
        </w:rPr>
        <w:t>чет населения на расчетный срок</w:t>
      </w:r>
    </w:p>
    <w:p w:rsidR="00695E41" w:rsidRDefault="00695E41" w:rsidP="00695E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5A67" w:rsidRPr="00695E41" w:rsidRDefault="007C5A67" w:rsidP="00695E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 xml:space="preserve">Размеры территории для жилой застройки принимаются согласно предпроектным расчетам. </w:t>
      </w:r>
      <w:r w:rsidRPr="00695E41">
        <w:rPr>
          <w:rFonts w:ascii="Times New Roman" w:hAnsi="Times New Roman" w:cs="Times New Roman"/>
          <w:color w:val="000000"/>
          <w:sz w:val="28"/>
          <w:szCs w:val="28"/>
        </w:rPr>
        <w:t>Расчет численности населения, потребной площади земельных участков функциональных зон, выполняется по укрупненным и удельным показателям.</w:t>
      </w:r>
    </w:p>
    <w:p w:rsidR="007C5A67" w:rsidRDefault="007C5A67" w:rsidP="00695E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5E41">
        <w:rPr>
          <w:rFonts w:ascii="Times New Roman" w:hAnsi="Times New Roman" w:cs="Times New Roman"/>
          <w:color w:val="000000"/>
          <w:sz w:val="28"/>
          <w:szCs w:val="28"/>
        </w:rPr>
        <w:t>Общая численность населенного пункта определяется по формуле:</w:t>
      </w:r>
    </w:p>
    <w:p w:rsidR="00695E41" w:rsidRPr="00695E41" w:rsidRDefault="00695E41" w:rsidP="00695E4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4A83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7C2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45pt">
            <v:imagedata r:id="rId7" o:title=""/>
          </v:shape>
        </w:pict>
      </w:r>
      <w:r w:rsidR="00054A83" w:rsidRPr="00695E41">
        <w:rPr>
          <w:rFonts w:ascii="Times New Roman" w:hAnsi="Times New Roman" w:cs="Times New Roman"/>
          <w:sz w:val="28"/>
          <w:szCs w:val="28"/>
        </w:rPr>
        <w:t>, где</w:t>
      </w:r>
    </w:p>
    <w:p w:rsidR="00695E41" w:rsidRP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N - общая численность населения на расчетный срок, чел.;</w:t>
      </w: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А - численность градообразующих</w:t>
      </w:r>
      <w:r w:rsidR="00695E41">
        <w:rPr>
          <w:rFonts w:ascii="Times New Roman" w:hAnsi="Times New Roman" w:cs="Times New Roman"/>
          <w:sz w:val="28"/>
          <w:szCs w:val="28"/>
        </w:rPr>
        <w:t xml:space="preserve"> </w:t>
      </w:r>
      <w:r w:rsidRPr="00695E41">
        <w:rPr>
          <w:rFonts w:ascii="Times New Roman" w:hAnsi="Times New Roman" w:cs="Times New Roman"/>
          <w:sz w:val="28"/>
          <w:szCs w:val="28"/>
        </w:rPr>
        <w:t>кадров, чел.;</w:t>
      </w: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П – в процентном соотношении, %.</w:t>
      </w: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Общая численность населения на расчетный срок: 459 человек;</w:t>
      </w: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В трудоспособном возрасте: 216 человек (47,1%)</w:t>
      </w: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4A83" w:rsidRPr="00695E41" w:rsidRDefault="00054A83" w:rsidP="00366583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5E41">
        <w:rPr>
          <w:rFonts w:ascii="Times New Roman" w:hAnsi="Times New Roman" w:cs="Times New Roman"/>
          <w:b/>
          <w:bCs/>
          <w:sz w:val="28"/>
          <w:szCs w:val="28"/>
        </w:rPr>
        <w:t>Расчет количе</w:t>
      </w:r>
      <w:r w:rsidR="00695E41" w:rsidRPr="00695E41">
        <w:rPr>
          <w:rFonts w:ascii="Times New Roman" w:hAnsi="Times New Roman" w:cs="Times New Roman"/>
          <w:b/>
          <w:bCs/>
          <w:sz w:val="28"/>
          <w:szCs w:val="28"/>
        </w:rPr>
        <w:t>ства семей с учетом перспективы</w:t>
      </w:r>
    </w:p>
    <w:p w:rsid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4A83" w:rsidRPr="00695E41" w:rsidRDefault="00054A8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Расчет количества семей производим для определения потребного количества квартир (домов), которые необходимо построить, с</w:t>
      </w:r>
      <w:r w:rsidR="00695E41">
        <w:rPr>
          <w:rFonts w:ascii="Times New Roman" w:hAnsi="Times New Roman" w:cs="Times New Roman"/>
          <w:sz w:val="28"/>
          <w:szCs w:val="28"/>
        </w:rPr>
        <w:t xml:space="preserve"> </w:t>
      </w:r>
      <w:r w:rsidRPr="00695E41">
        <w:rPr>
          <w:rFonts w:ascii="Times New Roman" w:hAnsi="Times New Roman" w:cs="Times New Roman"/>
          <w:sz w:val="28"/>
          <w:szCs w:val="28"/>
        </w:rPr>
        <w:t>обеспечением</w:t>
      </w:r>
      <w:r w:rsidR="00695E41">
        <w:rPr>
          <w:rFonts w:ascii="Times New Roman" w:hAnsi="Times New Roman" w:cs="Times New Roman"/>
          <w:sz w:val="28"/>
          <w:szCs w:val="28"/>
        </w:rPr>
        <w:t xml:space="preserve"> </w:t>
      </w:r>
      <w:r w:rsidRPr="00695E41">
        <w:rPr>
          <w:rFonts w:ascii="Times New Roman" w:hAnsi="Times New Roman" w:cs="Times New Roman"/>
          <w:sz w:val="28"/>
          <w:szCs w:val="28"/>
        </w:rPr>
        <w:t>стандартного уровня проживания каждой семьи.</w:t>
      </w:r>
    </w:p>
    <w:p w:rsidR="00054A83" w:rsidRDefault="00BE7B8B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5E41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695E41" w:rsidRP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7B8B" w:rsidRPr="00695E41" w:rsidRDefault="00D217C2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58.5pt;height:42pt">
            <v:imagedata r:id="rId8" o:title=""/>
          </v:shape>
        </w:pict>
      </w:r>
      <w:r w:rsidR="00BE7B8B" w:rsidRPr="00695E41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BE7B8B" w:rsidRP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E7B8B" w:rsidRPr="00695E41">
        <w:rPr>
          <w:rFonts w:ascii="Times New Roman" w:hAnsi="Times New Roman" w:cs="Times New Roman"/>
          <w:sz w:val="28"/>
          <w:szCs w:val="28"/>
        </w:rPr>
        <w:t>Ксем. – количество семей;(136)</w:t>
      </w:r>
    </w:p>
    <w:p w:rsidR="00BE7B8B" w:rsidRPr="00695E41" w:rsidRDefault="00BE7B8B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N - общая численность населения на расчетный срок, чел.;</w:t>
      </w:r>
    </w:p>
    <w:p w:rsidR="00BE7B8B" w:rsidRPr="00695E41" w:rsidRDefault="00BE7B8B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3,5 – коэффициент семейности.</w:t>
      </w:r>
    </w:p>
    <w:p w:rsidR="00BE7B8B" w:rsidRPr="00695E41" w:rsidRDefault="00BE7B8B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Количество потребных к проектированию жилых домов принимаем равным расчетному количеству семей.</w:t>
      </w:r>
    </w:p>
    <w:p w:rsidR="00BE7B8B" w:rsidRPr="00695E41" w:rsidRDefault="00BE7B8B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B8B" w:rsidRPr="00695E41" w:rsidRDefault="00BE7B8B" w:rsidP="00366583">
      <w:pPr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E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Расчет территории, потребной для строительства</w:t>
      </w:r>
    </w:p>
    <w:p w:rsid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E7B8B" w:rsidRDefault="00BE7B8B" w:rsidP="00695E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95E41">
        <w:rPr>
          <w:rFonts w:ascii="Times New Roman" w:hAnsi="Times New Roman" w:cs="Times New Roman"/>
          <w:color w:val="000000"/>
          <w:sz w:val="28"/>
          <w:szCs w:val="28"/>
        </w:rPr>
        <w:t>В соответствии со структурой застройки и нормативной площадью жилого фонда</w:t>
      </w:r>
    </w:p>
    <w:p w:rsidR="00695E41" w:rsidRP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E7B8B" w:rsidRPr="00695E41" w:rsidRDefault="00D217C2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102pt;height:39pt">
            <v:imagedata r:id="rId9" o:title=""/>
          </v:shape>
        </w:pict>
      </w:r>
      <w:r w:rsidR="00484AE2" w:rsidRPr="00695E41">
        <w:rPr>
          <w:rFonts w:ascii="Times New Roman" w:hAnsi="Times New Roman" w:cs="Times New Roman"/>
          <w:sz w:val="28"/>
          <w:szCs w:val="28"/>
        </w:rPr>
        <w:t xml:space="preserve">, где </w:t>
      </w:r>
    </w:p>
    <w:p w:rsidR="00695E41" w:rsidRDefault="00695E41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4AE2" w:rsidRPr="00695E41" w:rsidRDefault="00484AE2" w:rsidP="003665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Р – средняя плотность жилого фонда</w:t>
      </w:r>
    </w:p>
    <w:p w:rsidR="00484AE2" w:rsidRPr="00695E41" w:rsidRDefault="00484AE2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а1 - % общей площади проектируемых жилых домов с приусадебными участками (35%);</w:t>
      </w:r>
    </w:p>
    <w:p w:rsidR="00484AE2" w:rsidRPr="00695E41" w:rsidRDefault="00484AE2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>а2 - % общей площади существующих жилых домов (65%);</w:t>
      </w:r>
    </w:p>
    <w:p w:rsidR="00484AE2" w:rsidRPr="00695E41" w:rsidRDefault="00484AE2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 xml:space="preserve">р1 </w:t>
      </w:r>
      <w:r w:rsidR="00F664E3" w:rsidRPr="00695E41">
        <w:rPr>
          <w:rFonts w:ascii="Times New Roman" w:hAnsi="Times New Roman" w:cs="Times New Roman"/>
          <w:sz w:val="28"/>
          <w:szCs w:val="28"/>
        </w:rPr>
        <w:t>–</w:t>
      </w:r>
      <w:r w:rsidRPr="00695E41">
        <w:rPr>
          <w:rFonts w:ascii="Times New Roman" w:hAnsi="Times New Roman" w:cs="Times New Roman"/>
          <w:sz w:val="28"/>
          <w:szCs w:val="28"/>
        </w:rPr>
        <w:t xml:space="preserve"> </w:t>
      </w:r>
      <w:r w:rsidR="00F664E3" w:rsidRPr="00695E41">
        <w:rPr>
          <w:rFonts w:ascii="Times New Roman" w:hAnsi="Times New Roman" w:cs="Times New Roman"/>
          <w:sz w:val="28"/>
          <w:szCs w:val="28"/>
        </w:rPr>
        <w:t>плотность жилого фонда проектируемой застройки (м²/га);</w:t>
      </w:r>
    </w:p>
    <w:p w:rsidR="00F664E3" w:rsidRPr="00695E41" w:rsidRDefault="00F664E3" w:rsidP="00695E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E41">
        <w:rPr>
          <w:rFonts w:ascii="Times New Roman" w:hAnsi="Times New Roman" w:cs="Times New Roman"/>
          <w:sz w:val="28"/>
          <w:szCs w:val="28"/>
        </w:rPr>
        <w:t xml:space="preserve">р2 – плотность жилого фонда </w:t>
      </w:r>
      <w:r w:rsidR="001F6C73" w:rsidRPr="00695E41">
        <w:rPr>
          <w:rFonts w:ascii="Times New Roman" w:hAnsi="Times New Roman" w:cs="Times New Roman"/>
          <w:sz w:val="28"/>
          <w:szCs w:val="28"/>
        </w:rPr>
        <w:t>существующей застройки (м²/га).</w:t>
      </w:r>
      <w:bookmarkStart w:id="0" w:name="_GoBack"/>
      <w:bookmarkEnd w:id="0"/>
    </w:p>
    <w:sectPr w:rsidR="00F664E3" w:rsidRPr="00695E41" w:rsidSect="00366583">
      <w:pgSz w:w="11906" w:h="16838" w:code="9"/>
      <w:pgMar w:top="1134" w:right="851" w:bottom="1134" w:left="1701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19" w:rsidRDefault="005B5919">
      <w:r>
        <w:separator/>
      </w:r>
    </w:p>
  </w:endnote>
  <w:endnote w:type="continuationSeparator" w:id="0">
    <w:p w:rsidR="005B5919" w:rsidRDefault="005B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19" w:rsidRDefault="005B5919">
      <w:r>
        <w:separator/>
      </w:r>
    </w:p>
  </w:footnote>
  <w:footnote w:type="continuationSeparator" w:id="0">
    <w:p w:rsidR="005B5919" w:rsidRDefault="005B5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0476D"/>
    <w:multiLevelType w:val="singleLevel"/>
    <w:tmpl w:val="A26C7A62"/>
    <w:lvl w:ilvl="0">
      <w:start w:val="1"/>
      <w:numFmt w:val="decimal"/>
      <w:lvlText w:val="4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>
    <w:nsid w:val="304330F7"/>
    <w:multiLevelType w:val="singleLevel"/>
    <w:tmpl w:val="462EA968"/>
    <w:lvl w:ilvl="0">
      <w:start w:val="1"/>
      <w:numFmt w:val="decimal"/>
      <w:lvlText w:val="1.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2">
    <w:nsid w:val="488D0BC0"/>
    <w:multiLevelType w:val="singleLevel"/>
    <w:tmpl w:val="140A2FF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</w:abstractNum>
  <w:abstractNum w:abstractNumId="3">
    <w:nsid w:val="49D713D2"/>
    <w:multiLevelType w:val="multilevel"/>
    <w:tmpl w:val="48DEBE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54A03663"/>
    <w:multiLevelType w:val="hybridMultilevel"/>
    <w:tmpl w:val="67C445DA"/>
    <w:lvl w:ilvl="0" w:tplc="22961B2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3594E7A2">
      <w:start w:val="1"/>
      <w:numFmt w:val="decimal"/>
      <w:lvlText w:val="2.%2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CA6631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F3ED3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72A6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2ADA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86C99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9E2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7E0F0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B3A14E4"/>
    <w:multiLevelType w:val="singleLevel"/>
    <w:tmpl w:val="51F0DB0E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>
    <w:nsid w:val="68C34D4C"/>
    <w:multiLevelType w:val="multilevel"/>
    <w:tmpl w:val="2B7207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71540108"/>
    <w:multiLevelType w:val="multilevel"/>
    <w:tmpl w:val="2084E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8">
    <w:nsid w:val="71F2180F"/>
    <w:multiLevelType w:val="singleLevel"/>
    <w:tmpl w:val="55E22382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9">
    <w:nsid w:val="73D040D7"/>
    <w:multiLevelType w:val="multilevel"/>
    <w:tmpl w:val="D982E8F4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0">
    <w:nsid w:val="76B974E3"/>
    <w:multiLevelType w:val="multilevel"/>
    <w:tmpl w:val="8778910E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4BCF"/>
    <w:rsid w:val="00054A83"/>
    <w:rsid w:val="00094358"/>
    <w:rsid w:val="00167662"/>
    <w:rsid w:val="00184BCF"/>
    <w:rsid w:val="001F6C73"/>
    <w:rsid w:val="00231E46"/>
    <w:rsid w:val="002C0FC3"/>
    <w:rsid w:val="00366583"/>
    <w:rsid w:val="003E63E0"/>
    <w:rsid w:val="004112FD"/>
    <w:rsid w:val="00482B63"/>
    <w:rsid w:val="00484AE2"/>
    <w:rsid w:val="00530EBE"/>
    <w:rsid w:val="005601D0"/>
    <w:rsid w:val="00564855"/>
    <w:rsid w:val="005B5919"/>
    <w:rsid w:val="00672088"/>
    <w:rsid w:val="00676E31"/>
    <w:rsid w:val="00695E41"/>
    <w:rsid w:val="00707076"/>
    <w:rsid w:val="007C5A67"/>
    <w:rsid w:val="008614E8"/>
    <w:rsid w:val="008B68ED"/>
    <w:rsid w:val="009402B1"/>
    <w:rsid w:val="00A1555A"/>
    <w:rsid w:val="00A342B6"/>
    <w:rsid w:val="00B02278"/>
    <w:rsid w:val="00BE7B8B"/>
    <w:rsid w:val="00C75E2C"/>
    <w:rsid w:val="00CD79F6"/>
    <w:rsid w:val="00D217C2"/>
    <w:rsid w:val="00D2550C"/>
    <w:rsid w:val="00E032A1"/>
    <w:rsid w:val="00E03730"/>
    <w:rsid w:val="00F6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9C6B1F37-5628-443E-8EA4-E049156A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B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14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Arial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8614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Arial" w:hAnsi="Arial" w:cs="Arial"/>
      <w:sz w:val="20"/>
      <w:szCs w:val="20"/>
    </w:rPr>
  </w:style>
  <w:style w:type="character" w:styleId="a7">
    <w:name w:val="page number"/>
    <w:uiPriority w:val="99"/>
    <w:rsid w:val="00482B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</vt:lpstr>
    </vt:vector>
  </TitlesOfParts>
  <Company>Домашняя лицензия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Пряничников</dc:creator>
  <cp:keywords/>
  <dc:description/>
  <cp:lastModifiedBy>admin</cp:lastModifiedBy>
  <cp:revision>2</cp:revision>
  <cp:lastPrinted>2008-03-04T13:59:00Z</cp:lastPrinted>
  <dcterms:created xsi:type="dcterms:W3CDTF">2014-02-22T20:29:00Z</dcterms:created>
  <dcterms:modified xsi:type="dcterms:W3CDTF">2014-02-22T20:29:00Z</dcterms:modified>
</cp:coreProperties>
</file>