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23" w:rsidRPr="00B635B9" w:rsidRDefault="001F5823" w:rsidP="001F5823">
      <w:pPr>
        <w:spacing w:before="120"/>
        <w:jc w:val="center"/>
        <w:rPr>
          <w:b/>
          <w:bCs/>
          <w:sz w:val="32"/>
          <w:szCs w:val="32"/>
        </w:rPr>
      </w:pPr>
      <w:r w:rsidRPr="00B635B9">
        <w:rPr>
          <w:b/>
          <w:bCs/>
          <w:sz w:val="32"/>
          <w:szCs w:val="32"/>
        </w:rPr>
        <w:t>Электродные потенциалы. Электродвижущие силы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Для определения направления и полноты протекания окислительно-восстановительных реакций между окислительно-восстановительными системами в водных растворах используются значения электродных потенциалов этих систем.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Механизм возникновения электродных потенциалов, их количественное определение, процессы, которые сопровождаются возникновением электрического тока или вызваны электрическим током, изучаются особым разделом химии – электрохимией.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К электрохимическим относятся явления, возникающие на границе двух фаз с участием заряженных частиц (ионов и электронов), например, при погружении металлической пластинки в воду.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114.75pt" fillcolor="window">
            <v:imagedata r:id="rId4" o:title=""/>
          </v:shape>
        </w:pict>
      </w:r>
      <w:r>
        <w:pict>
          <v:shape id="_x0000_i1026" type="#_x0000_t75" style="width:102pt;height:113.25pt" fillcolor="window">
            <v:imagedata r:id="rId5" o:title=""/>
          </v:shape>
        </w:pic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Для всех металлов характерно свойство в большей или меньшей степени растворяться в воде. При этом в воду переходят положительно заряженные ионы металла, в результате чего пластинка (из-за появления в ней избыточных электронов) заряжается отрицательно. Гидратированные катионы металла скапливаются возле поверхности пластинки на границе раздела двух фаз (металл-раствор). Возникает двойной электрический слой, характеризующийся некоторой разностью электростатических потенциалов. Как известно, энергию, которую необходимо затратить (положительный потенциал) или которую можно получить (отрицательный потенциал) при переносе единицы электричества из бесконечности в данную точку, называют электрическим потенциалом. Между пластинкой и раствором устанавливается окислительно-восстановительное равновесие: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27" type="#_x0000_t75" style="width:250.5pt;height:43.5pt" fillcolor="window">
            <v:imagedata r:id="rId6" o:title=""/>
          </v:shape>
        </w:pict>
      </w:r>
      <w:r w:rsidR="001F5823" w:rsidRPr="008F518F">
        <w:t xml:space="preserve"> . (9.1)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 xml:space="preserve">При погружении металла в раствор его соли также возникает двойной 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электрический слой, но в этом случае возможны два механизма его образования. Если концентрация катионов металла в растворе мала или металл довольно активный, вследствие чего равновесие процесса, указанного выше, сдвинуто вправо, то металлическая пластинка заряжается отрицательно:</w:t>
      </w:r>
    </w:p>
    <w:p w:rsidR="001F5823" w:rsidRPr="008F518F" w:rsidRDefault="0045357A" w:rsidP="001F5823">
      <w:pPr>
        <w:spacing w:before="120"/>
        <w:ind w:firstLine="567"/>
        <w:jc w:val="both"/>
      </w:pPr>
      <w:r>
        <w:rPr>
          <w:noProof/>
        </w:rPr>
        <w:pict>
          <v:shape id="_x0000_s1026" type="#_x0000_t75" style="position:absolute;left:0;text-align:left;margin-left:9.35pt;margin-top:39.9pt;width:233.75pt;height:186.2pt;z-index:-251658240" wrapcoords="-35 0 -35 21557 21600 21557 21600 0 -35 0">
            <v:imagedata r:id="rId7" o:title="" gain="192753f" grayscale="t"/>
            <w10:wrap type="tight"/>
          </v:shape>
        </w:pict>
      </w:r>
      <w:r>
        <w:pict>
          <v:shape id="_x0000_i1028" type="#_x0000_t75" style="width:101.25pt;height:108pt" fillcolor="window">
            <v:imagedata r:id="rId8" o:title=""/>
          </v:shape>
        </w:pic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 xml:space="preserve">В том случае, когда концентрация катионов металла в растворе велика или металл малоактивный, равновесие </w:t>
      </w:r>
      <w:r w:rsidRPr="008F518F">
        <w:lastRenderedPageBreak/>
        <w:t>указанного процесса сдвигается влево и металлическая пластинка заряжается положительно:</w:t>
      </w:r>
    </w:p>
    <w:p w:rsidR="001F5823" w:rsidRPr="008F518F" w:rsidRDefault="001F5823" w:rsidP="001F5823">
      <w:pPr>
        <w:spacing w:before="120"/>
        <w:ind w:firstLine="567"/>
        <w:jc w:val="both"/>
      </w:pP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В любом случае на границе раздела двух фаз образуется двойной электрический слой. Разность (скачок) потенциалов, возникающая между металлом и жидкой фазой, называется электродным потенциалом Е. Потенциалу металла приписывается тот знак, который возникает на его поверхности в двойном электрическом слое.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Пластинка металла и раствор его соли (т.е. катионы этого металла) вместе составляют единую окислительно-восстановительную систему, характеризующуюся определенным электродным потенциалом, который зависит от природы металла, концентрации его ионов в растворе, от температуры и рН среды.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При определении скачка потенциала в окислительно-восстановительных системах, не содержащих твердой фазы (например, MnO4-/Mn2+ или Cr2O72-/Cr3+), используют инертные электроды (благородные металлы, графит). В этом случае инертные электроды, адсорбируя из раствора молекулы, атомы или ионы, играют роль твердой фазы, обеспечивающей возникновение скачка потенциалов на межфазной границе.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Экспериментально определить абсолютное значение электродного потенциала невозможно. Поэтому на практике измеряется разность потенциалов между электродным потенциалом исследуемой системы и потенциалом электрода сравнения. В качестве стандартного электрода сравнения обычно используют водородный электрод. Он изготавливается из губчатой платины, погруженной в раствор H2SO4 c активностью ионов водорода, равной единице (что соответствует примерно их концентрации, равной 1 моль/л). Через раствор при 298 К (25 оС) под давлением в 101,325 кПа пропускается газообразный водород, который поглощается губчатой платиновой пластиной.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Рис.9.1 Гальваническая цепь для измерения электродного потенциала: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I – водородный электрод, II – солевой мостик, III – измеряемый электрод.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Таким образом, поверхность платинового электрода фактически насыщена водородом, в результате чего в системе устанавливается равновесие: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29" type="#_x0000_t75" style="width:99pt;height:30pt" fillcolor="window">
            <v:imagedata r:id="rId9" o:title=""/>
          </v:shape>
        </w:pict>
      </w:r>
      <w:r w:rsidR="001F5823" w:rsidRPr="008F518F">
        <w:t xml:space="preserve"> , (9.2)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 xml:space="preserve">которое характеризуется определенным значением скачка потенциала на межфазной границе. Электродный потенциал, отвечающий данным условиям, получил название стандартного водородного потенциала </w:t>
      </w:r>
      <w:r w:rsidR="0045357A">
        <w:pict>
          <v:shape id="_x0000_i1030" type="#_x0000_t75" style="width:39pt;height:21.75pt" fillcolor="window">
            <v:imagedata r:id="rId10" o:title=""/>
          </v:shape>
        </w:pict>
      </w:r>
      <w:r w:rsidRPr="008F518F">
        <w:t>, а его численное значение условно принято равным нулю. Потенциал водородного электрода воспроизводится с очень высокой точностью.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Сочетая электрод, представляющий исследуемую окислительно-восстановительную систему, со стандартным водородным электродом, определяют электродный потенциал Е данной системы. Для того, чтобы можно было сравнивать окислительно-восстановительные свойства различных систем по их электродным потенциалам, необходимо, чтобы последние также были измерены при стандартных условиях. Таковыми обычно являются концентрация ионов, равная 1 моль/л, давление газообразных веществ 101,325 кПа и температура 298,15 К. Потенциалы, измеренные в таких условиях, носят название стандартных электродных потенциалов и обозначаются Ео. Они часто называются также окислительно-восстановительными или редокс-потенциалами, представляя собой разность между редокс-потенциалом системы при стандартных условиях и потенциалом стандартного водородного электрода.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Знак конкретного Ео соответствует заряду электрода по отношению к стандартному водородному электроду.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Стандартный электродный потенциал – это потенциал данного электродного процесса при концентрациях всех участвующих в нем веществ, равных единице.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Стандартные электродные потенциалы окислительно-восстановительных систем приводятся в справочной литературе. Эти системы записаны в форме уравнений полуреакций восстановления, в левой части которых находятся атомы, ионы или молекулы, принимающие электроны (окисленная форма):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Ox + n</w:t>
      </w:r>
      <w:r w:rsidRPr="008F518F">
        <w:sym w:font="Symbol" w:char="F0D7"/>
      </w:r>
      <w:r w:rsidR="0045357A">
        <w:pict>
          <v:shape id="_x0000_i1031" type="#_x0000_t75" style="width:9pt;height:21.75pt" fillcolor="window">
            <v:imagedata r:id="rId11" o:title=""/>
          </v:shape>
        </w:pict>
      </w:r>
      <w:r w:rsidRPr="008F518F">
        <w:t xml:space="preserve"> = Red. (9.3)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Эти системы в таблицах расположены в порядке возрастания величин их потенциалов, что соответствует падению восстановительной и росту окислительной активности. Система с большим электродным потенциалом всегда является окислителем по отношению к системе с меньшим потенциалом.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Выделяя из этого ряда окислительно-восстановительные системы типа Меn+/Me и располагая их в порядке возрастания стандартных электродных потенциалов, получают электрохимический ряд напряжений металлов: Li, Rb, K, Ba, Sr, Ca, Na, Mg, Al, Mn, Zn, Cr, Fe, Cd, Co, Ni, Sn, Pb, H2, Bi, Cu, Hg, Ag, Pd, Pt, Au.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Электрохимический ряд напряжений характеризует свойства металлов в водных растворах: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чем меньше электродный потенциал металла, тем легче он окисляется и труднее восстанавливается из своих ионов;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металлы, имеющие отрицательные электродные потенциалы, т.е. стоящие в ряду напряжений левее водорода, способны вытеснять его из разбавленных растворов кислот;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каждый металл способен вытеснять (восстанавливать) из растворов солей те металлы, которые имеют более высокий электродный потенциал.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 xml:space="preserve">При условиях, отличающихся от стандартных, численное значение равновесного электродного потенциала для окислительно-восстановительной системы, записанной в форме </w:t>
      </w:r>
      <w:r w:rsidR="0045357A">
        <w:pict>
          <v:shape id="_x0000_i1032" type="#_x0000_t75" style="width:80.25pt;height:15.75pt" fillcolor="window">
            <v:imagedata r:id="rId12" o:title=""/>
          </v:shape>
        </w:pict>
      </w:r>
      <w:r w:rsidRPr="008F518F">
        <w:t>, определяется по уравнению Нернста: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33" type="#_x0000_t75" style="width:219pt;height:42pt" fillcolor="window">
            <v:imagedata r:id="rId13" o:title=""/>
          </v:shape>
        </w:pict>
      </w:r>
      <w:r w:rsidR="001F5823" w:rsidRPr="008F518F">
        <w:t xml:space="preserve"> (9.4)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 xml:space="preserve">где </w:t>
      </w:r>
      <w:r w:rsidR="0045357A">
        <w:pict>
          <v:shape id="_x0000_i1034" type="#_x0000_t75" style="width:40.5pt;height:20.25pt" fillcolor="window">
            <v:imagedata r:id="rId14" o:title=""/>
          </v:shape>
        </w:pict>
      </w:r>
      <w:r w:rsidRPr="008F518F">
        <w:t xml:space="preserve"> и </w:t>
      </w:r>
      <w:r w:rsidR="0045357A">
        <w:pict>
          <v:shape id="_x0000_i1035" type="#_x0000_t75" style="width:39.75pt;height:20.25pt" fillcolor="window">
            <v:imagedata r:id="rId15" o:title=""/>
          </v:shape>
        </w:pict>
      </w:r>
      <w:r w:rsidRPr="008F518F">
        <w:t xml:space="preserve"> - соответственно электродный и стандартный потенциалы системы; R – универсальная газовая постоянная; Т – абсолютная температура; F – постоянная Фарадея; n – число электронов, участвующих в окислительно-восстановительном процессе.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С(Red) и C(Ox) – молярные концентрации соответственно восстановленной и окисленной форм соединения.</w:t>
      </w:r>
    </w:p>
    <w:p w:rsidR="001F5823" w:rsidRPr="008F518F" w:rsidRDefault="0045357A" w:rsidP="001F5823">
      <w:pPr>
        <w:spacing w:before="120"/>
        <w:ind w:firstLine="567"/>
        <w:jc w:val="both"/>
        <w:rPr>
          <w:lang w:val="en-US"/>
        </w:rPr>
      </w:pPr>
      <w:r>
        <w:rPr>
          <w:lang w:val="en-US"/>
        </w:rPr>
        <w:pict>
          <v:shape id="_x0000_i1036" type="#_x0000_t75" style="width:117pt;height:65.25pt" fillcolor="window">
            <v:imagedata r:id="rId16" o:title=""/>
          </v:shape>
        </w:pict>
      </w:r>
      <w:r w:rsidR="001F5823" w:rsidRPr="008F518F">
        <w:rPr>
          <w:lang w:val="en-US"/>
        </w:rPr>
        <w:t xml:space="preserve">, </w:t>
      </w:r>
      <w:r w:rsidR="001F5823" w:rsidRPr="008F518F">
        <w:t>когда</w:t>
      </w:r>
      <w:r w:rsidR="001F5823" w:rsidRPr="008F518F">
        <w:rPr>
          <w:lang w:val="en-US"/>
        </w:rPr>
        <w:t xml:space="preserve"> C(Red) = C(Ox) = 1.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При подстановке численных значений R = 8,314 Дж/(моль</w:t>
      </w:r>
      <w:r w:rsidRPr="008F518F">
        <w:sym w:font="Symbol" w:char="F0D7"/>
      </w:r>
      <w:r w:rsidRPr="008F518F">
        <w:t>К), F=96494 Кл и Т (298 К) и замене натуральных логарифмов на десятичные уравнение упрощается: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37" type="#_x0000_t75" style="width:231.75pt;height:42pt" fillcolor="window">
            <v:imagedata r:id="rId17" o:title=""/>
          </v:shape>
        </w:pict>
      </w:r>
      <w:r w:rsidR="001F5823" w:rsidRPr="008F518F">
        <w:t xml:space="preserve">. (9.5) 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Например, для окислительно-восстановительной системы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38" type="#_x0000_t75" style="width:207.75pt;height:27.75pt" fillcolor="window">
            <v:imagedata r:id="rId18" o:title=""/>
          </v:shape>
        </w:pic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уравнение Нернста имеет вид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39" type="#_x0000_t75" style="width:279.75pt;height:48.75pt" fillcolor="window">
            <v:imagedata r:id="rId19" o:title=""/>
          </v:shape>
        </w:pict>
      </w:r>
      <w:r w:rsidR="001F5823" w:rsidRPr="008F518F">
        <w:t xml:space="preserve">. 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Ячейка для измерения электродного потенциала, например элемент Якоби-Даниэля, представляет собой пример электрохимического (гальванического) элемента – устройства, в котором химическая энергия окислительно-восстановительной реакции непосредственно преобразуется в электрический ток. Их называют также химическими источниками электрической энергии (ХИЭЭ).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 xml:space="preserve">Гальванический элемент состоит из двух полуэлементов (окислительно-восстановительных систем), соединенных между собой металлическим проводником и солевым мостиком. На каждом полуэлементе (часто называемом электродом) происходит полуреакция (электродный процесс). Процесс окисления (отдача электронов) осуществляется на аноде (отрицательный полюс), а восстановления (прием электронов) – на катоде (положительный полюс). Например, в представленном гальваническом элементе анодом является цинковый электрод: </w:t>
      </w:r>
      <w:r w:rsidR="0045357A">
        <w:pict>
          <v:shape id="_x0000_i1040" type="#_x0000_t75" style="width:108pt;height:22.5pt" fillcolor="window">
            <v:imagedata r:id="rId20" o:title=""/>
          </v:shape>
        </w:pic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а катодом – водородный или медный электрод: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2Н+ + 2</w:t>
      </w:r>
      <w:r w:rsidR="0045357A">
        <w:pict>
          <v:shape id="_x0000_i1041" type="#_x0000_t75" style="width:24.75pt;height:17.25pt" fillcolor="window">
            <v:imagedata r:id="rId21" o:title=""/>
          </v:shape>
        </w:pict>
      </w:r>
      <w:r w:rsidRPr="008F518F">
        <w:t xml:space="preserve"> Н2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42" type="#_x0000_t75" style="width:11.25pt;height:20.25pt" fillcolor="window">
            <v:imagedata r:id="rId22" o:title=""/>
          </v:shape>
        </w:pict>
      </w:r>
      <w:r w:rsidR="001F5823" w:rsidRPr="008F518F">
        <w:t xml:space="preserve"> </w:t>
      </w:r>
      <w:r>
        <w:pict>
          <v:shape id="_x0000_i1043" type="#_x0000_t75" style="width:84pt;height:17.25pt" fillcolor="window">
            <v:imagedata r:id="rId23" o:title=""/>
          </v:shape>
        </w:pict>
      </w:r>
      <w:r w:rsidR="001F5823" w:rsidRPr="008F518F">
        <w:t>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Электроны от анода по внешней цели протекают к катоду. Соответствующая схема такого гальванического элемента записывается следующим образом: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44" type="#_x0000_t75" style="width:175.5pt;height:21pt" fillcolor="window">
            <v:imagedata r:id="rId24" o:title=""/>
          </v:shape>
        </w:pict>
      </w:r>
      <w:r w:rsidR="001F5823" w:rsidRPr="008F518F">
        <w:t xml:space="preserve"> - водородный катод;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(</w:t>
      </w:r>
      <w:r w:rsidRPr="008F518F">
        <w:sym w:font="Symbol" w:char="F02D"/>
      </w:r>
      <w:r w:rsidRPr="008F518F">
        <w:t>) Zn</w:t>
      </w:r>
      <w:r w:rsidRPr="008F518F">
        <w:sym w:font="Symbol" w:char="F0BD"/>
      </w:r>
      <w:r w:rsidRPr="008F518F">
        <w:t xml:space="preserve">Zn2+ </w:t>
      </w:r>
      <w:r w:rsidRPr="008F518F">
        <w:sym w:font="Symbol" w:char="F0EA"/>
      </w:r>
      <w:r w:rsidRPr="008F518F">
        <w:sym w:font="Symbol" w:char="F0EA"/>
      </w:r>
      <w:r w:rsidR="0045357A">
        <w:pict>
          <v:shape id="_x0000_i1045" type="#_x0000_t75" style="width:90pt;height:26.25pt" fillcolor="window">
            <v:imagedata r:id="rId25" o:title=""/>
          </v:shape>
        </w:pict>
      </w:r>
      <w:r w:rsidRPr="008F518F">
        <w:t xml:space="preserve"> - медный катод.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На схеме одна вертикальная линия изображает границу раздела фаз (элетрод-раствор), а две вертикальные линии – границу между растворами (на практике она обычно обеспечивается с помощью солевого мостика – U-образной трубки с раствором электролита, необходимого для замыкания цели между двумя электродами).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Причиной возникновения и протекания электрического тока в гальваническом элементе является разность электродных потенциалов (э.д.с) двух окислительно-восстановительных систем, соединенных между собой. Э.д.с (</w:t>
      </w:r>
      <w:r w:rsidRPr="008F518F">
        <w:sym w:font="Symbol" w:char="F044"/>
      </w:r>
      <w:r w:rsidRPr="008F518F">
        <w:t>Е) любого гальванического элемента определяется общей формулой: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46" type="#_x0000_t75" style="width:81pt;height:21pt" fillcolor="window">
            <v:imagedata r:id="rId26" o:title=""/>
          </v:shape>
        </w:pic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где Ек и Еа – электродный потенциал соответственно на катоде и на аноде.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 xml:space="preserve">Так как </w:t>
      </w:r>
      <w:r w:rsidR="0045357A">
        <w:pict>
          <v:shape id="_x0000_i1047" type="#_x0000_t75" style="width:18.75pt;height:12.75pt" fillcolor="window">
            <v:imagedata r:id="rId27" o:title=""/>
          </v:shape>
        </w:pict>
      </w:r>
      <w:r w:rsidRPr="008F518F">
        <w:t xml:space="preserve"> может иметь только положительное значение, то Ек &gt; Еа, т.е. катодом является электрод с более высоким электродным потенциалом.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При таком осуществлении окислительно-восстановительной реакции ее энергия превращается в электрическую энергию, которую можно использовать, включив во внешнюю цель устройство, потребляющее электрическую энергию (например, электронагревательный прибор, электрическую лампу и т.п.).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Действие любого гальванического элемента основано на протекании в нем окислительно-восстановительной реакции. В простейшем случае гальванический элемент состоит из двух пластин или стержней, изготовленных из различных металлов и погруженных в раствор электролита. Такая система делает возможным пространственное разделение окислительно-восстановительной реакции: окисление протекает на одном металле, а восстановление – на другом. Таким образом, электроны передаются от восстановителя к окислителю по внешней цепи. Например, элемент Якоби-Даниэля: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48" type="#_x0000_t75" style="width:134.25pt;height:18pt" fillcolor="window">
            <v:imagedata r:id="rId28" o:title=""/>
          </v:shape>
        </w:pict>
      </w:r>
      <w:r w:rsidR="001F5823" w:rsidRPr="008F518F">
        <w:t>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В принципе электрическую энергию может дать любая окислительно-восстановительная реакция. Однако число реакций, практически используемых в химических источниках электрической энергии, невелико.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Все обычные ХИЭЭ не свободны от недостатков: стоимость веществ, необходимых для их работы (Pb, Cd и т.д.) высока; отношение количества энергии, которую может дать элемент, к его массе мало.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Протекание окислительно-восстановительных процессов в сильной степени зависит от различных условий, прежде всего от природы реагирующих веществ, их концентрации, температуры и характера среды.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Так, концентрированная и разбавленная HNO3 по-разному восстанавливается при взаимодействии с одним и тем же восстановителем: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49" type="#_x0000_t75" style="width:323.25pt;height:23.25pt" fillcolor="window">
            <v:imagedata r:id="rId29" o:title=""/>
          </v:shape>
        </w:pict>
      </w:r>
      <w:r w:rsidR="001F5823" w:rsidRPr="008F518F">
        <w:t>;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50" type="#_x0000_t75" style="width:342pt;height:23.25pt" fillcolor="window">
            <v:imagedata r:id="rId30" o:title=""/>
          </v:shape>
        </w:pict>
      </w:r>
      <w:r w:rsidR="001F5823" w:rsidRPr="008F518F">
        <w:t>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Классическим примером различия характера протекания реакций с одними и теми же окислителями и восстановителями является восстановление KМnO4 в зависимости от реакции среды: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 xml:space="preserve">рН &lt; 7 </w:t>
      </w:r>
      <w:r w:rsidR="0045357A">
        <w:pict>
          <v:shape id="_x0000_i1051" type="#_x0000_t75" style="width:391.5pt;height:23.25pt" fillcolor="window">
            <v:imagedata r:id="rId31" o:title=""/>
          </v:shape>
        </w:pic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 xml:space="preserve">pH = 7 </w:t>
      </w:r>
      <w:r w:rsidR="0045357A">
        <w:pict>
          <v:shape id="_x0000_i1052" type="#_x0000_t75" style="width:366pt;height:23.25pt" fillcolor="window">
            <v:imagedata r:id="rId32" o:title=""/>
          </v:shape>
        </w:pic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 xml:space="preserve">pH &gt; 7 </w:t>
      </w:r>
      <w:r w:rsidR="0045357A">
        <w:pict>
          <v:shape id="_x0000_i1053" type="#_x0000_t75" style="width:380.25pt;height:24pt" fillcolor="window">
            <v:imagedata r:id="rId33" o:title=""/>
          </v:shape>
        </w:pic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Как правило, для создания кислой среды используют относительно разбавленную Н2SO4 (реже HCl). Щелочная среда обычно создается с помощью растворов КОН и NaОН.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Изменение величины электродного потенциала каждой из двух полуреакций суммарного окислительно-восстановительного процесса и даже смена его направления могут быть достигнуты также за счет изменения температуры: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54" type="#_x0000_t75" style="width:392.25pt;height:46.5pt" fillcolor="window">
            <v:imagedata r:id="rId34" o:title=""/>
          </v:shape>
        </w:pict>
      </w:r>
      <w:r w:rsidR="001F5823" w:rsidRPr="008F518F">
        <w:t>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С помощью электродных потенциалов достаточно просто решается вопрос о составлении уравнений окислительно-восстановительных реакций, направлении и полноте их самопроизвольного протекания и т.п.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 xml:space="preserve">Как известно, термодинамическим условием самопроизвольного протекания химического процесса является отрицательное значение изменения изобарно-изотермического потенциала, т.е. </w:t>
      </w:r>
      <w:r w:rsidRPr="008F518F">
        <w:sym w:font="Symbol" w:char="F044"/>
      </w:r>
      <w:r w:rsidRPr="008F518F">
        <w:t>G &lt; 0. Взаимосвязь между этой термодинамической функцией и э.д.с. гальванического элемента, составленного из двух окислительно-восстановительных систем, выражается формулой;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55" type="#_x0000_t75" style="width:90pt;height:20.25pt" fillcolor="window">
            <v:imagedata r:id="rId35" o:title=""/>
          </v:shape>
        </w:pic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где n – число электронов, участвующих в суммарном окислительно-восстановительном процессе.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Из последнего выражения следует, что термодинамическим условием самопроизвольного протекания процесса в прямом направлении является положительное значение э.д.с (</w:t>
      </w:r>
      <w:r w:rsidRPr="008F518F">
        <w:sym w:font="Symbol" w:char="F044"/>
      </w:r>
      <w:r w:rsidRPr="008F518F">
        <w:t>Е), когда система с более высоким значением электродного потенциала выступает в качестве окислителя, т.е. восстанавливается. Например, в гальваническом элементе, состоящем из двух электродов, характеризующихся следующими параметрами: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56" type="#_x0000_t75" style="width:105pt;height:19.5pt" fillcolor="window">
            <v:imagedata r:id="rId36" o:title=""/>
          </v:shape>
        </w:pict>
      </w:r>
      <w:r w:rsidR="001F5823" w:rsidRPr="008F518F">
        <w:t xml:space="preserve"> </w:t>
      </w:r>
      <w:r>
        <w:pict>
          <v:shape id="_x0000_i1057" type="#_x0000_t75" style="width:98.25pt;height:23.25pt" fillcolor="window">
            <v:imagedata r:id="rId37" o:title=""/>
          </v:shape>
        </w:pic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58" type="#_x0000_t75" style="width:105pt;height:19.5pt" fillcolor="window">
            <v:imagedata r:id="rId38" o:title=""/>
          </v:shape>
        </w:pict>
      </w:r>
      <w:r w:rsidR="001F5823" w:rsidRPr="008F518F">
        <w:t xml:space="preserve"> </w:t>
      </w:r>
      <w:r>
        <w:pict>
          <v:shape id="_x0000_i1059" type="#_x0000_t75" style="width:99pt;height:23.25pt" fillcolor="window">
            <v:imagedata r:id="rId39" o:title=""/>
          </v:shape>
        </w:pic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суммарный окислительно-восстановительный процесс самопроизвольно осуществляется при условии протекания восстановительной реакции только на медном электроде, а окислительной – на цинковом. Следовательно, в объединенном уравнении электродная реакция процесса с меньшим потенциалом записывается в обратном направлении, а процесса с большим потенциалом – в том виде, в каком она представлена в таблице, т.е. в форме процесса восстановления: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60" type="#_x0000_t75" style="width:117pt;height:15.75pt" fillcolor="window">
            <v:imagedata r:id="rId40" o:title=""/>
          </v:shape>
        </w:pic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61" type="#_x0000_t75" style="width:228.75pt;height:20.25pt" fillcolor="window">
            <v:imagedata r:id="rId41" o:title=""/>
          </v:shape>
        </w:pict>
      </w:r>
      <w:r w:rsidR="001F5823" w:rsidRPr="008F518F">
        <w:t>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Если окислитель и восстановитель расположены достаточно далеко друг от друга в ряду стандартных электродных потенциалов, то направление окислительно-восстановительного процесса практически однозначно определяется их взаимным положением в этом ряду. При близких значениях Ео (разница меньше 0,3 В) необходимо учитывать, помимо рН среды и температуры, также концентрации реагирующих веществ, поскольку при изменении этих параметров процесса зачастую может изменяться и направление его протекания.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 xml:space="preserve">Применяя значение </w:t>
      </w:r>
      <w:r w:rsidRPr="008F518F">
        <w:sym w:font="Symbol" w:char="F044"/>
      </w:r>
      <w:r w:rsidRPr="008F518F">
        <w:t xml:space="preserve">Ео окислительно-восстановительной реакции, можно рассчитать ее константу равновесия. Для суммарного процесса типа </w:t>
      </w:r>
      <w:r w:rsidR="0045357A">
        <w:pict>
          <v:shape id="_x0000_i1062" type="#_x0000_t75" style="width:143.25pt;height:19.5pt" fillcolor="window">
            <v:imagedata r:id="rId42" o:title=""/>
          </v:shape>
        </w:pict>
      </w:r>
      <w:r w:rsidRPr="008F518F">
        <w:t xml:space="preserve"> уравнение Нернста (при 298,15 К) имеет вид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63" type="#_x0000_t75" style="width:231pt;height:50.25pt" fillcolor="window">
            <v:imagedata r:id="rId43" o:title=""/>
          </v:shape>
        </w:pict>
      </w:r>
      <w:r w:rsidR="001F5823" w:rsidRPr="008F518F">
        <w:t>. (9.6)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Отношение концентраций представляет собой выражение константы равновесия окислительно-восстановительного процесса: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64" type="#_x0000_t75" style="width:110.25pt;height:33.75pt" fillcolor="window">
            <v:imagedata r:id="rId44" o:title=""/>
          </v:shape>
        </w:pic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 xml:space="preserve">По мере протекания процесса концентрации Ох1 и Red2 уменьшаются, а Red1 и Ох2 – увеличиваются, что приводит в результате к значению </w:t>
      </w:r>
      <w:r w:rsidRPr="008F518F">
        <w:sym w:font="Symbol" w:char="F044"/>
      </w:r>
      <w:r w:rsidRPr="008F518F">
        <w:t xml:space="preserve">Е = 0 и, следовательно, к </w:t>
      </w:r>
      <w:r w:rsidRPr="008F518F">
        <w:sym w:font="Symbol" w:char="F044"/>
      </w:r>
      <w:r w:rsidRPr="008F518F">
        <w:t>G = 0, характеризующему состояние равновесия:</w:t>
      </w:r>
    </w:p>
    <w:p w:rsidR="001F5823" w:rsidRPr="008F518F" w:rsidRDefault="0045357A" w:rsidP="001F5823">
      <w:pPr>
        <w:spacing w:before="120"/>
        <w:ind w:firstLine="567"/>
        <w:jc w:val="both"/>
      </w:pPr>
      <w:r>
        <w:rPr>
          <w:noProof/>
        </w:rPr>
        <w:object w:dxaOrig="1440" w:dyaOrig="1440">
          <v:shape id="_x0000_s1027" type="#_x0000_t75" style="position:absolute;left:0;text-align:left;margin-left:162pt;margin-top:3.4pt;width:137.6pt;height:43.5pt;z-index:251657216" fillcolor="window">
            <v:imagedata r:id="rId45" o:title=""/>
            <w10:wrap type="square" side="left"/>
          </v:shape>
          <o:OLEObject Type="Embed" ProgID="Equation.3" ShapeID="_x0000_s1027" DrawAspect="Content" ObjectID="_1454333180" r:id="rId46"/>
        </w:object>
      </w:r>
      <w:r w:rsidR="001F5823" w:rsidRPr="008F518F">
        <w:t xml:space="preserve"> 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 xml:space="preserve">откуда К можно рассчитать по выражению: </w:t>
      </w:r>
    </w:p>
    <w:p w:rsidR="001F5823" w:rsidRPr="008F518F" w:rsidRDefault="0045357A" w:rsidP="001F5823">
      <w:pPr>
        <w:spacing w:before="120"/>
        <w:ind w:firstLine="567"/>
        <w:jc w:val="both"/>
      </w:pPr>
      <w:r>
        <w:pict>
          <v:shape id="_x0000_i1066" type="#_x0000_t75" style="width:81.75pt;height:40.5pt" fillcolor="window">
            <v:imagedata r:id="rId47" o:title=""/>
          </v:shape>
        </w:pict>
      </w:r>
      <w:r w:rsidR="001F5823" w:rsidRPr="008F518F">
        <w:t>.</w:t>
      </w:r>
    </w:p>
    <w:p w:rsidR="001F5823" w:rsidRPr="00B635B9" w:rsidRDefault="001F5823" w:rsidP="001F5823">
      <w:pPr>
        <w:spacing w:before="120"/>
        <w:jc w:val="center"/>
        <w:rPr>
          <w:b/>
          <w:bCs/>
          <w:sz w:val="28"/>
          <w:szCs w:val="28"/>
        </w:rPr>
      </w:pPr>
      <w:r w:rsidRPr="00B635B9">
        <w:rPr>
          <w:b/>
          <w:bCs/>
          <w:sz w:val="28"/>
          <w:szCs w:val="28"/>
        </w:rPr>
        <w:t>Список литературы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Глинка Н.Л. Общая химия. – Л.: Химия, 1978. – С. 270–290.</w:t>
      </w:r>
    </w:p>
    <w:p w:rsidR="001F5823" w:rsidRPr="008F518F" w:rsidRDefault="001F5823" w:rsidP="001F5823">
      <w:pPr>
        <w:spacing w:before="120"/>
        <w:ind w:firstLine="567"/>
        <w:jc w:val="both"/>
      </w:pPr>
      <w:r w:rsidRPr="008F518F">
        <w:t>Шиманович И.Е., Павлович М.Л., Тикавый В.Ф., Малашко П.М. Общая химия в формулах, определениях, схемах. – Мн.: Унiверсiтэцкае, 1996. – С. 142 – 155.</w:t>
      </w:r>
    </w:p>
    <w:p w:rsidR="001F5823" w:rsidRDefault="001F5823" w:rsidP="001F5823">
      <w:pPr>
        <w:spacing w:before="120"/>
        <w:ind w:firstLine="567"/>
        <w:jc w:val="both"/>
      </w:pPr>
      <w:r w:rsidRPr="008F518F">
        <w:t>Воробьев В.К., Елисеев С.Ю., Врублевский А.В. Практические и самостоятельные работы по химии. – Мн.: УП «Донарит», 2005. – С. 75-81.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823"/>
    <w:rsid w:val="00051FB8"/>
    <w:rsid w:val="00095BA6"/>
    <w:rsid w:val="001F5823"/>
    <w:rsid w:val="00210DB3"/>
    <w:rsid w:val="0031418A"/>
    <w:rsid w:val="00350B15"/>
    <w:rsid w:val="00377A3D"/>
    <w:rsid w:val="0045357A"/>
    <w:rsid w:val="0052086C"/>
    <w:rsid w:val="005A2562"/>
    <w:rsid w:val="00755964"/>
    <w:rsid w:val="007D679E"/>
    <w:rsid w:val="008C19D7"/>
    <w:rsid w:val="008F518F"/>
    <w:rsid w:val="00A44D32"/>
    <w:rsid w:val="00B635B9"/>
    <w:rsid w:val="00E12572"/>
    <w:rsid w:val="00E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  <w14:defaultImageDpi w14:val="0"/>
  <w15:docId w15:val="{D3F92067-EDB7-4A93-9D12-15DD1FF4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82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5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3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41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" Type="http://schemas.openxmlformats.org/officeDocument/2006/relationships/image" Target="media/image2.png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2151</Words>
  <Characters>12263</Characters>
  <Application>Microsoft Office Word</Application>
  <DocSecurity>0</DocSecurity>
  <Lines>102</Lines>
  <Paragraphs>28</Paragraphs>
  <ScaleCrop>false</ScaleCrop>
  <Company>Home</Company>
  <LinksUpToDate>false</LinksUpToDate>
  <CharactersWithSpaces>14386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Электродные потенциалы</dc:title>
  <dc:subject/>
  <dc:creator>Alena</dc:creator>
  <cp:keywords/>
  <dc:description/>
  <cp:lastModifiedBy>admin</cp:lastModifiedBy>
  <cp:revision>2</cp:revision>
  <dcterms:created xsi:type="dcterms:W3CDTF">2014-02-19T14:40:00Z</dcterms:created>
  <dcterms:modified xsi:type="dcterms:W3CDTF">2014-02-19T14:40:00Z</dcterms:modified>
</cp:coreProperties>
</file>