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18" w:rsidRDefault="00D50E18">
      <w:pPr>
        <w:pStyle w:val="a4"/>
      </w:pPr>
      <w:r>
        <w:t>Государственное регулирование экономики.</w:t>
      </w:r>
    </w:p>
    <w:p w:rsidR="00D50E18" w:rsidRDefault="00D50E18"/>
    <w:p w:rsidR="00D50E18" w:rsidRDefault="00D50E18">
      <w:pPr>
        <w:jc w:val="center"/>
        <w:rPr>
          <w:sz w:val="28"/>
        </w:rPr>
      </w:pPr>
      <w:r>
        <w:rPr>
          <w:sz w:val="28"/>
        </w:rPr>
        <w:t>Тема: «Теневая экономика в современном мире».</w:t>
      </w:r>
    </w:p>
    <w:p w:rsidR="00D50E18" w:rsidRDefault="00D50E18"/>
    <w:p w:rsidR="00D50E18" w:rsidRDefault="00D50E18"/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Под «теневой экономикой» в настоящее время понимают всю совокупность экономической деятельности, которую не учитывает официальная статистика, и не включают в валовый национальный продукт страны.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В пространстве теневой экономики выделяют следующие основные зоны:</w:t>
      </w:r>
    </w:p>
    <w:p w:rsidR="00D50E18" w:rsidRDefault="00D50E1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неофициальная экономика – легальные виды экономической деятельности, в рамках которых имеет место не фиксируемое официальной статистикой производство товаров и услуг, сокрытие этой деятельности от налогов;</w:t>
      </w:r>
    </w:p>
    <w:p w:rsidR="00D50E18" w:rsidRDefault="00D50E1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фиктивная экономика – взяточничество, приписки, спекулятивные сделки и другие виды мошенничества, связанные с получением и передачей денег;</w:t>
      </w:r>
    </w:p>
    <w:p w:rsidR="00D50E18" w:rsidRDefault="00D50E1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подпольная экономика – все запрещенные законом виды экономической деятельности.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Во многих странах, и в особенности в тех, которые переживают сложные периоды трансформации. Теневая экономика не только составляет заметную часть экономической деятельности, но и продолжает расширяться. Однако даже там, где масштабы явления и общий социально-экономический фон и примерно одинаковы, теневые экономики существенно различаются, например, по следующим характеристикам:</w:t>
      </w:r>
    </w:p>
    <w:p w:rsidR="00D50E18" w:rsidRDefault="00D50E1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 структуре (доле криминальной деятельности в совокупном объеме производства, развитости фиктивной экономики, активности мелкого подпольного бизнеса, ускользающего из-под финансового контроля государства, но играющего, тем не менее, значительную роль в насыщении рынка);</w:t>
      </w:r>
    </w:p>
    <w:p w:rsidR="00D50E18" w:rsidRDefault="00D50E1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 воздействию на распределительные отношения (способствует или нет уменьшению или нивелированию дифференсации доходов);</w:t>
      </w:r>
    </w:p>
    <w:p w:rsidR="00D50E18" w:rsidRDefault="00D50E1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 основным проблемам, порождаемым его (недобор средств в бюджет, развитие криминогенных хозяйственных связей и так далее).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Можно сказать, что для всех стран, вступивших в период системных преобразований, масштабы распространения и структура теневой экономики должны рассматриваться в качестве важных успехов или неуспехов проводимых реформ.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Теневая экономика в России, коренным образом отличается не только от «западной», но и от «восточноевропейской». Некоторые объясняют нынешний размах теневого бизнеса в нашей стране исключительно генетическими предпосылками, сформированными еще при социализме. Другие – что специфика и масштабы теневой деятельности в современной России, прежде всего – продукты сегодняшнего дня, следствие избранной модели переустройства экономики и общества.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Экспансия теневых экономических отношений является в первую очередь результатом разрушения прежней государственности, что привело к разрыву традиционных связей между отдельными предприятиями и целыми территориями. Не последнюю роль в криминализации хозяйственной жизни России играет и значительное ослабление борьбы с экономическими преступлениями, оправдываемые тезисом о необходимости использования капиталов «теневой экономики» как ресурсной базы экономических реформ.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Наряду с этим, достаточно очевидными причинами существует целый ряд глубинных факторов. В первую очередь влияние на активизацию теневой экономики формирующихся на современном этапе развития реформы в России механизма аллокации ресурсов и власти; об особенностях соединения работника со средствами производства;  о специфике формирующихся распределительных отношений.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Реально возникшие в экономике страны на этапе трансформации трудности представителями крайних политических течений объясняются по-разному: одни ссылаются на сохранение значительных элементов прежней системы, другие кликушинствуют о бедах, которые несет России рынок. Вероятно, корни нынешних проблем следует искать, прежде всего, в специфике формируемых механизмов аллокации ресурсов и власти. В сегодняшней российской социально-экономической и политической реальности едва ли решающую роль играют механизмы локального корпоративного регулирования.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Суть нового механизма аллокации ресурсов сводится к тому, что отдельные институты экономической системы, используя определенные преимущества своего положения (высокий уровень концентрации производства и (или) капитала, корпоративная власть и так далее), получают возможность сознательно (хотя и в локальных, ограниченных масштабах) воздействовать на параметры производства поставщиков и потребителей, рынка, социальной жизни и так далее.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Проявления этого механизма в переходной экономике хорошо известны. Господство псевдо-государственных и псевдо-частных корпораций приводит к нарастанию, диспропорций, в первую очередь, в хозяйственной структуре, динамике цен, финансах и так далее.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В результате национальная экономика превращается в поле неэкономического соперничества корпоративно-бюрократических структур, в сферу столкновения их властных и регулирующих воздействий.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Среди наиболее серьезных последствий функционирования корпоративных механизмов аллокации ресурсов можно отметить произошедшую за последние годы дивергенцию страны на сильно и слабо корпоратизированные «сектора». В первом из них сконцентрированы:</w:t>
      </w:r>
    </w:p>
    <w:p w:rsidR="00D50E18" w:rsidRDefault="00D50E18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предприятия, являющиеся монополистами в технологическом, рыночном и институциональном отношениях;</w:t>
      </w:r>
    </w:p>
    <w:p w:rsidR="00D50E18" w:rsidRDefault="00D50E18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владеют решающими массами ликвидных ресурсов;</w:t>
      </w:r>
    </w:p>
    <w:p w:rsidR="00D50E18" w:rsidRDefault="00D50E18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корпоративно-бюрократическая власть.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К этому сектору относят ТЭК, финансово-торговый комплекс и часть промышленности (главным образом, ориентированной на экспорт).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Здесь извлекают сверх прибыли, превосходящие по своим масштабам известные до сих пор в мировой практике.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Второй (немонополизированный) «сектор», напротив испытывает дефицит ресурсов, управления, технологий. К нему относят сферу воспроизводства рабочей силы, производства потребительских товаров, большая часть сельского хозяйства.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На практике наблюдается устойчивый перекос в ценах, финансировании, кредитовании и тому подобное в пользу первого «сектора», причем причиной такого перекоса является не только монополизм, обеспечивающий первому сектору значительные преимущества на рынке, но и дисбаланс в распределении корпоративной и государственной власти, создающий институциональное «превосходство первого «сектора» над вторым».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Именно «разность потенциалов», образовавшихся в результате дивергенции экономика двух «секторов», становится в нынешних условиях основным источником, подпитывающим теневые структуры и отношения. К непосредственным последствиям поляризации российского экономического пространства, играющим важную роль в создании питательной среды для развития теневой экономики, следует отнести:</w:t>
      </w:r>
    </w:p>
    <w:p w:rsidR="00D50E18" w:rsidRDefault="00D50E18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выделение зоны возникновения сверхприбылей;</w:t>
      </w:r>
    </w:p>
    <w:p w:rsidR="00D50E18" w:rsidRDefault="00D50E18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образование на этой основе базы формирования корпоративно-бюрократических структур, неэкономическое соперничество, между которыми подменяет собой, сегодня, механизм государственного управления;</w:t>
      </w:r>
    </w:p>
    <w:p w:rsidR="00D50E18" w:rsidRDefault="00D50E18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раскол общества на две неравные части – занятых в привилегированном, сильно корпоратизированном «секторе», и работающих в регрессирующем не монополизированном «секторе» экономики;</w:t>
      </w:r>
    </w:p>
    <w:p w:rsidR="00D50E18" w:rsidRDefault="00D50E18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появление реальных предпосылок для обострения в обществе борьбы за перераспределение крайне неравномерно распределяемых на всех уровнях доходов.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Социальную нестабильность провоцируют и развернувшиеся в последнее время процессы перераспределения собственности.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Начатая под флагом необходимости поиска «настоящего хозяина», приватизация в России привела к полному затуманиванию истинной картины существующих прав собственности. После всех лет «реформы» невозможно провести четкое разграничение между государственными и частными секторами экономики: произошла практически полная диффузия форм собственности, причем проникновение частной собственности оказалось значительно большим, чем это регистрируется официальной статистикой.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Неопределенность границ частного сектора является следствием как минимум двух причин: во-первых, вплоть до недавнего времени «организованные» формы приватизации играли сравнительно незначительную роль. Они либо легализовали уже ранее осуществленное перераспределение собственности, либо путем массовой приватизации готовили базу для последующего вторичного перераспределения; во-вторых, широкое распространение получили так называемые «специфические способы» формирования частного сектора. Их диапазон весьма обширен – от прямого грабежа государственной собственности до легальных трансакций в форме перевода части созданной государственным предприятием добавленной стоимости в частный сектор. Создание финансовых холдингов, конгломератов, полугосударственных банков и финансовых структур, содействующих возникновению параллельных рынков денег, кредитов и капитала. Использование задолжностьи и кредитной зависимости между предприятиями в качестве «капитала», с целью их последующей легальной или теневой приватизации и т. д.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Следующая схема представляет основные направления, объекты, субъекты и методы приватизации, а также о новых собственниках, появившимся в ходе нее.</w:t>
      </w:r>
    </w:p>
    <w:p w:rsidR="00D50E18" w:rsidRDefault="00D50E18">
      <w:pPr>
        <w:pStyle w:val="a3"/>
        <w:rPr>
          <w:sz w:val="24"/>
        </w:rPr>
        <w:sectPr w:rsidR="00D50E18">
          <w:pgSz w:w="11906" w:h="16838"/>
          <w:pgMar w:top="1440" w:right="1800" w:bottom="1440" w:left="1800" w:header="720" w:footer="720" w:gutter="0"/>
          <w:cols w:space="720"/>
        </w:sectPr>
      </w:pPr>
    </w:p>
    <w:p w:rsidR="00D50E18" w:rsidRDefault="00D50E18">
      <w:pPr>
        <w:pStyle w:val="a3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D50E18">
        <w:trPr>
          <w:cantSplit/>
        </w:trPr>
        <w:tc>
          <w:tcPr>
            <w:tcW w:w="8520" w:type="dxa"/>
            <w:gridSpan w:val="3"/>
          </w:tcPr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</w:p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Основные объекты, методы и участники приватизации.</w:t>
            </w:r>
          </w:p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</w:p>
        </w:tc>
      </w:tr>
      <w:tr w:rsidR="00D50E18"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Новые собственники</w:t>
            </w:r>
          </w:p>
        </w:tc>
      </w:tr>
      <w:tr w:rsidR="00D50E18"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Собственность политических и общественных структур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коммерческих структур, экспорт капитала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Номенклатура общественных и политических организаций и близкое к ним окружение.</w:t>
            </w:r>
          </w:p>
        </w:tc>
      </w:tr>
      <w:tr w:rsidR="00D50E18"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Государственные бюджетные социальные фонды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Широкая система социальных кредитов и льгот по налогообложению. Создание коммерческих структур на базе фондов.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Коррумпированный аппарат, «благородные получатели»</w:t>
            </w:r>
          </w:p>
        </w:tc>
      </w:tr>
      <w:tr w:rsidR="00D50E18"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Фонды государственных предприятий.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Различные формы «приватизации» (мелкие кооперативы, лизинг, аренда и т. д.) многообразные формы массовой и платной приватизации.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Трудовые коллективы, директорат, бывшие теневики.</w:t>
            </w:r>
          </w:p>
        </w:tc>
      </w:tr>
      <w:tr w:rsidR="00D50E18"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Сбережения населения.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Через систему ваучерных и инвестиционных фондов, банковскую систему и новые организации социального обеспечения.</w:t>
            </w:r>
          </w:p>
        </w:tc>
        <w:tc>
          <w:tcPr>
            <w:tcW w:w="2840" w:type="dxa"/>
          </w:tcPr>
          <w:p w:rsidR="00D50E18" w:rsidRDefault="00D50E18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Сотрудники фондов и организаций.</w:t>
            </w:r>
          </w:p>
        </w:tc>
      </w:tr>
    </w:tbl>
    <w:p w:rsidR="00D50E18" w:rsidRDefault="00D50E18">
      <w:pPr>
        <w:pStyle w:val="a3"/>
        <w:rPr>
          <w:sz w:val="24"/>
        </w:rPr>
      </w:pPr>
    </w:p>
    <w:p w:rsidR="00D50E18" w:rsidRDefault="00D50E18">
      <w:pPr>
        <w:pStyle w:val="a3"/>
        <w:rPr>
          <w:sz w:val="24"/>
        </w:rPr>
      </w:pPr>
      <w:r>
        <w:rPr>
          <w:sz w:val="24"/>
        </w:rPr>
        <w:t>Основная причина того, что «деньги партии» до сих пор «не найдены», кроется, по-видимому, в том, что на финансах партии созданы наиболее дееспособные коммерческие структуры, в том числе наиболее респектабельные банки и совместные предприятия. Представители новой экономической элиты и политического руководства, по всей видимости, смогли договориться между собой, что, похоже, оказалось не слишком сложным делом, если учесть, что значительная часть, как тех, так и других некогда принадлежала к одному клану – партийной номенклатуре.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Наиболее простой и распространенный метод приватизации на втором направлении – так называемая «дойка коровы». Здесь используют следующую схему.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Центральный Банк России предоставляет, например, предприятию специальный кредит для выплаты задолжностьи по заработной плате или для других хозяйственных нужд, под низкие (для России) проценты – 25% годовых. Деньги на рыночных условиях тут же помещают в коммерческий банк, который находится с предприятием в «особых» отношениях. Разницу, возникающую на этой операции, делят между руководителями предприятия и участвующими в доле банковскими работниками.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Характерным явление российской экономической политики стало предоставление незаконных льгот приближенным к власти коммерческим структурам.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Приватизация государственных предприятий, как таковая, фактически началась в России не в июле 1992 года, как указывают в официальных материалах, а с момента создания в 1987 году, так называемых малых кооперативов, большинство из которых организовывались при государственных промышленных предприятиях. Создание малых кооперативов оказалось очень удобной формой перекачки государственных средств в частные руки.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К началу июля 1994 года в России было приватизировано около 70% всех предприятий промышленности и сферы услуг. Многими реформаторами столь высокие темпы преобразования расцениваются как колоссальный успех реформ. Однако наряду с количественными показателями необходимо учитывать и качественные изменения.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 самого начала вплоть до своего завершения, массовая приватизация в России представляла собой колоссальную спекулятивную операцию, приведшую к криминализации экономики, невиданному социальному расслоению и образованию враждующих социальных групп. Криминализации является с одной стороны, отражением социально-экономической и политической ситуации в стране, с другой стороны – тесно связана с моделью приватизации, принятой в России.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Некоторые особенности российской действительности имеют рациональное объяснение, если признать существование параллельных источников доходов населения.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Известно, что, начиная с 1991 года, цены в стране растут значительно быстрее, чем официальная заработная плата: минимальная и даже средняя по стране заработная плата сегодня не обеспечивает необходимого прожиточного минимума. Однако до сих пор социальная ситуация в стране не взорвалась; банковские накопления населения растут; число вновь образованных на предпринимательской основе хозяйственных организаций увеличивается – несмотря на то, что каждая третья из вновь созданных мелких и средних фирм оказалась убыточной. Есть все основания предполагать, что и проблема выживания, и проблема первоначального накопления капитала решается сегодня в России на путях активного включения населения в различные процессы разворачивающиеся в рамках теневой экономики. Мотивы, механизмы и результаты такого участия у различных групп населения различны.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Современное российское общество можно разделить на три основные страты, каждая из которых, в свою очередь подразделена на группы:</w:t>
      </w:r>
    </w:p>
    <w:p w:rsidR="00D50E18" w:rsidRDefault="00D50E1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Новые собственники, высшие управляющие, работники высшего и среднего звена, отчасти наемные работники низшего звена корпоратизированного сектора, где образуются огромные сверхприбыли. Для этой категории лиц характерно стремление получить и максимально вывести из-под налогообложения свои прибыли и другие доходы, что возможно только на пути прямых нарушений законодательства и установления особых «доверительных» отношений с двумя социальными группами с другой стороны: бюрократией, определяющей условия коммерческой деятельности, и заставляющими платить «дань» криминальными  элементами. </w:t>
      </w:r>
    </w:p>
    <w:p w:rsidR="00D50E18" w:rsidRDefault="00D50E1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Группы, имеющие реальные возможности участвовать в перераспределении сверхприбылей; среди них, в первую очередь бюрократия и криминальные элементы, а так же немногочисленные группы, обслуживающие нужды сверхмонополистов.</w:t>
      </w:r>
    </w:p>
    <w:p w:rsidR="00D50E18" w:rsidRDefault="00D50E1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Подавляющая часть населения, выведенная за рамки корпоративного сектора и не допущенная к его доходам.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 xml:space="preserve">Средняя заработная плата квалифицированного российского рабочего в 25 раз меньше, чем у американского, хотя стоимость потребительской корзины уже составляет свыше 40% от американского уровня. 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Чтобы выжить, население вынуждено адаптироваться к новым условиям, участвуя в различных формах «теневой экономики». По данным социологических опросов, дополнительный доход работников промышленных предприятий от разных видов побочной деятельности достигает 80% совокупного семейного дохода.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Таким образом, у подавляющей части населения существует объективная необходимость активизации своего участия в теневой экономике, что укрепляет основу взяточничества «теневой деятельности» и криминальной активности.</w:t>
      </w:r>
    </w:p>
    <w:p w:rsidR="00D50E18" w:rsidRDefault="00D50E18">
      <w:pPr>
        <w:pStyle w:val="a3"/>
        <w:rPr>
          <w:sz w:val="24"/>
        </w:rPr>
      </w:pPr>
      <w:r>
        <w:rPr>
          <w:sz w:val="24"/>
        </w:rPr>
        <w:t>Сегодня уже очевидно, что значительное расширение сферы теневой, прежде всего фиктивной и криминальной, экономики ведет нас не к цивилизованному рынку и демократии, а к установлению корпоративно-бюрократического кланового правления, которое, как свидетельствует история, может быть длительным и даже способным обеспечить определенную социальную стабильность. Проблемой России является явно криминальная, замешанная на теневой деятельности окраска складывающихся кланов. В этой связи небезосновательным  представляются высказываемые опасения, что на исход будущих выборов в стране сильное влияние будут оказывать криминальные элементы.</w:t>
      </w:r>
      <w:bookmarkStart w:id="0" w:name="_GoBack"/>
      <w:bookmarkEnd w:id="0"/>
    </w:p>
    <w:sectPr w:rsidR="00D50E1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519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451B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05A29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1BC38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FC630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C49"/>
    <w:rsid w:val="00D50E18"/>
    <w:rsid w:val="00E10F63"/>
    <w:rsid w:val="00F13C49"/>
    <w:rsid w:val="00F1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91505-9387-4A43-A15B-A58B118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регулирование экономики</vt:lpstr>
    </vt:vector>
  </TitlesOfParts>
  <Company>PRIVATE</Company>
  <LinksUpToDate>false</LinksUpToDate>
  <CharactersWithSpaces>15215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регулирование экономики</dc:title>
  <dc:subject/>
  <dc:creator>Konstantin K. Koost</dc:creator>
  <cp:keywords/>
  <cp:lastModifiedBy>Irina</cp:lastModifiedBy>
  <cp:revision>2</cp:revision>
  <cp:lastPrinted>1998-12-18T09:52:00Z</cp:lastPrinted>
  <dcterms:created xsi:type="dcterms:W3CDTF">2014-08-06T16:04:00Z</dcterms:created>
  <dcterms:modified xsi:type="dcterms:W3CDTF">2014-08-06T16:04:00Z</dcterms:modified>
</cp:coreProperties>
</file>