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A0" w:rsidRDefault="00720A2F">
      <w:pPr>
        <w:pStyle w:val="1"/>
        <w:jc w:val="center"/>
      </w:pPr>
      <w:r>
        <w:t>Дания: инвестиции в финансовый сектор</w:t>
      </w:r>
    </w:p>
    <w:p w:rsidR="00BE0AA0" w:rsidRPr="00720A2F" w:rsidRDefault="00720A2F">
      <w:pPr>
        <w:pStyle w:val="a3"/>
      </w:pPr>
      <w:r>
        <w:t> </w:t>
      </w:r>
    </w:p>
    <w:p w:rsidR="00BE0AA0" w:rsidRDefault="00720A2F">
      <w:pPr>
        <w:pStyle w:val="a3"/>
      </w:pPr>
      <w:r>
        <w:t>Халипина Д.В., студент</w:t>
      </w:r>
    </w:p>
    <w:p w:rsidR="00BE0AA0" w:rsidRDefault="00720A2F">
      <w:pPr>
        <w:pStyle w:val="a3"/>
      </w:pPr>
      <w:r>
        <w:t>кафедра «Финансы» МГТУ им. Н.Э. Баумана</w:t>
      </w:r>
    </w:p>
    <w:p w:rsidR="00BE0AA0" w:rsidRDefault="00720A2F">
      <w:pPr>
        <w:pStyle w:val="a3"/>
      </w:pPr>
      <w:r>
        <w:t>Экономика Дании имеет высокоразвитую структуру, согласно индексу преуспевания цен Legatum Institute Дания входит в тройку наиболее преуспевающих стран. Размер ВВП на душу датского населения составляет 39 тысяч долларов. Положительный рост ВВП Дании наблюдаются с 1987г. Ведущими отраслями промышленности Дании являются металлообработка, машиностроение и приборостроение. Legatum Prosperity Index - это ежегодный индекс, основанный Legatum Institute, который проводит оценку экономического развития 142 стран. В список факторов, которые влияют на место страны в рейтинге, входят здравоохранение, экономический рост, социальный уровень жизни.</w:t>
      </w:r>
    </w:p>
    <w:p w:rsidR="00BE0AA0" w:rsidRDefault="00720A2F">
      <w:pPr>
        <w:pStyle w:val="a3"/>
      </w:pPr>
      <w:r>
        <w:t>Таблица 1</w:t>
      </w:r>
    </w:p>
    <w:p w:rsidR="00BE0AA0" w:rsidRDefault="00720A2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607"/>
        <w:gridCol w:w="1147"/>
        <w:gridCol w:w="1005"/>
        <w:gridCol w:w="957"/>
        <w:gridCol w:w="1169"/>
        <w:gridCol w:w="1370"/>
        <w:gridCol w:w="1411"/>
      </w:tblGrid>
      <w:tr w:rsidR="00BE0AA0">
        <w:trPr>
          <w:trHeight w:val="1170"/>
          <w:tblCellSpacing w:w="0" w:type="dxa"/>
        </w:trPr>
        <w:tc>
          <w:tcPr>
            <w:tcW w:w="0" w:type="auto"/>
            <w:vAlign w:val="center"/>
            <w:hideMark/>
          </w:tcPr>
          <w:p w:rsidR="00BE0AA0" w:rsidRDefault="00720A2F">
            <w:r>
              <w:t>Страна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Место в общем рейтинге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Экономика</w:t>
            </w:r>
          </w:p>
        </w:tc>
        <w:tc>
          <w:tcPr>
            <w:tcW w:w="0" w:type="auto"/>
            <w:vAlign w:val="center"/>
            <w:hideMark/>
          </w:tcPr>
          <w:p w:rsidR="00BE0AA0" w:rsidRPr="00720A2F" w:rsidRDefault="00720A2F">
            <w:pPr>
              <w:pStyle w:val="a3"/>
            </w:pPr>
            <w:r w:rsidRPr="00720A2F">
              <w:t>Степень</w:t>
            </w:r>
          </w:p>
          <w:p w:rsidR="00BE0AA0" w:rsidRPr="00720A2F" w:rsidRDefault="00720A2F">
            <w:pPr>
              <w:pStyle w:val="a3"/>
            </w:pPr>
            <w:r w:rsidRPr="00720A2F">
              <w:t>поддержк</w:t>
            </w:r>
          </w:p>
          <w:p w:rsidR="00BE0AA0" w:rsidRPr="00720A2F" w:rsidRDefault="00720A2F">
            <w:pPr>
              <w:pStyle w:val="a3"/>
            </w:pPr>
            <w:r w:rsidRPr="00720A2F">
              <w:t>и</w:t>
            </w:r>
          </w:p>
          <w:p w:rsidR="00BE0AA0" w:rsidRPr="00720A2F" w:rsidRDefault="00720A2F">
            <w:pPr>
              <w:pStyle w:val="a3"/>
            </w:pPr>
            <w:r w:rsidRPr="00720A2F">
              <w:t>государст</w:t>
            </w:r>
          </w:p>
          <w:p w:rsidR="00BE0AA0" w:rsidRPr="00720A2F" w:rsidRDefault="00720A2F">
            <w:pPr>
              <w:pStyle w:val="a3"/>
            </w:pPr>
            <w:r w:rsidRPr="00720A2F">
              <w:t>ва</w:t>
            </w:r>
          </w:p>
        </w:tc>
        <w:tc>
          <w:tcPr>
            <w:tcW w:w="0" w:type="auto"/>
            <w:vAlign w:val="center"/>
            <w:hideMark/>
          </w:tcPr>
          <w:p w:rsidR="00BE0AA0" w:rsidRPr="00720A2F" w:rsidRDefault="00720A2F">
            <w:pPr>
              <w:pStyle w:val="a3"/>
            </w:pPr>
            <w:r w:rsidRPr="00720A2F">
              <w:t>Образова</w:t>
            </w:r>
          </w:p>
          <w:p w:rsidR="00BE0AA0" w:rsidRPr="00720A2F" w:rsidRDefault="00720A2F">
            <w:pPr>
              <w:pStyle w:val="a3"/>
            </w:pPr>
            <w:r w:rsidRPr="00720A2F">
              <w:t>ние</w:t>
            </w:r>
          </w:p>
        </w:tc>
        <w:tc>
          <w:tcPr>
            <w:tcW w:w="0" w:type="auto"/>
            <w:vAlign w:val="center"/>
            <w:hideMark/>
          </w:tcPr>
          <w:p w:rsidR="00BE0AA0" w:rsidRPr="00720A2F" w:rsidRDefault="00720A2F">
            <w:pPr>
              <w:pStyle w:val="a3"/>
            </w:pPr>
            <w:r w:rsidRPr="00720A2F">
              <w:t>Здравоохра</w:t>
            </w:r>
          </w:p>
          <w:p w:rsidR="00BE0AA0" w:rsidRPr="00720A2F" w:rsidRDefault="00720A2F">
            <w:pPr>
              <w:pStyle w:val="a3"/>
            </w:pPr>
            <w:r w:rsidRPr="00720A2F">
              <w:t>нение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Безопасность</w:t>
            </w:r>
          </w:p>
        </w:tc>
        <w:tc>
          <w:tcPr>
            <w:tcW w:w="0" w:type="auto"/>
            <w:vAlign w:val="center"/>
            <w:hideMark/>
          </w:tcPr>
          <w:p w:rsidR="00BE0AA0" w:rsidRPr="00720A2F" w:rsidRDefault="00720A2F">
            <w:pPr>
              <w:pStyle w:val="a3"/>
            </w:pPr>
            <w:r w:rsidRPr="00720A2F">
              <w:t>Социальное</w:t>
            </w:r>
          </w:p>
          <w:p w:rsidR="00BE0AA0" w:rsidRPr="00720A2F" w:rsidRDefault="00720A2F">
            <w:pPr>
              <w:pStyle w:val="a3"/>
            </w:pPr>
            <w:r w:rsidRPr="00720A2F">
              <w:t>благополучие</w:t>
            </w:r>
          </w:p>
        </w:tc>
      </w:tr>
      <w:tr w:rsidR="00BE0AA0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BE0AA0" w:rsidRDefault="00720A2F">
            <w:r>
              <w:t>Норвегия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</w:t>
            </w:r>
          </w:p>
        </w:tc>
      </w:tr>
      <w:tr w:rsidR="00BE0AA0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BE0AA0" w:rsidRDefault="00720A2F">
            <w:r>
              <w:t>Дания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2</w:t>
            </w:r>
          </w:p>
        </w:tc>
      </w:tr>
      <w:tr w:rsidR="00BE0AA0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BE0AA0" w:rsidRDefault="00720A2F">
            <w:r>
              <w:t>Швеция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9</w:t>
            </w:r>
          </w:p>
        </w:tc>
      </w:tr>
      <w:tr w:rsidR="00BE0AA0">
        <w:trPr>
          <w:trHeight w:val="690"/>
          <w:tblCellSpacing w:w="0" w:type="dxa"/>
        </w:trPr>
        <w:tc>
          <w:tcPr>
            <w:tcW w:w="0" w:type="auto"/>
            <w:vAlign w:val="center"/>
            <w:hideMark/>
          </w:tcPr>
          <w:p w:rsidR="00BE0AA0" w:rsidRPr="00720A2F" w:rsidRDefault="00720A2F">
            <w:pPr>
              <w:pStyle w:val="a3"/>
            </w:pPr>
            <w:r w:rsidRPr="00720A2F">
              <w:t>Австрали</w:t>
            </w:r>
          </w:p>
          <w:p w:rsidR="00BE0AA0" w:rsidRPr="00720A2F" w:rsidRDefault="00720A2F">
            <w:pPr>
              <w:pStyle w:val="a3"/>
            </w:pPr>
            <w:r w:rsidRPr="00720A2F">
              <w:t>я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E0AA0" w:rsidRDefault="00720A2F">
            <w:r>
              <w:t>3</w:t>
            </w:r>
          </w:p>
        </w:tc>
      </w:tr>
    </w:tbl>
    <w:p w:rsidR="00BE0AA0" w:rsidRPr="00720A2F" w:rsidRDefault="00720A2F">
      <w:pPr>
        <w:pStyle w:val="a3"/>
      </w:pPr>
      <w:r>
        <w:t>Согласно Legatum Prosperity Index, степень поддержки государства и социального благополучия в Дании находятся на высоком уровне. Несмотря на то, что экономика Дании в рейтинге занимает 19 позицию и занимает последнее место среди первых четырех лидеров, объем экспорта в 2011 году составил более 10 млрд. долл и по размеру ВВП на душу населения - 40,2 тысяч долл. - страна находится на 8-ом месте в Евросоюзе.</w:t>
      </w:r>
    </w:p>
    <w:p w:rsidR="00BE0AA0" w:rsidRDefault="00720A2F">
      <w:pPr>
        <w:pStyle w:val="a3"/>
      </w:pPr>
      <w:r>
        <w:lastRenderedPageBreak/>
        <w:t>Важное место занимает также производство продовольственных товаров, напитков и табачных изделий; химическая; фармацевтическая; целлюлозно-бумажная и полиграфическая промышленность; деревообрабатывающая и мебельная промышленность. Основными статьями датского экспорта являются машины и оборудование, продукция агропромышленного комплекса, промышленные товары. Номенклатура импорта достаточно широкая, наряду с металлами, лесом, пиломатериалами, энергоносителями, химическими товарами в значительных объемах закупаются машины и оборудование, потребительские товары и сельхозпродукция.</w:t>
      </w:r>
    </w:p>
    <w:p w:rsidR="00BE0AA0" w:rsidRDefault="00720A2F">
      <w:pPr>
        <w:pStyle w:val="a3"/>
      </w:pPr>
      <w:r>
        <w:t>Основными элементами финансовой системы Дании являются:</w:t>
      </w:r>
    </w:p>
    <w:p w:rsidR="00BE0AA0" w:rsidRDefault="001679D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9.75pt;height:443.25pt">
            <v:imagedata r:id="rId4" o:title=""/>
          </v:shape>
        </w:pict>
      </w:r>
    </w:p>
    <w:p w:rsidR="00BE0AA0" w:rsidRDefault="00720A2F">
      <w:pPr>
        <w:pStyle w:val="a3"/>
      </w:pPr>
      <w:r>
        <w:t>Рис. 1. Основные элементы финансовой системы Дании.</w:t>
      </w:r>
    </w:p>
    <w:p w:rsidR="00BE0AA0" w:rsidRDefault="00720A2F">
      <w:pPr>
        <w:pStyle w:val="a3"/>
      </w:pPr>
      <w:r>
        <w:t>Финансовый рынок объединяет валютный рынок и рынок ценных бумаг.</w:t>
      </w:r>
    </w:p>
    <w:p w:rsidR="00BE0AA0" w:rsidRDefault="00720A2F">
      <w:pPr>
        <w:pStyle w:val="a3"/>
      </w:pPr>
      <w:r>
        <w:t>Ежегодный обмен валюты в Дании составляет 25 млрд.долл. На валютном рынке Дании представлены: центральный банк (Danmarks Nationalbank); крупнейшие датские коммерческие банки: Danske Bank, Nordea; датские филиалы иностранных банков: SvenskaHandelsbanken, SkandinaviskaEnskildaBanken- SEB(Швеция); GEMoneyВank,  Citibank (США). Американский концерн IBM совместно с британским институтом The Economist Intelligence Unit (EIU) опубликовали анализ состояния финансовых секторов наиболее развитых стран мира. В списке стран с наилучшими показателями финансового сектора, подготовленном IBM и EIU, Дания находится на 4 месте в мире после Швейцарии, Великобритании и США. Авторы доклада особо отметили достижения датских банков в области автоматизации и стандартизации процессов, а также общую готовность финансового сектора Дании к вызовам глобализации. Специалисты IBM и EIU отмечают, что датские финансовые институты одними из первых в мире начали внедрять у себя передовые IT системы и уже создали общую мощную IT инфраструктуру. У датских банков имеются благоприятные перспективы развития деятельности за рубежом, т.к. они особенно хорошо зарекомендовали себя в области обслуживания физических лиц (private banking). Датские банки выделяются наличием большого количества сотрудников с высокой специализацией, что отражает высокий уровень компетентности банков.</w:t>
      </w:r>
    </w:p>
    <w:p w:rsidR="00BE0AA0" w:rsidRDefault="00720A2F">
      <w:pPr>
        <w:pStyle w:val="a3"/>
      </w:pPr>
      <w:r>
        <w:t>Согласно датскому законодательству, регулирование общего порядка инвестиций осуществляется в соответствии с Законом № 372 от 23.12.1964 г. и Законом № 279 от</w:t>
      </w:r>
    </w:p>
    <w:p w:rsidR="00BE0AA0" w:rsidRDefault="00720A2F">
      <w:pPr>
        <w:pStyle w:val="a3"/>
      </w:pPr>
      <w:r>
        <w:t>04.1988 с рядом поправок. Условия и законодательная база в области инвестиций в Дании, механизмы регулирования и стимулирования инвестиций В национальное законодательство Дании имплементировано более 99,5% действующих директив ЕС. Это же относится и к инвестициям, рост или сокращение которых регулируется исключительно спросом, свободной рыночной экономикой и общими правилами для всех касательно определенной сферы вложения капитала. Как член ЕС, Дания выполняет решения, принимаемые на уровне ЕС.</w:t>
      </w:r>
    </w:p>
    <w:p w:rsidR="00BE0AA0" w:rsidRDefault="00720A2F">
      <w:pPr>
        <w:pStyle w:val="a3"/>
      </w:pPr>
      <w:r>
        <w:t>Стимулирование инвестирования в малые и средние предприятия (МСП) осуществляется в виде немногочисленных льгот. С 2002г. существует система снижения налогов (субсидий) для предпринимательского сектора в целом, которая позволяет изымать из налогообложения сумму равную 150% их расходов на исследовательскую деятельность. Однако отмечается слабое использование предпринимателями этих возможностей. Предпочтения по поставке товаров и вложения средств отдается другим странам, где коммерческие условия более выгодны. Инвестиции, субсидирование и государственное стимулирование приоритетных отраслей. Валютно-финансовое регулирование инвестиционной деятельности осуществляется в соответствии с законом №372 от 23.12.1964г. с поправками, внесенными законом №279 от 11.04.1988г., а также приказом министерства промышленности и предпринимательства от 22.08.1988г. Отсутствуют ограничения для инвестиций, займов, репатриации капитала, процентов по депозитам, импорта и экспорта. Платежи (переводы) осуществляются через уполномоченных посредников или Центральный банк Дании.</w:t>
      </w:r>
    </w:p>
    <w:p w:rsidR="00BE0AA0" w:rsidRDefault="00720A2F">
      <w:pPr>
        <w:pStyle w:val="a3"/>
      </w:pPr>
      <w:r>
        <w:t>В Дании действует программа государственного гарантирования инвестиций, в т.ч. в страны Центральной и Восточной Европы (ЦВЕ). Страхование осуществляется только в отношении политических рисков (национализация, военные действия и т.д.). Гарантии датским компаниям предоставляются при условии выплаты ими ежегодной премии в 0,5% гарантируемой суммы, и покрывают 90% инвестиций. Заявки на получение гарантий рассматриваются государственным Экспортным кредитным фондом (ЭКФ), входящим в структуру министерства экономики и предпринимательства Дании. В экономике Дании прямыми иностранными инвестициями считаются все прямые переводы, зафиксированные банками - в конечном итоге Национальным банком Дании - между Данией и другой страной. С высоким уровнем оплаты труда и налогообложения Дания должна привлекать инвестиции в высокопродуктивные предприятия. Это предполагает повышение подготовки кадров и дальнейшую поддержку НИОКР.</w:t>
      </w:r>
    </w:p>
    <w:p w:rsidR="00BE0AA0" w:rsidRDefault="00720A2F">
      <w:pPr>
        <w:pStyle w:val="a3"/>
      </w:pPr>
      <w:r>
        <w:t>Для МСП с объемом оборота до 15 млн. крон (примерно 2,5 млн. долл.) разрешается отсрочка выплаты НДС до 40 дней. Установлены умеренные административные выплаты при открытии нового малого или среднего предприятия, некоторые льготы в административных платежах при «смене поколений руководителей» и др.</w:t>
      </w:r>
    </w:p>
    <w:p w:rsidR="00BE0AA0" w:rsidRDefault="00720A2F">
      <w:pPr>
        <w:pStyle w:val="a3"/>
      </w:pPr>
      <w:r>
        <w:t>Стимулирование инвестиций также осуществляется в виде создания специализированных фондов, выделения государственных грантов, прямого (выделение средств для Инвестиционного фонда для развивающихся стран, закупка компьютеров для школ) и косвенного бюджетного финансирования (прогрессивное уменьшение базы налогообложения при модернизации производства). Оно осуществляется также в виде реализации специализированных отраслевых или министерских программ развития приоритетных отраслей, возврата налоговых выплат, поддержки МСП и отдельных регионов, либо в иных формах. Это относится и к отраслям новой экономики (информационных технологий, биотехнологий и ряда других).</w:t>
      </w:r>
    </w:p>
    <w:p w:rsidR="00BE0AA0" w:rsidRDefault="00720A2F">
      <w:pPr>
        <w:pStyle w:val="a3"/>
      </w:pPr>
      <w:r>
        <w:t>Правительство поощряет создание фондов в определенных сферах («Венчурный фонд для МСП», фонды и льготное кредитование молодых предпринимателей в отдельных отраслях). Одним из таких фондов, например, является государственный венчурный «Фонд роста», задача которого заключается в привлечении внутренних и зарубежных инвестиций в наиболее перспективные отрасли датской экономики.</w:t>
      </w:r>
    </w:p>
    <w:p w:rsidR="00BE0AA0" w:rsidRDefault="00720A2F">
      <w:pPr>
        <w:pStyle w:val="a3"/>
      </w:pPr>
      <w:r>
        <w:t>Вложение этих средств осуществляется исключительно в национальные предприятия и проекты, в которых участвуют датские компании.</w:t>
      </w:r>
    </w:p>
    <w:p w:rsidR="00BE0AA0" w:rsidRDefault="00720A2F">
      <w:pPr>
        <w:pStyle w:val="a3"/>
      </w:pPr>
      <w:r>
        <w:t>В «Совете инвестиционных объединений» отметили, что на начало 2012 года подавляющая часть инвестиций в облигации совершалась через инвестиционные объединения, несмотря на то, что прямой вид инвестиций, с точки зрения издержек и прибыльности, более выгоден. Это говорит о высоком доверии иностранных инвесторов к национальным инвестиционным объединениям, особенно в свете нестабильности финансовых рынков, заставляющей иностранных инвесторов искать более надежный инвестиционный климат в Дании. Датское государство не проводит активной инвестиционной политики за рубежом. Из общей суммы размещенных за пределами страны датских финансовых средств на долю правительства, Национального банка Дании и фондов социального обеспечения вместе взятых приходится порядка 12% против 88%, вложенных частным сектором.</w:t>
      </w:r>
    </w:p>
    <w:p w:rsidR="00BE0AA0" w:rsidRDefault="00720A2F">
      <w:pPr>
        <w:pStyle w:val="a3"/>
      </w:pPr>
      <w:r>
        <w:t>Для привлечения инвестиций в Данию специально создано датское агентство по привлечению иностранных инвестиций “Invest in Denmark”, которое является структурным подразделением Экспортного совета Министерства иностранных дел Дании. Его деятельность регламентирована внутренними актами МИД.</w:t>
      </w:r>
    </w:p>
    <w:p w:rsidR="00BE0AA0" w:rsidRDefault="00720A2F">
      <w:pPr>
        <w:pStyle w:val="a3"/>
      </w:pPr>
      <w:r>
        <w:t>Финансирование деятельности осуществляется из бюджета МИД Дании. Целью “Invest in Denmark” является привлечение иностранных инвесторов в Данию как страну с высоким уровнем развития науки и техники, с хорошо развитой инфраструктурой и высококвалифицированной рабочей силой. Основная задача - привлечение инвестиций в высокотехнологичные отрасли.</w:t>
      </w:r>
    </w:p>
    <w:p w:rsidR="00BE0AA0" w:rsidRDefault="00720A2F">
      <w:pPr>
        <w:pStyle w:val="a3"/>
      </w:pPr>
      <w:r>
        <w:t>В своей деятельности “Invest in Denmark” особое внимание уделяет трем направлениям деятельности:</w:t>
      </w:r>
    </w:p>
    <w:p w:rsidR="00BE0AA0" w:rsidRDefault="00720A2F">
      <w:pPr>
        <w:pStyle w:val="a3"/>
      </w:pPr>
      <w:r>
        <w:t>привлечение иностранных компаний для размещения в Дании региональных представительств, дистрибьюторских складов и пр.;</w:t>
      </w:r>
    </w:p>
    <w:p w:rsidR="00BE0AA0" w:rsidRDefault="00720A2F">
      <w:pPr>
        <w:pStyle w:val="a3"/>
      </w:pPr>
      <w:r>
        <w:t>привлечение иностранных инвесторов для создания в Дании исследовательских и конструкторских центров в области беспроводных коммуникаций и оптики;</w:t>
      </w:r>
    </w:p>
    <w:p w:rsidR="00BE0AA0" w:rsidRDefault="00720A2F">
      <w:pPr>
        <w:pStyle w:val="a3"/>
      </w:pPr>
      <w:r>
        <w:t>привлечение инвестиций в динамично развивающийся сектор биотехнологий, фармацевтики, медицинских приборов и др.</w:t>
      </w:r>
    </w:p>
    <w:p w:rsidR="00BE0AA0" w:rsidRDefault="00720A2F">
      <w:pPr>
        <w:pStyle w:val="a3"/>
      </w:pPr>
      <w:r>
        <w:t>Дания привлекает иностранный капитал действующим в стране особым налоговым режимом в отношении иностранных холдинговых компаний. Многими экспертами юрисдикция Дании рассматривается как наиболее удобная в налоговом плане для создания и работы международных холдинговых структур. При этом речь идет, естественно, об официально разрешенной деятельности, а движение финансовых потоков находится под строгим контролем финансовых служб. Все это способствует тому, что Дания на протяжении последнего ряда лет имеет высокую деловую репутацию и, в частности, относится к числу стран, наименее подверженных коррупции, вследствие успешно действующих антикоррупционных законов и инициатив.</w:t>
      </w:r>
    </w:p>
    <w:p w:rsidR="00BE0AA0" w:rsidRDefault="00720A2F">
      <w:pPr>
        <w:pStyle w:val="a3"/>
      </w:pPr>
      <w:r>
        <w:t>По существующим в Дании правилам, холдинг, учрежденный как минимум двумя компаниями-нерезидентами, и находящийся на территории Дании, освобождается от налога на дивиденды, получаемые от зарубежных дочерних предприятий при условии, что холдинг является держателем не менее 25% акций таких предприятий (для датских холдинговых компаний налог на дивиденды установлен по ставке 5%). Перевод активов на датское юридическое лицо, которое непосредственно не занимается коммерческой деятельностью, позволяет минимизировать налоговые издержки по получению дивидендов, которые затем перечисляются в материнские компании[4]. По мнению экспертов, такая нормативная база в области налогообложения является привлекательной и способствует росту создания в стране филиалов и представительств зарубежных компаний, заинтересованных в уменьшении налоговых затрат.</w:t>
      </w:r>
    </w:p>
    <w:p w:rsidR="00BE0AA0" w:rsidRDefault="00720A2F">
      <w:pPr>
        <w:pStyle w:val="a3"/>
      </w:pPr>
      <w:r>
        <w:t>Одним из наиболее значительных шагов Правительства Дании в сфере государственного регулирования внешнеэкономической и инвестиционной деятельности стал представленный 26 февраля 2013 г. на рассмотрение парламентских фракций «План экономического роста», которому в СМИ также дали название «Пакет мер по повышению конкурентоспособности экономики». Девиз плана - «Экономически сильные предприятия и больше рабочих мест». В условиях дефицитности госбюджета, начало выполнения отдельных пунктов плана намечено на ближайшую перспективу (2014-2015 гг.), а остальных - вплоть до 2018-2020 гг.</w:t>
      </w:r>
    </w:p>
    <w:p w:rsidR="00BE0AA0" w:rsidRDefault="00720A2F">
      <w:pPr>
        <w:pStyle w:val="a3"/>
      </w:pPr>
      <w:r>
        <w:t>Планом предусматриваются мероприятия по трем основным направлениям:</w:t>
      </w:r>
    </w:p>
    <w:p w:rsidR="00BE0AA0" w:rsidRDefault="00720A2F">
      <w:pPr>
        <w:pStyle w:val="a3"/>
      </w:pPr>
      <w:r>
        <w:t>Улучшение условий ведения бизнеса. На эти цели в 2014 году будет выделено 3,8 млрд. крон (-655 млн. долл.) с последующим увеличением ассигнований до 10 млрд. крон (-1,7 млрд. долл.) в 2020 году;</w:t>
      </w:r>
    </w:p>
    <w:p w:rsidR="00BE0AA0" w:rsidRDefault="00720A2F">
      <w:pPr>
        <w:pStyle w:val="a3"/>
      </w:pPr>
      <w:r>
        <w:t>Увеличение государственных и муниципальных инвестиций, на что только в 2014 году будет выделено 5,8 млрд. крон (1 млрд. долл.);</w:t>
      </w:r>
    </w:p>
    <w:p w:rsidR="00BE0AA0" w:rsidRDefault="00720A2F">
      <w:pPr>
        <w:pStyle w:val="a3"/>
      </w:pPr>
      <w:r>
        <w:t>Улучшение условий профессиональной подготовки и переподготовки, на что на период 2014-2017 гг. будет выделен 1 млрд. крон (-170 млн. долл.).</w:t>
      </w:r>
    </w:p>
    <w:p w:rsidR="00BE0AA0" w:rsidRDefault="00720A2F">
      <w:pPr>
        <w:pStyle w:val="a3"/>
      </w:pPr>
      <w:r>
        <w:t>Одним из важнейших пунктов плана является постепенное (в течение ближайших трех лет) снижение налога на прибыль с 25% до 22%. Принятие решения о снижении налога на прибыль позволит укрепить конкурентоспособность датской экономики (как производства, так и сектора услуг), повысить её инвестиционную привлекательность, создать более благоприятный климат для ведения бизнеса в Дании и, в конечном итоге, значительно увеличить занятость в стране. Следует отметить, что снижение налога на прибыль до 22% не касается банков, а также компаний, занятых добычей нефти и газа в датском секторе Северного моря. Кроме того, постепенно будет упразднен, так называемый «СО2-налог» на электроэнергию, что также должно способствовать повышению конкурентоспособности датской экономики. Полное упразднение данного налога будет обходиться казне в сумму до 240 млн. долл. в год.</w:t>
      </w:r>
    </w:p>
    <w:p w:rsidR="00BE0AA0" w:rsidRDefault="00720A2F">
      <w:pPr>
        <w:pStyle w:val="a3"/>
      </w:pPr>
      <w:r>
        <w:t>В последнее время инвестиции Дании сильно укрепились, страна постоянно была и остается перспективной для иностранных инвесторов. В целом, бизнес, инвестирующий в Данию, выигрывает не только от благоприятной макроэкономики страны, но и благоприятных условий налогообложения, низких затрат на рабочую силу и т.п. Инвесторам предлагается ряд существенных налоговых льгот. Компании Дании также выигрывают от выгодных условий списывания амортизации.</w:t>
      </w:r>
    </w:p>
    <w:p w:rsidR="00BE0AA0" w:rsidRDefault="00720A2F">
      <w:pPr>
        <w:pStyle w:val="a3"/>
      </w:pPr>
      <w:r>
        <w:t>Список литературы</w:t>
      </w:r>
    </w:p>
    <w:p w:rsidR="00BE0AA0" w:rsidRDefault="00720A2F">
      <w:pPr>
        <w:pStyle w:val="a3"/>
      </w:pPr>
      <w:r>
        <w:t>Научная статья «Экономика в Дании» портала Webeconomy.ru</w:t>
      </w:r>
    </w:p>
    <w:p w:rsidR="00BE0AA0" w:rsidRDefault="00720A2F">
      <w:pPr>
        <w:pStyle w:val="a3"/>
      </w:pPr>
      <w:r>
        <w:t>Данные о Legatum Prosperity Index взяты с портала www.prosperity.com</w:t>
      </w:r>
    </w:p>
    <w:p w:rsidR="00BE0AA0" w:rsidRDefault="00720A2F">
      <w:pPr>
        <w:pStyle w:val="a3"/>
      </w:pPr>
      <w:r>
        <w:t>Халипина Д.В., Куликова Е.В. «Сравнительный анализ лизинговых операций, используемых в России и Германии», Научный журнал «Вестник МГТУ», том 12, часть 5 (март 2012 г.). - Москва, 2012. - С.166 - 173</w:t>
      </w:r>
    </w:p>
    <w:p w:rsidR="00BE0AA0" w:rsidRDefault="00720A2F">
      <w:pPr>
        <w:pStyle w:val="a3"/>
      </w:pPr>
      <w:r>
        <w:t>Куликова Е.В. глава «Интеллектуальный капитал», учебник «Управление финансами наукоемких организаций», издательство МГТУ им. Н.Э. Баумана, под. Ред. Соколова Е.В. - Москва, 2008.</w:t>
      </w:r>
    </w:p>
    <w:p w:rsidR="00BE0AA0" w:rsidRDefault="00720A2F">
      <w:pPr>
        <w:pStyle w:val="a3"/>
      </w:pPr>
      <w:r>
        <w:t>Еженедельный новостной журнал The Economist, научная статья The world in figures: Countries: Denmark от 18.11.2013 г.</w:t>
      </w:r>
      <w:bookmarkStart w:id="0" w:name="_GoBack"/>
      <w:bookmarkEnd w:id="0"/>
    </w:p>
    <w:sectPr w:rsidR="00BE0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A2F"/>
    <w:rsid w:val="001679D9"/>
    <w:rsid w:val="00720A2F"/>
    <w:rsid w:val="00B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CE4C3A-9632-4BEE-873E-AC42685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2109</Words>
  <Characters>12024</Characters>
  <Application>Microsoft Office Word</Application>
  <DocSecurity>0</DocSecurity>
  <Lines>100</Lines>
  <Paragraphs>28</Paragraphs>
  <ScaleCrop>false</ScaleCrop>
  <Company>diakov.net</Company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Дания: инвестиции в финансовый сектор</dc:title>
  <dc:subject/>
  <dc:creator>Irina</dc:creator>
  <cp:keywords/>
  <dc:description/>
  <cp:lastModifiedBy>Irina</cp:lastModifiedBy>
  <cp:revision>2</cp:revision>
  <dcterms:created xsi:type="dcterms:W3CDTF">2014-11-12T14:21:00Z</dcterms:created>
  <dcterms:modified xsi:type="dcterms:W3CDTF">2014-11-12T14:21:00Z</dcterms:modified>
</cp:coreProperties>
</file>