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center"/>
        <w:rPr>
          <w:bCs w:val="0"/>
          <w:sz w:val="28"/>
          <w:szCs w:val="28"/>
        </w:rPr>
      </w:pPr>
      <w:r w:rsidRPr="00066C18">
        <w:rPr>
          <w:bCs w:val="0"/>
          <w:sz w:val="28"/>
          <w:szCs w:val="28"/>
        </w:rPr>
        <w:t>СОДЕРЖАНИЕ</w:t>
      </w:r>
    </w:p>
    <w:p w:rsid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bCs w:val="0"/>
          <w:sz w:val="28"/>
          <w:szCs w:val="28"/>
        </w:rPr>
      </w:pP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bCs w:val="0"/>
          <w:sz w:val="28"/>
          <w:szCs w:val="28"/>
        </w:rPr>
      </w:pPr>
      <w:r w:rsidRPr="00066C18">
        <w:rPr>
          <w:b w:val="0"/>
          <w:bCs w:val="0"/>
          <w:sz w:val="28"/>
          <w:szCs w:val="28"/>
        </w:rPr>
        <w:t>ВВЕДЕНИЕ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  <w:r w:rsidRPr="00066C18">
        <w:rPr>
          <w:b w:val="0"/>
          <w:bCs w:val="0"/>
          <w:sz w:val="28"/>
          <w:szCs w:val="28"/>
        </w:rPr>
        <w:t>ГЛАВА</w:t>
      </w:r>
      <w:r>
        <w:rPr>
          <w:b w:val="0"/>
          <w:bCs w:val="0"/>
          <w:sz w:val="28"/>
          <w:szCs w:val="28"/>
        </w:rPr>
        <w:t xml:space="preserve"> </w:t>
      </w:r>
      <w:r w:rsidRPr="00066C18">
        <w:rPr>
          <w:b w:val="0"/>
          <w:bCs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РОЛЬ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СЭЗ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ЭКОНОМИКЕ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bCs w:val="0"/>
          <w:sz w:val="28"/>
          <w:szCs w:val="28"/>
        </w:rPr>
      </w:pPr>
      <w:r w:rsidRPr="00066C18">
        <w:rPr>
          <w:b w:val="0"/>
          <w:sz w:val="28"/>
          <w:szCs w:val="28"/>
        </w:rPr>
        <w:t>ГЛАВА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СОТРУДНИЧЕСТВО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РОССИИ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ГЛАВА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НАПРАВЛЕНИЯ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РАЗВИТИЯ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КИТАЙСКОЙ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ЭКОНОМИКИ</w:t>
      </w:r>
    </w:p>
    <w:p w:rsid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ГЛАВА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МИРОХОЗЯЙСТВЕННЫХ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СВЯЗЯХ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ЗАКЛЮЧЕНИЕ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СПИСОК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ЛИТЕРАТУРЫ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Pr="00066C18">
        <w:rPr>
          <w:sz w:val="28"/>
          <w:szCs w:val="28"/>
        </w:rPr>
        <w:lastRenderedPageBreak/>
        <w:t>ВВЕДЕНИЕ</w:t>
      </w:r>
    </w:p>
    <w:p w:rsid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Заметный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растущий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вызывают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преобразования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продолжаются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десятилетия.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случаен.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древнейших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многовековую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впечатляющих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успехов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реальном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ближайшей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перспективе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восходящей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линии.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шансы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повторить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Кореи.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предпосылки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есть.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крупнейшей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геостратегическое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Азиатско-Тихоокеанском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(АТР).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Процессы,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происходящие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экономике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протяжении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нескольких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последних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десятилетий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привлекают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себе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внимание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специалистов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широкой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мировой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общественности.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«Мы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внимательно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следим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за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экономическим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развитием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вашей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страны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восхищаемся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вашими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успехами»,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заявил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ходе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своего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визита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Президент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России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Владимир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Путин,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обращаясь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председателю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КНР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Ху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Цзиньтао.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это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действительно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так.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Достижения,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демонстрируемые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китайским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народом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переустройстве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страны,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могут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никого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оставить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равнодушными.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кое-кого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они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даже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пугают.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Так,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газета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«</w:t>
      </w:r>
      <w:r w:rsidRPr="00066C18">
        <w:rPr>
          <w:b w:val="0"/>
          <w:sz w:val="28"/>
          <w:szCs w:val="28"/>
          <w:lang w:val="en-US"/>
        </w:rPr>
        <w:t>Financial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  <w:lang w:val="en-US"/>
        </w:rPr>
        <w:t>times</w:t>
      </w:r>
      <w:r w:rsidRPr="00066C18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писала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2004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году: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«Мы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все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еще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боимся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Разумеется,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он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представляет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уже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такую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опасность,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как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раньше.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Сейчас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опасен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как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располагающий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дешевой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рабочей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силой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конкурент,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лишающий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нас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рабочих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мест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доли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рынков...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глазах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слишком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многих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остается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угрозой».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Однако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недруги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вынуждены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признавать,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что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перемены,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происходящие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этой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стране,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поразительны.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Актуальность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политику.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стран.</w:t>
      </w: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066C18">
        <w:rPr>
          <w:b w:val="0"/>
          <w:sz w:val="28"/>
          <w:szCs w:val="28"/>
        </w:rPr>
        <w:t>Целью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контрольной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работы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является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изучение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всесторонний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анализ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экономики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Китая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(Китайской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Народной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Республики,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КНР)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степени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её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вовлеченности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(участия)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мировые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экономические</w:t>
      </w:r>
      <w:r>
        <w:rPr>
          <w:b w:val="0"/>
          <w:sz w:val="28"/>
          <w:szCs w:val="28"/>
        </w:rPr>
        <w:t xml:space="preserve"> </w:t>
      </w:r>
      <w:r w:rsidRPr="00066C18">
        <w:rPr>
          <w:b w:val="0"/>
          <w:sz w:val="28"/>
          <w:szCs w:val="28"/>
        </w:rPr>
        <w:t>отношения.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сформулированы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образом: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проанализировать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вовлеченности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отношения;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рассмотреть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России;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охарактеризовать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тенденции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мирохозяйственных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связях.</w:t>
      </w:r>
    </w:p>
    <w:p w:rsidR="00066C18" w:rsidRPr="00066C18" w:rsidRDefault="00066C18" w:rsidP="00066C1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66C18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РОЛЬ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СЭЗ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ЭКОНОМИКЕ</w:t>
      </w:r>
      <w:r>
        <w:rPr>
          <w:b/>
          <w:sz w:val="28"/>
          <w:szCs w:val="28"/>
        </w:rPr>
        <w:t xml:space="preserve"> </w:t>
      </w:r>
      <w:r w:rsidRPr="00066C18">
        <w:rPr>
          <w:b/>
          <w:sz w:val="28"/>
          <w:szCs w:val="28"/>
        </w:rPr>
        <w:t>КИТАЯ</w:t>
      </w:r>
    </w:p>
    <w:p w:rsid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Составной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открытости»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(«Кайфан»).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займов,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прямых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партнерами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свободная</w:t>
      </w:r>
      <w:r>
        <w:rPr>
          <w:bCs/>
          <w:iCs/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экономическая</w:t>
      </w:r>
      <w:r>
        <w:rPr>
          <w:bCs/>
          <w:iCs/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зона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маленькой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деревушке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1979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превратилась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действовало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участием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совместными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иностранно-китайскими,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354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иностранными.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bCs/>
          <w:sz w:val="28"/>
          <w:szCs w:val="28"/>
        </w:rPr>
        <w:t>цели</w:t>
      </w:r>
      <w:r>
        <w:rPr>
          <w:bCs/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СЭЗ: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кадров;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валютной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выручки;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предварительная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«обкатка»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мероприятий;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мобилизация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эмиграции;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numPr>
          <w:ilvl w:val="0"/>
          <w:numId w:val="3"/>
        </w:numPr>
        <w:tabs>
          <w:tab w:val="left" w:pos="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ускоренного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спецзоны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типов.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оказали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объективные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факторы: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дешевизна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избыток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силы;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географическое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(выход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морю,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близость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Макао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Хайнане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туризма,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металлургии,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тропического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земледелия;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субъективные: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гарантии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льготы;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открытых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свободной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таможенные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пространства,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статус.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юго-восточном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побережье.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17,5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$22,4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инвестирования: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ядерная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энергетика,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инфраструктура,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Чжухай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насчитывает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4980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инвестициями.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Вложения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сферу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тяжелую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дорожное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Макао,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Сингапура.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Сямэнь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4150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$15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инвестирования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пищевая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Шаньтоу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участием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облшасти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нефтехимии,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одежды,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обуви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$3,5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соотечественников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Сингапуре.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Хайнань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7320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совокупный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заявленных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$22,3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</w:p>
    <w:p w:rsidR="00066C18" w:rsidRPr="00066C18" w:rsidRDefault="00066C18" w:rsidP="00066C18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Пудун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(составная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Шанхая)–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5405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автомобилестроении,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приборостроении,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телекоммуникациях,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энергетике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$27,3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утверждениях,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привлекают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огромные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рубежа,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поспорить.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исследованиям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экономистов,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прямые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превысили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однако,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пришли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экономику?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крайней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мере,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2/3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гонконгский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тайваньский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притока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происхождения: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предположению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западных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наблюдателей,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скрытые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инвестирования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отечественного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существования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разногласия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экспертами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критикуют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принцип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частично,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политического,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территориям,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рассматривая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лоббизма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угрозу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целостности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рынка.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критикуют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требуя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сравнимых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приморскими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провинциями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неприемлемо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центра.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вступлением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рассматриваться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негативной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стороны,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т.к.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нечестной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конкуренции.</w:t>
      </w:r>
    </w:p>
    <w:p w:rsidR="00066C18" w:rsidRPr="00066C18" w:rsidRDefault="00066C18" w:rsidP="00066C18">
      <w:pPr>
        <w:pStyle w:val="aa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улучшение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базирования,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гораздо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быстрее,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служащих.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незначительная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смог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выйти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заявить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себе,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ориентацией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«ужить»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социалистическую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механизмы.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понимает,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</w:p>
    <w:p w:rsid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both"/>
        <w:rPr>
          <w:b w:val="0"/>
          <w:sz w:val="28"/>
          <w:szCs w:val="28"/>
        </w:rPr>
      </w:pP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center"/>
        <w:rPr>
          <w:sz w:val="28"/>
          <w:szCs w:val="28"/>
        </w:rPr>
      </w:pPr>
      <w:r w:rsidRPr="00066C18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</w:t>
      </w:r>
    </w:p>
    <w:p w:rsid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Начиная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1989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растёт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концу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1990-х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темпы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замедлились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годовых,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вступлением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прямых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привели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ускорению.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Ярким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показателем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энергоносителей.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1960-х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статистического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тонн.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ОПЕК,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потреблял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6,5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баррелей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день.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добыча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170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тонн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база,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могла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рассчитывать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добычи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постепенному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продолжающийся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достигнет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тонн.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объём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тонн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год.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Потребление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куб.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прогнозам,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вырастет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куб.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м.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2,456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кВт-ч.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Южного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страдают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нехватки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электроэнергии.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Китайская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подъеме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готова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заполонить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потребление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энергоресурсов.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поставщик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энергоносителей,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идеальным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партнером.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сегодняшний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разменной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монетой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рынке.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Пекине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понимают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требуют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гарантии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бесперебойных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заверениями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служить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совместные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вложения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месторождений,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добивается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rStyle w:val="a4"/>
          <w:sz w:val="28"/>
          <w:szCs w:val="28"/>
          <w:lang w:eastAsia="ar-SA"/>
        </w:rPr>
        <w:t>Благоприятная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ситуация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для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продуктивного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сотрудничества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между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Москвой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Пекином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сложилась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давно.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Москва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Пекин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поочередно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делали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сторону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друг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друга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реверансы,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предлагая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выгодные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условия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для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интеграции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экономических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проектов,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21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марта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2006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года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президент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России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Владимир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Владимирович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Путин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побывал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рабочим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визитом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Китае.</w:t>
      </w:r>
      <w:r>
        <w:rPr>
          <w:sz w:val="28"/>
          <w:szCs w:val="28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Чтобы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вопрос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не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зашел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тупик,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Владимир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Путин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Пекине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дал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личные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гарантии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безопасности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поставок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энергоносителей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из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России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Китай.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Судя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по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первым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итогам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визита,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убеждения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президента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достигли</w:t>
      </w:r>
      <w:r>
        <w:rPr>
          <w:rStyle w:val="a4"/>
          <w:sz w:val="28"/>
          <w:szCs w:val="28"/>
          <w:lang w:eastAsia="ar-SA"/>
        </w:rPr>
        <w:t xml:space="preserve"> </w:t>
      </w:r>
      <w:r w:rsidRPr="00066C18">
        <w:rPr>
          <w:rStyle w:val="a4"/>
          <w:sz w:val="28"/>
          <w:szCs w:val="28"/>
          <w:lang w:eastAsia="ar-SA"/>
        </w:rPr>
        <w:t>цели.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Газпром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подписал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«голубого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топлива»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Приблизительный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30-40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куб.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дальнейшем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увеличиться.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Газпроме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планируют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газопровод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км.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труба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раза.</w:t>
      </w:r>
    </w:p>
    <w:p w:rsidR="00066C18" w:rsidRPr="00066C18" w:rsidRDefault="00066C18" w:rsidP="00066C18">
      <w:pPr>
        <w:pStyle w:val="NormalWeb"/>
        <w:spacing w:before="0"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РАО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«ЕЭС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электросетевая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корпорация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подписали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всесторонней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технико-экономического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обоснования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«ЕЭС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обозначило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заинтересованность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долгосрочном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контракте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генерирующих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сетевых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pStyle w:val="a0"/>
        <w:spacing w:after="0"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РЖД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железных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Народной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подписали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взаимном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крупнотоннажных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контейнеров.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РЖД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контейнерами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железных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прошлым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годом.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center"/>
        <w:rPr>
          <w:sz w:val="28"/>
          <w:szCs w:val="28"/>
        </w:rPr>
      </w:pPr>
      <w:r w:rsidRPr="00066C18">
        <w:rPr>
          <w:sz w:val="28"/>
          <w:szCs w:val="28"/>
        </w:rPr>
        <w:t>ГЛАВА 3. НАПРАВЛЕНИЯ РАЗВИТИЯ КИТАЙСКОЙ ЭКОНОМИКИ</w:t>
      </w:r>
    </w:p>
    <w:p w:rsidR="00066C18" w:rsidRPr="00066C18" w:rsidRDefault="00066C18" w:rsidP="00066C18">
      <w:pPr>
        <w:pStyle w:val="a0"/>
        <w:spacing w:after="0" w:line="360" w:lineRule="auto"/>
        <w:ind w:firstLine="709"/>
        <w:jc w:val="both"/>
        <w:rPr>
          <w:sz w:val="28"/>
        </w:rPr>
      </w:pP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0"/>
        </w:rPr>
        <w:t>Сейчас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вступил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«период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рекордно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высокого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уровня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слияний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приобретений»,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ходе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которого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около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90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%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государственных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предприятий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перейдут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частные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руки,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т.е.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приватизированы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(термин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«приватизация»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стараются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употреблять,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предпочитают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другой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термин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–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«преобразование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характера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собственности»).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Правительство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надеется,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частные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владельцы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помогут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сделать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убыточные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компании,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лежащие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тяжелым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бременем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экономике,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рентабельными.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учитывается,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приватизация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приведет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росту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армии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безработных,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25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потеряли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работу.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Поэтому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принято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решение,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средства,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вырученные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продажи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госпредприятий,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пойдут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первую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очередь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поддержку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неимущих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слоев,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здравоохранения,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пенсионную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социального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обеспечения.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малых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проблему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трудоустройства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человек,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0"/>
        </w:rPr>
      </w:pPr>
      <w:r w:rsidRPr="00066C18">
        <w:rPr>
          <w:sz w:val="28"/>
          <w:szCs w:val="20"/>
        </w:rPr>
        <w:t>Кампания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приватизации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возвещает,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пишет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</w:t>
      </w:r>
      <w:r w:rsidRPr="00066C18">
        <w:rPr>
          <w:sz w:val="28"/>
          <w:szCs w:val="20"/>
          <w:lang w:val="en-US"/>
        </w:rPr>
        <w:t>Washington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  <w:lang w:val="en-US"/>
        </w:rPr>
        <w:t>post</w:t>
      </w:r>
      <w:r w:rsidRPr="00066C18">
        <w:rPr>
          <w:sz w:val="28"/>
          <w:szCs w:val="20"/>
        </w:rPr>
        <w:t>»,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наступлении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нового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этапа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перехода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планового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хозяйства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рыночной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Однако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подчеркивают,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переход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тождествен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отказу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государственного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регулирования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руководство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ходе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экономических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преобразований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намерено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дальше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сохранять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«командные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высоты»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прежде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всего,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стратегически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важных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развития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отраслях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производствах.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контролем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государства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по-прежнему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останутся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правах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общенародной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собственности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земля,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недра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природные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ресурсы,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месторождения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полезных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ископаемых.</w:t>
      </w:r>
      <w:r>
        <w:rPr>
          <w:sz w:val="28"/>
          <w:szCs w:val="20"/>
        </w:rPr>
        <w:t xml:space="preserve"> </w:t>
      </w:r>
    </w:p>
    <w:p w:rsid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Значительные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произошли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инвестиционной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политике.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мобилизации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инвестиционных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основывалась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изъятии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госбюджет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дальнейшем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распределении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регионами,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отраслями,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Ассигнования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носили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безвозмездный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упоре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диверсифицированы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Наряду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коллективных,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индивидуальных,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(удельный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коллективных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капиталовложений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1).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433958" w:rsidP="00066C18">
      <w:pPr>
        <w:pStyle w:val="3"/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156.75pt" filled="t">
            <v:fill color2="black"/>
            <v:imagedata r:id="rId7" o:title=""/>
          </v:shape>
        </w:pic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bCs/>
          <w:sz w:val="28"/>
        </w:rPr>
      </w:pPr>
      <w:r w:rsidRPr="00066C18">
        <w:rPr>
          <w:bCs/>
          <w:sz w:val="28"/>
          <w:szCs w:val="28"/>
        </w:rPr>
        <w:t>Таб.</w:t>
      </w:r>
      <w:r>
        <w:rPr>
          <w:bCs/>
          <w:sz w:val="28"/>
          <w:szCs w:val="28"/>
        </w:rPr>
        <w:t xml:space="preserve"> </w:t>
      </w:r>
      <w:r w:rsidRPr="00066C1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066C1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66C18">
        <w:rPr>
          <w:bCs/>
          <w:sz w:val="28"/>
        </w:rPr>
        <w:t>Удельный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вес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коллективных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и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индивидуальных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капиталовложений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в</w:t>
      </w:r>
      <w:r>
        <w:rPr>
          <w:bCs/>
          <w:sz w:val="28"/>
        </w:rPr>
        <w:t xml:space="preserve"> </w:t>
      </w:r>
      <w:r w:rsidRPr="00066C18">
        <w:rPr>
          <w:bCs/>
          <w:sz w:val="28"/>
        </w:rPr>
        <w:t>экономику.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</w:rPr>
      </w:pP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децентрализация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капиталовложений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сторону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властей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заменяется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кредитованием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капиталовложений,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специализированными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банками.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iCs/>
          <w:sz w:val="28"/>
          <w:szCs w:val="28"/>
        </w:rPr>
        <w:t>Частными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предприятиями,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наемных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превышающим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базе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отмечается,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поощрять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основанной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господствующие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определенное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оживляет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самостоятельность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получили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коллективного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сектора.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коллективным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охвачена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городов.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элементом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уклада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(«предприятия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волостей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поселков»):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транспорт,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идут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питание.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13,5%.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продолжает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господствующее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показателям,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розничном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товарообороте,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занятых.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90-х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сокращаться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приведена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2).</w:t>
      </w:r>
      <w:r>
        <w:rPr>
          <w:sz w:val="28"/>
          <w:szCs w:val="28"/>
        </w:rPr>
        <w:t xml:space="preserve"> </w:t>
      </w:r>
    </w:p>
    <w:p w:rsidR="00066C18" w:rsidRPr="00066C18" w:rsidRDefault="0043395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54pt;margin-top:21.5pt;width:294.95pt;height:149.8pt;z-index:251658240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Таб.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удельного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веса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привело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определенному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уменьшению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Негосударственные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играют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трети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доходов,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назад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Пекина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узких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улочках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столицы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велосипед,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российским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несопоставимо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шире,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заполонили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новенькие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«Ауди»,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«Фольксвагены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Пассат»,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«Тойоты»,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«Ситроены»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«Бьюики».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сопровождалось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жесткими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санкциями,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наоборот,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автомобилестроителей.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вышел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количеству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полагать,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предел.</w:t>
      </w:r>
    </w:p>
    <w:p w:rsidR="00066C18" w:rsidRPr="00066C18" w:rsidRDefault="00066C18" w:rsidP="00066C18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1,45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2,07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323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607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(темп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19%).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6,26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(темп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2,33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12,8%.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0"/>
        </w:rPr>
      </w:pP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менее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эффективно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решается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жилищный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вопрос.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бывавший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каком-нибудь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районе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столицы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хотя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пару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недель,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рискует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узнать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–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целые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кварталы,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состоящие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из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традиционных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карточных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домиков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грязных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двориков,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буквально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одну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ночь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сносятся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бульдозерами.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месте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грибы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вырастают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небоскребы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супермаркеты.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сохраняется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бесплатное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муниципальное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жилье.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желающих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приобрести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собственные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хоромы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существует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доступная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кредитования.</w:t>
      </w:r>
      <w:r>
        <w:rPr>
          <w:sz w:val="28"/>
          <w:szCs w:val="20"/>
        </w:rPr>
        <w:t xml:space="preserve"> 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стремится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ведущим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отраслях,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производящих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компьютерную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оснастку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программное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намерен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добиться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успеха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качестве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экспортера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программного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Индия,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компьютерной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оснастки,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Тайвань.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внутри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делает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ставку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развитие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новой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информационной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хотя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может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привести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ослаблению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контроля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правительства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связи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распределением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информации.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Доступ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Интернет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через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личные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компьютеры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имеют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ныне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69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время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году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8,9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Еще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большее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людей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могут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выходить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связь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помощью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своих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сотовых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телефонов.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млн.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семей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сейчас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пользуются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кабельным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телевидением,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делает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крупнейшим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мире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рынком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кабельного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телевидения.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2005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году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может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возросло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раза.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является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крупнейшим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рынком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продажи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сотовых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телефонов,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насчитывается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ежемесячно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штук.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9,1%,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показателем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выросли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20,3%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12,1%).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Анализируя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экспертов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считают,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стабильности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планомерному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умелой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инвестиционной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Пекина.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выводят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верховенство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авторитарного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режима.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известно,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подрывают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зачастую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непопулярны.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демократическим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вероятно,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возникло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движение,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оппозиционное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реформам.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авторитарный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режим,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обстоятельство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радикальные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ошеломляющих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результатов.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pStyle w:val="4"/>
        <w:numPr>
          <w:ilvl w:val="0"/>
          <w:numId w:val="0"/>
        </w:numPr>
        <w:spacing w:before="0" w:after="0" w:line="360" w:lineRule="auto"/>
        <w:ind w:left="709"/>
        <w:jc w:val="center"/>
        <w:rPr>
          <w:sz w:val="28"/>
          <w:szCs w:val="28"/>
        </w:rPr>
      </w:pPr>
      <w:r w:rsidRPr="00066C18">
        <w:rPr>
          <w:sz w:val="28"/>
          <w:szCs w:val="28"/>
        </w:rPr>
        <w:t>ГЛАВА 4. КИТАЙ В МИРОХОЗЯЙСТВЕННЫХ СВЯЗЯХ</w:t>
      </w:r>
    </w:p>
    <w:p w:rsid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внешняя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торговля.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товарооборот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20,1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2001г.</w:t>
      </w:r>
      <w:r>
        <w:rPr>
          <w:sz w:val="28"/>
          <w:szCs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1979</w:t>
      </w:r>
      <w:r>
        <w:rPr>
          <w:sz w:val="28"/>
        </w:rPr>
        <w:t xml:space="preserve"> </w:t>
      </w:r>
      <w:r w:rsidRPr="00066C18">
        <w:rPr>
          <w:sz w:val="28"/>
        </w:rPr>
        <w:t>-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объем</w:t>
      </w:r>
      <w:r>
        <w:rPr>
          <w:sz w:val="28"/>
        </w:rPr>
        <w:t xml:space="preserve"> </w:t>
      </w:r>
      <w:r w:rsidRPr="00066C18">
        <w:rPr>
          <w:sz w:val="28"/>
        </w:rPr>
        <w:t>внешней</w:t>
      </w:r>
      <w:r>
        <w:rPr>
          <w:sz w:val="28"/>
        </w:rPr>
        <w:t xml:space="preserve"> </w:t>
      </w:r>
      <w:r w:rsidRPr="00066C18">
        <w:rPr>
          <w:sz w:val="28"/>
        </w:rPr>
        <w:t>торговли</w:t>
      </w:r>
      <w:r>
        <w:rPr>
          <w:sz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ежегодно</w:t>
      </w:r>
      <w:r>
        <w:rPr>
          <w:sz w:val="28"/>
        </w:rPr>
        <w:t xml:space="preserve"> </w:t>
      </w:r>
      <w:r w:rsidRPr="00066C18">
        <w:rPr>
          <w:sz w:val="28"/>
        </w:rPr>
        <w:t>увеличивался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среднем</w:t>
      </w:r>
      <w:r>
        <w:rPr>
          <w:sz w:val="28"/>
        </w:rPr>
        <w:t xml:space="preserve"> </w:t>
      </w:r>
      <w:r w:rsidRPr="00066C18">
        <w:rPr>
          <w:sz w:val="28"/>
        </w:rPr>
        <w:t>на</w:t>
      </w:r>
      <w:r>
        <w:rPr>
          <w:sz w:val="28"/>
        </w:rPr>
        <w:t xml:space="preserve"> </w:t>
      </w:r>
      <w:r w:rsidRPr="00066C18">
        <w:rPr>
          <w:sz w:val="28"/>
        </w:rPr>
        <w:t>15,3%</w:t>
      </w:r>
      <w:r w:rsidRPr="00066C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следствием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существенное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75-80%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валютных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13-е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442,1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миллиарда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дешевой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конкурентоспособен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трудоемких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производствах.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бытовые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приборы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одежда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принадлежности,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мебель,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ценами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европейского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2-3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ниже,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качества.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2000г.),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свидетельствует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глубокой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вовлеченности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мирохозяйственные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16-е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2000гг.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по-прежнему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низкой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3%.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отметить,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0,75%.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важнейших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приобретение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техники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технологии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Существенно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нефтяной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нефтеперерабатывающей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самолетостроения,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металлургии.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обеспечено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наименований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сократил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зерновых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прекратил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соевых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бобов,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культур,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внедрению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позволившему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культур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сохраняется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сырья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назначения: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лесоматериалы,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каучук,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целлюлоза,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товары.</w:t>
      </w:r>
    </w:p>
    <w:p w:rsid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Импорт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380,55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миллиардами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Главные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сырье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первичные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пластмассы,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интегральные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схемы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компоненты,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высокотехнологичные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комплексы.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структуре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опубликованные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таможенным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</w:p>
    <w:p w:rsidR="00066C18" w:rsidRPr="00066C18" w:rsidRDefault="0043395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34.85pt;width:424.9pt;height:238.15pt;z-index:251657216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20"/>
                    <w:gridCol w:w="1368"/>
                    <w:gridCol w:w="1224"/>
                    <w:gridCol w:w="1287"/>
                  </w:tblGrid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rStyle w:val="a5"/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rStyle w:val="a5"/>
                            <w:sz w:val="20"/>
                            <w:szCs w:val="20"/>
                          </w:rPr>
                          <w:t>Годы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b/>
                            <w:sz w:val="20"/>
                            <w:szCs w:val="20"/>
                          </w:rPr>
                          <w:t>2000 г.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rStyle w:val="a5"/>
                            <w:bCs w:val="0"/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rStyle w:val="a5"/>
                            <w:bCs w:val="0"/>
                            <w:sz w:val="20"/>
                            <w:szCs w:val="20"/>
                          </w:rPr>
                          <w:t>2003 г.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b/>
                            <w:sz w:val="20"/>
                            <w:szCs w:val="20"/>
                          </w:rPr>
                          <w:t>2004 г.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продукция машиностроительной и электронной промышленности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110,546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161,683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228,782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высокотехнологичная продукция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64,765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80,041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117,978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сырая нефть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10,321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16,183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24,21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медные изделия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0,986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3,992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6,256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бумага и картон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1,456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3,170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3,354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нефтепродукты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3,453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4,361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7,108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железная руда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2,567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5,283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10,566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удобрения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0,987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1,628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1,954</w:t>
                        </w:r>
                      </w:p>
                    </w:tc>
                  </w:tr>
                  <w:tr w:rsidR="00066C18" w:rsidTr="00066C18">
                    <w:trPr>
                      <w:trHeight w:val="419"/>
                    </w:trPr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соевые бобы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1,945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3,841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5,494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бумажная масса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0,764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2,163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P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6C18">
                          <w:rPr>
                            <w:sz w:val="20"/>
                            <w:szCs w:val="20"/>
                          </w:rPr>
                          <w:t>3,18</w:t>
                        </w:r>
                      </w:p>
                    </w:tc>
                  </w:tr>
                  <w:tr w:rsidR="00066C18">
                    <w:tc>
                      <w:tcPr>
                        <w:tcW w:w="4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алюминиевые изделия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0,994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2,021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66C18" w:rsidRDefault="00066C18" w:rsidP="00066C18">
                        <w:pPr>
                          <w:snapToGrid w:val="0"/>
                          <w:spacing w:line="360" w:lineRule="auto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2,788</w:t>
                        </w:r>
                      </w:p>
                    </w:tc>
                  </w:tr>
                </w:tbl>
                <w:p w:rsidR="00D67158" w:rsidRPr="00D67158" w:rsidRDefault="00D67158" w:rsidP="00D67158">
                  <w:pPr>
                    <w:rPr>
                      <w:vanish/>
                    </w:rPr>
                  </w:pPr>
                </w:p>
              </w:txbxContent>
            </v:textbox>
            <w10:wrap type="square" side="largest" anchorx="margin"/>
          </v:shape>
        </w:pic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Таб.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</w:p>
    <w:p w:rsid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хлопчатобумажных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тканей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натурального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шелка.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важнейшим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инвалютных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болезненных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странами.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Опасаясь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потребовал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сферу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включено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вызвано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опасением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судьбу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производителей.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квот,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введенных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удерживает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поставщиков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подпадает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последовательно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улучшает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распространяются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стоимость,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количества,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обходит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ограничения.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машиностроительную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электротехническую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металлообрабатывающие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станки,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судостроительная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велосипеды,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бытовые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электроприборы.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Проникновение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сдерживается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невысоким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качеством,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возможностями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послепродажного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выдерживает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конкуренции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поставщиками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выделяются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Южная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Корея.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Удельный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0,6%.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хлопчатобумажной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(52%),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шелковой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(65%),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легкой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(45%).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квота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5%.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Нынешний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преобладанием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Запада,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1996г.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приходилось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58%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внешнеторгового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оборота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Основными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торговыми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партнерами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являлись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Западной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Европы.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«ноу-хау».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рубежом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объясняется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географической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близостью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проводимой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японским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правительством,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оплачивать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дорогостоящий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оборудования.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лидирует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самолетов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электронно-вычислительной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66C18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поддерживает</w:t>
      </w:r>
      <w:r>
        <w:rPr>
          <w:sz w:val="28"/>
        </w:rPr>
        <w:t xml:space="preserve"> </w:t>
      </w:r>
      <w:r w:rsidRPr="00066C18">
        <w:rPr>
          <w:sz w:val="28"/>
        </w:rPr>
        <w:t>внешнеэкономические</w:t>
      </w:r>
      <w:r>
        <w:rPr>
          <w:sz w:val="28"/>
        </w:rPr>
        <w:t xml:space="preserve"> </w:t>
      </w:r>
      <w:r w:rsidRPr="00066C18">
        <w:rPr>
          <w:sz w:val="28"/>
        </w:rPr>
        <w:t>связи</w:t>
      </w:r>
      <w:r>
        <w:rPr>
          <w:sz w:val="28"/>
        </w:rPr>
        <w:t xml:space="preserve"> </w:t>
      </w:r>
      <w:r w:rsidRPr="00066C18">
        <w:rPr>
          <w:sz w:val="28"/>
        </w:rPr>
        <w:t>более</w:t>
      </w:r>
      <w:r>
        <w:rPr>
          <w:sz w:val="28"/>
        </w:rPr>
        <w:t xml:space="preserve"> </w:t>
      </w:r>
      <w:r w:rsidRPr="00066C18">
        <w:rPr>
          <w:sz w:val="28"/>
        </w:rPr>
        <w:t>чем</w:t>
      </w:r>
      <w:r>
        <w:rPr>
          <w:sz w:val="28"/>
        </w:rPr>
        <w:t xml:space="preserve"> </w:t>
      </w:r>
      <w:r w:rsidRPr="00066C18">
        <w:rPr>
          <w:sz w:val="28"/>
        </w:rPr>
        <w:t>с</w:t>
      </w:r>
      <w:r>
        <w:rPr>
          <w:sz w:val="28"/>
        </w:rPr>
        <w:t xml:space="preserve"> </w:t>
      </w:r>
      <w:r w:rsidRPr="00066C18">
        <w:rPr>
          <w:sz w:val="28"/>
        </w:rPr>
        <w:t>220</w:t>
      </w:r>
      <w:r>
        <w:rPr>
          <w:sz w:val="28"/>
        </w:rPr>
        <w:t xml:space="preserve"> </w:t>
      </w:r>
      <w:r w:rsidRPr="00066C18">
        <w:rPr>
          <w:sz w:val="28"/>
        </w:rPr>
        <w:t>странами</w:t>
      </w:r>
      <w:r>
        <w:rPr>
          <w:sz w:val="28"/>
        </w:rPr>
        <w:t xml:space="preserve"> </w:t>
      </w:r>
      <w:r w:rsidRPr="00066C18">
        <w:rPr>
          <w:sz w:val="28"/>
        </w:rPr>
        <w:t>(и</w:t>
      </w:r>
      <w:r>
        <w:rPr>
          <w:sz w:val="28"/>
        </w:rPr>
        <w:t xml:space="preserve"> </w:t>
      </w:r>
      <w:r w:rsidRPr="00066C18">
        <w:rPr>
          <w:sz w:val="28"/>
        </w:rPr>
        <w:t>территориями).</w:t>
      </w:r>
      <w:r>
        <w:rPr>
          <w:sz w:val="28"/>
        </w:rPr>
        <w:t xml:space="preserve"> </w:t>
      </w:r>
      <w:r w:rsidRPr="00066C18">
        <w:rPr>
          <w:sz w:val="28"/>
        </w:rPr>
        <w:t>Ведущими</w:t>
      </w:r>
      <w:r>
        <w:rPr>
          <w:sz w:val="28"/>
        </w:rPr>
        <w:t xml:space="preserve"> </w:t>
      </w:r>
      <w:r w:rsidRPr="00066C18">
        <w:rPr>
          <w:sz w:val="28"/>
        </w:rPr>
        <w:t>торговыми</w:t>
      </w:r>
      <w:r>
        <w:rPr>
          <w:sz w:val="28"/>
        </w:rPr>
        <w:t xml:space="preserve"> </w:t>
      </w:r>
      <w:r w:rsidRPr="00066C18">
        <w:rPr>
          <w:sz w:val="28"/>
        </w:rPr>
        <w:t>партнерами</w:t>
      </w:r>
      <w:r>
        <w:rPr>
          <w:sz w:val="28"/>
        </w:rPr>
        <w:t xml:space="preserve"> </w:t>
      </w:r>
      <w:r w:rsidRPr="00066C18">
        <w:rPr>
          <w:sz w:val="28"/>
        </w:rPr>
        <w:t>являются</w:t>
      </w:r>
      <w:r>
        <w:rPr>
          <w:sz w:val="28"/>
        </w:rPr>
        <w:t xml:space="preserve"> </w:t>
      </w:r>
      <w:r w:rsidRPr="00066C18">
        <w:rPr>
          <w:sz w:val="28"/>
        </w:rPr>
        <w:t>Япония,</w:t>
      </w:r>
      <w:r>
        <w:rPr>
          <w:sz w:val="28"/>
        </w:rPr>
        <w:t xml:space="preserve"> </w:t>
      </w:r>
      <w:r w:rsidRPr="00066C18">
        <w:rPr>
          <w:sz w:val="28"/>
        </w:rPr>
        <w:t>США,</w:t>
      </w:r>
      <w:r>
        <w:rPr>
          <w:sz w:val="28"/>
        </w:rPr>
        <w:t xml:space="preserve"> </w:t>
      </w:r>
      <w:r w:rsidRPr="00066C18">
        <w:rPr>
          <w:sz w:val="28"/>
        </w:rPr>
        <w:t>страны</w:t>
      </w:r>
      <w:r>
        <w:rPr>
          <w:sz w:val="28"/>
        </w:rPr>
        <w:t xml:space="preserve"> </w:t>
      </w:r>
      <w:r w:rsidRPr="00066C18">
        <w:rPr>
          <w:sz w:val="28"/>
        </w:rPr>
        <w:t>ЕС,</w:t>
      </w:r>
      <w:r>
        <w:rPr>
          <w:sz w:val="28"/>
        </w:rPr>
        <w:t xml:space="preserve"> </w:t>
      </w:r>
      <w:r w:rsidRPr="00066C18">
        <w:rPr>
          <w:sz w:val="28"/>
        </w:rPr>
        <w:t>Республика</w:t>
      </w:r>
      <w:r>
        <w:rPr>
          <w:sz w:val="28"/>
        </w:rPr>
        <w:t xml:space="preserve"> </w:t>
      </w:r>
      <w:r w:rsidRPr="00066C18">
        <w:rPr>
          <w:sz w:val="28"/>
        </w:rPr>
        <w:t>Корея,</w:t>
      </w:r>
      <w:r>
        <w:rPr>
          <w:sz w:val="28"/>
        </w:rPr>
        <w:t xml:space="preserve"> </w:t>
      </w:r>
      <w:r w:rsidRPr="00066C18">
        <w:rPr>
          <w:sz w:val="28"/>
        </w:rPr>
        <w:t>Австралия,</w:t>
      </w:r>
      <w:r>
        <w:rPr>
          <w:sz w:val="28"/>
        </w:rPr>
        <w:t xml:space="preserve"> </w:t>
      </w:r>
      <w:r w:rsidRPr="00066C18">
        <w:rPr>
          <w:sz w:val="28"/>
        </w:rPr>
        <w:t>Россия,</w:t>
      </w:r>
      <w:r>
        <w:rPr>
          <w:sz w:val="28"/>
        </w:rPr>
        <w:t xml:space="preserve"> </w:t>
      </w:r>
      <w:r w:rsidRPr="00066C18">
        <w:rPr>
          <w:sz w:val="28"/>
        </w:rPr>
        <w:t>Канада.</w:t>
      </w:r>
      <w:r>
        <w:rPr>
          <w:sz w:val="28"/>
        </w:rPr>
        <w:t xml:space="preserve"> </w:t>
      </w:r>
      <w:r w:rsidRPr="00066C18">
        <w:rPr>
          <w:sz w:val="28"/>
        </w:rPr>
        <w:t>Первое</w:t>
      </w:r>
      <w:r>
        <w:rPr>
          <w:sz w:val="28"/>
        </w:rPr>
        <w:t xml:space="preserve"> </w:t>
      </w:r>
      <w:r w:rsidRPr="00066C18">
        <w:rPr>
          <w:sz w:val="28"/>
        </w:rPr>
        <w:t>место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экспорте</w:t>
      </w:r>
      <w:r>
        <w:rPr>
          <w:sz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занимает</w:t>
      </w:r>
      <w:r>
        <w:rPr>
          <w:sz w:val="28"/>
        </w:rPr>
        <w:t xml:space="preserve"> </w:t>
      </w:r>
      <w:r w:rsidRPr="00066C18">
        <w:rPr>
          <w:sz w:val="28"/>
        </w:rPr>
        <w:t>продукция</w:t>
      </w:r>
      <w:r>
        <w:rPr>
          <w:sz w:val="28"/>
        </w:rPr>
        <w:t xml:space="preserve"> </w:t>
      </w:r>
      <w:r w:rsidRPr="00066C18">
        <w:rPr>
          <w:sz w:val="28"/>
        </w:rPr>
        <w:t>машиностроения</w:t>
      </w:r>
      <w:r>
        <w:rPr>
          <w:sz w:val="28"/>
        </w:rPr>
        <w:t xml:space="preserve"> </w:t>
      </w:r>
      <w:r w:rsidRPr="00066C18">
        <w:rPr>
          <w:sz w:val="28"/>
        </w:rPr>
        <w:t>(85</w:t>
      </w:r>
      <w:r>
        <w:rPr>
          <w:sz w:val="28"/>
        </w:rPr>
        <w:t xml:space="preserve"> </w:t>
      </w:r>
      <w:r w:rsidRPr="00066C18">
        <w:rPr>
          <w:sz w:val="28"/>
        </w:rPr>
        <w:t>млрд.</w:t>
      </w:r>
      <w:r>
        <w:rPr>
          <w:sz w:val="28"/>
        </w:rPr>
        <w:t xml:space="preserve"> </w:t>
      </w:r>
      <w:r w:rsidRPr="00066C18">
        <w:rPr>
          <w:sz w:val="28"/>
        </w:rPr>
        <w:t>долл.),</w:t>
      </w:r>
      <w:r>
        <w:rPr>
          <w:sz w:val="28"/>
        </w:rPr>
        <w:t xml:space="preserve"> </w:t>
      </w:r>
      <w:r w:rsidRPr="00066C18">
        <w:rPr>
          <w:sz w:val="28"/>
        </w:rPr>
        <w:t>доля</w:t>
      </w:r>
      <w:r>
        <w:rPr>
          <w:sz w:val="28"/>
        </w:rPr>
        <w:t xml:space="preserve"> </w:t>
      </w:r>
      <w:r w:rsidRPr="00066C18">
        <w:rPr>
          <w:sz w:val="28"/>
        </w:rPr>
        <w:t>которой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объеме</w:t>
      </w:r>
      <w:r>
        <w:rPr>
          <w:sz w:val="28"/>
        </w:rPr>
        <w:t xml:space="preserve"> </w:t>
      </w:r>
      <w:r w:rsidRPr="00066C18">
        <w:rPr>
          <w:sz w:val="28"/>
        </w:rPr>
        <w:t>достигает</w:t>
      </w:r>
      <w:r>
        <w:rPr>
          <w:sz w:val="28"/>
        </w:rPr>
        <w:t xml:space="preserve"> </w:t>
      </w:r>
      <w:r w:rsidRPr="00066C18">
        <w:rPr>
          <w:sz w:val="28"/>
        </w:rPr>
        <w:t>30%.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было</w:t>
      </w:r>
      <w:r>
        <w:rPr>
          <w:sz w:val="28"/>
        </w:rPr>
        <w:t xml:space="preserve"> </w:t>
      </w:r>
      <w:r w:rsidRPr="00066C18">
        <w:rPr>
          <w:sz w:val="28"/>
        </w:rPr>
        <w:t>экспортировано</w:t>
      </w:r>
      <w:r>
        <w:rPr>
          <w:sz w:val="28"/>
        </w:rPr>
        <w:t xml:space="preserve"> </w:t>
      </w:r>
      <w:r w:rsidRPr="00066C18">
        <w:rPr>
          <w:sz w:val="28"/>
        </w:rPr>
        <w:t>наукоемкой</w:t>
      </w:r>
      <w:r>
        <w:rPr>
          <w:sz w:val="28"/>
        </w:rPr>
        <w:t xml:space="preserve"> </w:t>
      </w:r>
      <w:r w:rsidRPr="00066C18">
        <w:rPr>
          <w:sz w:val="28"/>
        </w:rPr>
        <w:t>продукции</w:t>
      </w:r>
      <w:r>
        <w:rPr>
          <w:sz w:val="28"/>
        </w:rPr>
        <w:t xml:space="preserve"> </w:t>
      </w:r>
      <w:r w:rsidRPr="00066C18">
        <w:rPr>
          <w:sz w:val="28"/>
        </w:rPr>
        <w:t>более</w:t>
      </w:r>
      <w:r>
        <w:rPr>
          <w:sz w:val="28"/>
        </w:rPr>
        <w:t xml:space="preserve"> </w:t>
      </w:r>
      <w:r w:rsidRPr="00066C18">
        <w:rPr>
          <w:sz w:val="28"/>
        </w:rPr>
        <w:t>чем</w:t>
      </w:r>
      <w:r>
        <w:rPr>
          <w:sz w:val="28"/>
        </w:rPr>
        <w:t xml:space="preserve"> </w:t>
      </w:r>
      <w:r w:rsidRPr="00066C18">
        <w:rPr>
          <w:sz w:val="28"/>
        </w:rPr>
        <w:t>на</w:t>
      </w:r>
      <w:r>
        <w:rPr>
          <w:sz w:val="28"/>
        </w:rPr>
        <w:t xml:space="preserve"> </w:t>
      </w:r>
      <w:r w:rsidRPr="00066C18">
        <w:rPr>
          <w:sz w:val="28"/>
        </w:rPr>
        <w:t>46</w:t>
      </w:r>
      <w:r>
        <w:rPr>
          <w:sz w:val="28"/>
        </w:rPr>
        <w:t xml:space="preserve"> </w:t>
      </w:r>
      <w:r w:rsidRPr="00066C18">
        <w:rPr>
          <w:sz w:val="28"/>
        </w:rPr>
        <w:t>млрд.</w:t>
      </w:r>
      <w:r>
        <w:rPr>
          <w:sz w:val="28"/>
        </w:rPr>
        <w:t xml:space="preserve"> </w:t>
      </w:r>
      <w:r w:rsidRPr="00066C18">
        <w:rPr>
          <w:sz w:val="28"/>
        </w:rPr>
        <w:t>долл.</w:t>
      </w:r>
      <w:r>
        <w:rPr>
          <w:sz w:val="28"/>
        </w:rPr>
        <w:t xml:space="preserve"> </w:t>
      </w:r>
      <w:r w:rsidRPr="00066C18">
        <w:rPr>
          <w:sz w:val="28"/>
        </w:rPr>
        <w:t>и</w:t>
      </w:r>
      <w:r>
        <w:rPr>
          <w:sz w:val="28"/>
        </w:rPr>
        <w:t xml:space="preserve"> </w:t>
      </w:r>
      <w:r w:rsidRPr="00066C18">
        <w:rPr>
          <w:sz w:val="28"/>
        </w:rPr>
        <w:t>ее</w:t>
      </w:r>
      <w:r>
        <w:rPr>
          <w:sz w:val="28"/>
        </w:rPr>
        <w:t xml:space="preserve"> </w:t>
      </w:r>
      <w:r w:rsidRPr="00066C18">
        <w:rPr>
          <w:sz w:val="28"/>
        </w:rPr>
        <w:t>доля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объеме</w:t>
      </w:r>
      <w:r>
        <w:rPr>
          <w:sz w:val="28"/>
        </w:rPr>
        <w:t xml:space="preserve"> </w:t>
      </w:r>
      <w:r w:rsidRPr="00066C18">
        <w:rPr>
          <w:sz w:val="28"/>
        </w:rPr>
        <w:t>экспорта</w:t>
      </w:r>
      <w:r>
        <w:rPr>
          <w:sz w:val="28"/>
        </w:rPr>
        <w:t xml:space="preserve"> </w:t>
      </w:r>
      <w:r w:rsidRPr="00066C18">
        <w:rPr>
          <w:sz w:val="28"/>
        </w:rPr>
        <w:t>составила</w:t>
      </w:r>
      <w:r>
        <w:rPr>
          <w:sz w:val="28"/>
        </w:rPr>
        <w:t xml:space="preserve"> </w:t>
      </w:r>
      <w:r w:rsidRPr="00066C18">
        <w:rPr>
          <w:sz w:val="28"/>
        </w:rPr>
        <w:t>17,5%.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Китай</w:t>
      </w:r>
      <w:r>
        <w:rPr>
          <w:sz w:val="28"/>
        </w:rPr>
        <w:t xml:space="preserve"> </w:t>
      </w:r>
      <w:r w:rsidRPr="00066C18">
        <w:rPr>
          <w:sz w:val="28"/>
        </w:rPr>
        <w:t>занял</w:t>
      </w:r>
      <w:r>
        <w:rPr>
          <w:sz w:val="28"/>
        </w:rPr>
        <w:t xml:space="preserve"> </w:t>
      </w:r>
      <w:r w:rsidRPr="00066C18">
        <w:rPr>
          <w:sz w:val="28"/>
        </w:rPr>
        <w:t>второе</w:t>
      </w:r>
      <w:r>
        <w:rPr>
          <w:sz w:val="28"/>
        </w:rPr>
        <w:t xml:space="preserve"> </w:t>
      </w:r>
      <w:r w:rsidRPr="00066C18">
        <w:rPr>
          <w:sz w:val="28"/>
        </w:rPr>
        <w:t>место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мире</w:t>
      </w:r>
      <w:r>
        <w:rPr>
          <w:sz w:val="28"/>
        </w:rPr>
        <w:t xml:space="preserve"> </w:t>
      </w:r>
      <w:r w:rsidRPr="00066C18">
        <w:rPr>
          <w:sz w:val="28"/>
        </w:rPr>
        <w:t>по</w:t>
      </w:r>
      <w:r>
        <w:rPr>
          <w:sz w:val="28"/>
        </w:rPr>
        <w:t xml:space="preserve"> </w:t>
      </w:r>
      <w:r w:rsidRPr="00066C18">
        <w:rPr>
          <w:sz w:val="28"/>
        </w:rPr>
        <w:t>экспорту</w:t>
      </w:r>
      <w:r>
        <w:rPr>
          <w:sz w:val="28"/>
        </w:rPr>
        <w:t xml:space="preserve"> </w:t>
      </w:r>
      <w:r w:rsidRPr="00066C18">
        <w:rPr>
          <w:sz w:val="28"/>
        </w:rPr>
        <w:t>угля</w:t>
      </w:r>
      <w:r>
        <w:rPr>
          <w:sz w:val="28"/>
        </w:rPr>
        <w:t xml:space="preserve"> </w:t>
      </w:r>
      <w:r w:rsidRPr="00066C18">
        <w:rPr>
          <w:sz w:val="28"/>
        </w:rPr>
        <w:t>(более</w:t>
      </w:r>
      <w:r>
        <w:rPr>
          <w:sz w:val="28"/>
        </w:rPr>
        <w:t xml:space="preserve"> </w:t>
      </w:r>
      <w:r w:rsidRPr="00066C18">
        <w:rPr>
          <w:sz w:val="28"/>
        </w:rPr>
        <w:t>80</w:t>
      </w:r>
      <w:r>
        <w:rPr>
          <w:sz w:val="28"/>
        </w:rPr>
        <w:t xml:space="preserve"> </w:t>
      </w:r>
      <w:r w:rsidRPr="00066C18">
        <w:rPr>
          <w:sz w:val="28"/>
        </w:rPr>
        <w:t>млн.</w:t>
      </w:r>
      <w:r>
        <w:rPr>
          <w:sz w:val="28"/>
        </w:rPr>
        <w:t xml:space="preserve"> </w:t>
      </w:r>
      <w:r w:rsidRPr="00066C18">
        <w:rPr>
          <w:sz w:val="28"/>
        </w:rPr>
        <w:t>т.).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учебники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подчеркивают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неразрывную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рыночного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демократией.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Феномен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коммунистического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усомниться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справедливости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истины: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авторитарная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власть,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оказывается,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уживается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либеральной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экономикой.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громадная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ежегодным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девятипроцентным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либеральной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открытой: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ежегодно;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вступления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Всемирную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пошлин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сократился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41%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6%.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решающий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вклад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опережающий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многочисленной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развивающихся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превратился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ключевой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фактор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2004г.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аналитики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инвестиционного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банка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«Голдман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Сакс»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опубликовали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ближайшие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полвека.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десятилетий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радикально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измениться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конфигурация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называемой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«большой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восьмерки».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элитной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группировки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выглядит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анахронизмом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сейчас.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дальнейшем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лидеров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вытеснив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оттуда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Италия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Канада.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прогнозу,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опередить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ежегодного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приблизительно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десятилетия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крупнейшую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мира.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66C18">
        <w:rPr>
          <w:b/>
          <w:sz w:val="28"/>
          <w:szCs w:val="28"/>
        </w:rPr>
        <w:t>ЗАКЛЮЧЕНИЕ</w:t>
      </w:r>
    </w:p>
    <w:p w:rsidR="00066C18" w:rsidRPr="00066C18" w:rsidRDefault="00066C18" w:rsidP="00066C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Мировая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сложная,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подвижная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система,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находящаяся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постоянном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произошли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последнюю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века.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bCs/>
          <w:sz w:val="28"/>
          <w:szCs w:val="11"/>
        </w:rPr>
      </w:pPr>
      <w:r w:rsidRPr="00066C18">
        <w:rPr>
          <w:bCs/>
          <w:sz w:val="28"/>
          <w:szCs w:val="11"/>
        </w:rPr>
        <w:t>Китайская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Народная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Республика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(КНР)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–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третье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размерам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территории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государство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мира.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Его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площадь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превышает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9,6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млн.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кв.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Китай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делится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на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26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провинций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три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города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центрального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подчинения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–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Пекин,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Шанхай,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Тяньцзинь.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превратились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локомотив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2004г.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5,1%,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посткоммунистическими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совокупный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6,6%.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Феноменом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стремительное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прямых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развивающихся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направляемых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Всемирного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банка,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приблизительно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2004г.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тенденцию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дальнейшему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ускорению.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вложения,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покупка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выпуску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компьютеров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«Ай-Би-Эм»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знаменитой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английской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«МГ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Ровер»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свидетельствуют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инвесторов.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Успехи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выражаются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лидером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угля,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цемента,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зерна,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мяса,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добыче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электроэнергии.</w:t>
      </w:r>
      <w:r>
        <w:rPr>
          <w:sz w:val="28"/>
          <w:szCs w:val="28"/>
        </w:rPr>
        <w:t xml:space="preserve"> </w:t>
      </w:r>
    </w:p>
    <w:p w:rsidR="00066C18" w:rsidRPr="00066C18" w:rsidRDefault="00066C18" w:rsidP="00066C18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внешняя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ориентируется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всемирное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политическое,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идеологическое,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возвышения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нейтрализации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негативной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реакции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рубежом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процесс.</w:t>
      </w:r>
    </w:p>
    <w:p w:rsidR="00066C18" w:rsidRPr="00066C18" w:rsidRDefault="00066C18" w:rsidP="00066C1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66C18">
        <w:rPr>
          <w:b/>
          <w:sz w:val="28"/>
          <w:szCs w:val="28"/>
        </w:rPr>
        <w:t>СПИСОК ЛИТЕРАТУРЫ</w:t>
      </w:r>
    </w:p>
    <w:p w:rsidR="00066C18" w:rsidRPr="00066C18" w:rsidRDefault="00066C18" w:rsidP="00066C18">
      <w:pPr>
        <w:pStyle w:val="ac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Ломакин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В.К.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Мировая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экономика: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вузов.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перераб.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Финансы,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ЮНИТИ-ДАНА,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2004.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Фомичев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Международная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торговля: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Учебник;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перераб.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ИНФРА-М,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2001.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Мировая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экономика: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Учебник/Под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проф.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А.С.Булатова.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Юристъ,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2002.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Международные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экономические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отношения: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вузов/Под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проф.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Е.Ф.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Жукова.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ЮНИТИ-ДАНА,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2000.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Раджабова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З.К.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Мировая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экономика: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вузов.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Изд.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2-е,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перераб.,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ИНФРА-М,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2001.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Бергер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Я.,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Михеев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Китай: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социальные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вызовы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развитию//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экономика.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C18">
        <w:rPr>
          <w:rFonts w:ascii="Times New Roman" w:hAnsi="Times New Roman"/>
          <w:sz w:val="28"/>
          <w:szCs w:val="28"/>
        </w:rPr>
        <w:t>2005.</w:t>
      </w:r>
    </w:p>
    <w:p w:rsidR="00066C18" w:rsidRPr="00066C18" w:rsidRDefault="00066C18" w:rsidP="00066C18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66C18">
        <w:rPr>
          <w:rFonts w:ascii="Times New Roman" w:hAnsi="Times New Roman"/>
          <w:sz w:val="28"/>
          <w:szCs w:val="28"/>
        </w:rPr>
        <w:t>Друзик Я.С. Свободные экономические зоны //М: 2000.</w:t>
      </w:r>
      <w:bookmarkStart w:id="0" w:name="_GoBack"/>
      <w:bookmarkEnd w:id="0"/>
    </w:p>
    <w:sectPr w:rsidR="00066C18" w:rsidRPr="00066C18" w:rsidSect="00066C18">
      <w:footerReference w:type="default" r:id="rId9"/>
      <w:footnotePr>
        <w:pos w:val="beneathText"/>
      </w:footnotePr>
      <w:pgSz w:w="11905" w:h="16837" w:code="9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58" w:rsidRDefault="00D67158">
      <w:r>
        <w:separator/>
      </w:r>
    </w:p>
  </w:endnote>
  <w:endnote w:type="continuationSeparator" w:id="0">
    <w:p w:rsidR="00D67158" w:rsidRDefault="00D6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18" w:rsidRDefault="00433958">
    <w:pPr>
      <w:pStyle w:val="ae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5pt;margin-top:.05pt;width:12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066C18" w:rsidRDefault="00066C18">
                <w:pPr>
                  <w:pStyle w:val="ae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66D3F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58" w:rsidRDefault="00D67158">
      <w:r>
        <w:separator/>
      </w:r>
    </w:p>
  </w:footnote>
  <w:footnote w:type="continuationSeparator" w:id="0">
    <w:p w:rsidR="00D67158" w:rsidRDefault="00D6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C18"/>
    <w:rsid w:val="00066C18"/>
    <w:rsid w:val="00433958"/>
    <w:rsid w:val="00D2073B"/>
    <w:rsid w:val="00D67158"/>
    <w:rsid w:val="00E6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352D848D-0ABE-4FEE-A9D3-069197A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">
    <w:name w:val="Основной шрифт абзаца1"/>
  </w:style>
  <w:style w:type="character" w:customStyle="1" w:styleId="a4">
    <w:name w:val="Обычный (веб) Знак Знак"/>
    <w:rPr>
      <w:rFonts w:cs="Times New Roman"/>
      <w:sz w:val="24"/>
      <w:szCs w:val="24"/>
      <w:lang w:val="ru-RU" w:eastAsia="x-none"/>
    </w:rPr>
  </w:style>
  <w:style w:type="character" w:styleId="a5">
    <w:name w:val="Strong"/>
    <w:uiPriority w:val="22"/>
    <w:qFormat/>
    <w:rPr>
      <w:rFonts w:cs="Times New Roman"/>
      <w:b/>
      <w:bCs/>
    </w:rPr>
  </w:style>
  <w:style w:type="character" w:styleId="a6">
    <w:name w:val="page number"/>
    <w:uiPriority w:val="99"/>
    <w:semiHidden/>
    <w:rPr>
      <w:rFonts w:cs="Times New Roman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8"/>
    <w:uiPriority w:val="99"/>
    <w:semiHidden/>
    <w:pPr>
      <w:spacing w:after="120"/>
    </w:pPr>
  </w:style>
  <w:style w:type="character" w:customStyle="1" w:styleId="a8">
    <w:name w:val="Основной текст Знак"/>
    <w:link w:val="a0"/>
    <w:uiPriority w:val="99"/>
    <w:semiHidden/>
    <w:rPr>
      <w:sz w:val="24"/>
      <w:szCs w:val="24"/>
      <w:lang w:eastAsia="ar-SA"/>
    </w:rPr>
  </w:style>
  <w:style w:type="paragraph" w:styleId="a9">
    <w:name w:val="List"/>
    <w:basedOn w:val="a0"/>
    <w:uiPriority w:val="99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link w:val="ab"/>
    <w:uiPriority w:val="99"/>
    <w:semiHidden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  <w:lang w:eastAsia="ar-SA"/>
    </w:rPr>
  </w:style>
  <w:style w:type="paragraph" w:customStyle="1" w:styleId="NormalWeb">
    <w:name w:val="Normal (Web).Обычный (веб) Знак"/>
    <w:basedOn w:val="a"/>
    <w:pPr>
      <w:spacing w:before="100" w:after="100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pPr>
      <w:keepNext/>
      <w:overflowPunct w:val="0"/>
      <w:autoSpaceDE w:val="0"/>
      <w:spacing w:line="480" w:lineRule="atLeast"/>
      <w:ind w:firstLine="567"/>
      <w:jc w:val="both"/>
      <w:textAlignment w:val="baseline"/>
    </w:pPr>
    <w:rPr>
      <w:rFonts w:ascii="Journal" w:hAnsi="Journal"/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lang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  <w:lang w:eastAsia="ar-SA"/>
    </w:rPr>
  </w:style>
  <w:style w:type="paragraph" w:customStyle="1" w:styleId="af0">
    <w:name w:val="Содержимое врезки"/>
    <w:basedOn w:val="a0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2008-10-29T18:49:00Z</cp:lastPrinted>
  <dcterms:created xsi:type="dcterms:W3CDTF">2014-02-28T07:28:00Z</dcterms:created>
  <dcterms:modified xsi:type="dcterms:W3CDTF">2014-02-28T07:28:00Z</dcterms:modified>
</cp:coreProperties>
</file>