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C1D7" w14:textId="77777777" w:rsidR="00E46F45" w:rsidRPr="00222ACC" w:rsidRDefault="00222ACC" w:rsidP="00222ACC">
      <w:pPr>
        <w:spacing w:before="0" w:after="0"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Валютный (обменный) курс</w:t>
      </w:r>
    </w:p>
    <w:p w14:paraId="770711F2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</w:p>
    <w:p w14:paraId="65485DA2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</w:rPr>
        <w:t xml:space="preserve">Валютный (обменный) курс – </w:t>
      </w:r>
      <w:r w:rsidRPr="00222ACC">
        <w:rPr>
          <w:sz w:val="28"/>
          <w:szCs w:val="28"/>
        </w:rPr>
        <w:t>цена единицы иностранной валюты, выраженная в количестве денежных единиц национальной валюты. Иногда имеет место  обратная ситуация. Например, в Великобр</w:t>
      </w:r>
      <w:r w:rsidR="00222ACC">
        <w:rPr>
          <w:sz w:val="28"/>
          <w:szCs w:val="28"/>
        </w:rPr>
        <w:t>итании обменный курс показывает</w:t>
      </w:r>
      <w:r w:rsidRPr="00222ACC">
        <w:rPr>
          <w:sz w:val="28"/>
          <w:szCs w:val="28"/>
        </w:rPr>
        <w:t>, сколько единиц иностранной валюты можно купить на одну единицу национальной  валюты (</w:t>
      </w:r>
      <w:r w:rsidRPr="00222ACC">
        <w:rPr>
          <w:i/>
          <w:iCs/>
          <w:sz w:val="28"/>
          <w:szCs w:val="28"/>
        </w:rPr>
        <w:t xml:space="preserve">девизный курс). </w:t>
      </w:r>
      <w:r w:rsidRPr="00222ACC">
        <w:rPr>
          <w:sz w:val="28"/>
          <w:szCs w:val="28"/>
        </w:rPr>
        <w:t>Обменный курс обычно представлен в виде двух показателей – цены покупки и цены продажи.</w:t>
      </w:r>
    </w:p>
    <w:p w14:paraId="243CFF46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5319D7BA" w14:textId="77777777" w:rsidR="00E46F45" w:rsidRPr="00222ACC" w:rsidRDefault="00E46F45" w:rsidP="00222ACC">
      <w:pPr>
        <w:pStyle w:val="2"/>
        <w:spacing w:line="360" w:lineRule="auto"/>
        <w:ind w:right="0"/>
        <w:rPr>
          <w:sz w:val="28"/>
          <w:szCs w:val="28"/>
        </w:rPr>
      </w:pPr>
      <w:r w:rsidRPr="00222ACC">
        <w:rPr>
          <w:sz w:val="28"/>
          <w:szCs w:val="28"/>
        </w:rPr>
        <w:t>Режимы валютных курсов</w:t>
      </w:r>
    </w:p>
    <w:p w14:paraId="2175D65C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</w:p>
    <w:p w14:paraId="40AD4E74" w14:textId="77777777" w:rsidR="00E46F45" w:rsidRPr="00222ACC" w:rsidRDefault="00E46F45" w:rsidP="00222ACC">
      <w:pPr>
        <w:pStyle w:val="a3"/>
        <w:spacing w:line="360" w:lineRule="auto"/>
        <w:ind w:right="0"/>
        <w:rPr>
          <w:sz w:val="28"/>
          <w:szCs w:val="28"/>
        </w:rPr>
      </w:pPr>
      <w:r w:rsidRPr="00222ACC">
        <w:rPr>
          <w:sz w:val="28"/>
          <w:szCs w:val="28"/>
        </w:rPr>
        <w:t>В соответствии с методикой  МВФ различают два вида режимов валютных курсов – плавающий и фиксированный.</w:t>
      </w:r>
    </w:p>
    <w:p w14:paraId="53A79979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5FB78EEC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  <w:u w:val="single"/>
        </w:rPr>
        <w:t>Плавающий валютный курс</w:t>
      </w:r>
      <w:r w:rsidRPr="00222ACC">
        <w:rPr>
          <w:i/>
          <w:iCs/>
          <w:sz w:val="28"/>
          <w:szCs w:val="28"/>
        </w:rPr>
        <w:t xml:space="preserve"> – </w:t>
      </w:r>
      <w:r w:rsidRPr="00222ACC">
        <w:rPr>
          <w:sz w:val="28"/>
          <w:szCs w:val="28"/>
        </w:rPr>
        <w:t>это курс , свободно изменяющийся под влиянием спроса и предложения, на который государство  может при определенных обстоятельствах оказывать воздействие путем валютных интервенций.</w:t>
      </w:r>
    </w:p>
    <w:p w14:paraId="1FF2D704" w14:textId="77777777" w:rsidR="00E46F45" w:rsidRPr="00222ACC" w:rsidRDefault="00E46F45" w:rsidP="00222ACC">
      <w:pPr>
        <w:pStyle w:val="21"/>
        <w:ind w:right="0" w:firstLine="720"/>
        <w:rPr>
          <w:sz w:val="28"/>
          <w:szCs w:val="28"/>
        </w:rPr>
      </w:pPr>
      <w:r w:rsidRPr="00222ACC">
        <w:rPr>
          <w:sz w:val="28"/>
          <w:szCs w:val="28"/>
        </w:rPr>
        <w:t>Экспорт товаров и услуг порождает предложение валюты внутри страны (в России, например, экспортеры обязаны продавать половину валютной выручки). В свою очередь, импортеры для закупок иностранных товаров и население в качестве  сбережений создают спрос на валюту. Баланс спроса и предложения формирует обменный курс валюты. Дисбаланс спроса и предложения компенсируется интервенцией ЦБ, что сказывается на величине золотовалютных резервов страны.</w:t>
      </w:r>
    </w:p>
    <w:p w14:paraId="422F81C8" w14:textId="77777777" w:rsidR="00E46F45" w:rsidRPr="00222ACC" w:rsidRDefault="00E46F45" w:rsidP="00222ACC">
      <w:pPr>
        <w:pStyle w:val="21"/>
        <w:ind w:right="0" w:firstLine="720"/>
        <w:rPr>
          <w:sz w:val="28"/>
          <w:szCs w:val="28"/>
        </w:rPr>
      </w:pPr>
      <w:r w:rsidRPr="00222ACC">
        <w:rPr>
          <w:sz w:val="28"/>
          <w:szCs w:val="28"/>
        </w:rPr>
        <w:t xml:space="preserve">На данный момент Центробанк продолжает наращивать золотовалютные резервы и медленно укреплять номинальный курс рубля. По информации департамента внешних и общественных связей ЦБ, объем золотовалютных резервов по состоянию на 7 марта 2003 г. равнялся 54,6 млрд. долл. За следующую  неделю он увеличился на 1,5 млрд. долл. </w:t>
      </w:r>
    </w:p>
    <w:p w14:paraId="33929A84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1A3E9106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Механизмы курсообразования при плавающем валютном курсе делятся на “чистое плавание” и “грязное плавание”. “Чистое плавание” – курсообразование без  вмешательства центрального банка на валютном рынке. “Грязное плавание” – курсообразование при активных интеревенциях ЦБ на валютном рынке.</w:t>
      </w:r>
    </w:p>
    <w:p w14:paraId="6D4E4933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Сейчас Банк России вновь возобновил интервенции в поддержку американской валюты и затормозил ее ослабление. Он показал валютному рынку, что не собирается бросать его на произвол судьбы. Тем не менее дилеры коммерческих банков дружно утверждают, что это лишь временная разрядка напряженности и снижение курса доллара продолжится. Причем уровень, по достижении которого можно будет говорить о рыночном равновесии, пока не просматривается. В качестве условного ориентира специалисты называют цифру 31,00 руб./долл. Но она, скорее всего, играет роль психологической, а никак не экономической границы. </w:t>
      </w:r>
    </w:p>
    <w:p w14:paraId="6F5B284E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«Вчера Центральный банк наконец-то обозначил уровень поддержки и остановил падение доллара, которое могло оказаться и более глубоким, - заявил начальник управления валютно-финансовых операций "Альфа-Банка" Игорь Васильев. – Но это не вызвало заметного увеличения спроса на валюту со стороны коммерческих банков. Все понимают, что ситуация в целом не изменилась: экспортная выручка в огромных объемах продолжает поступать на рынок и нет никакого желания формировать длинные валютные позиции». </w:t>
      </w:r>
    </w:p>
    <w:p w14:paraId="17261F11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Курс доллара на  Единой торговой сессии на ММВБ 13 марта 2003г. опустился до 31,3818 руб./ долл. с 31,4407 руб./долл. на предыдущих торгах. Это максимум отечественной валюты начиная 5 июня 2002 г. Объемы сделок на спецсессии выросли почти втрое. По оценкам дилеров, главный банк страны мог купить на ЕТС около 120 млн долл.</w:t>
      </w:r>
      <w:r w:rsidRPr="00222ACC">
        <w:rPr>
          <w:rStyle w:val="a7"/>
          <w:sz w:val="28"/>
          <w:szCs w:val="28"/>
        </w:rPr>
        <w:footnoteReference w:id="1"/>
      </w:r>
      <w:r w:rsidRPr="00222ACC">
        <w:rPr>
          <w:sz w:val="28"/>
          <w:szCs w:val="28"/>
        </w:rPr>
        <w:t xml:space="preserve"> </w:t>
      </w:r>
    </w:p>
    <w:p w14:paraId="2C8283DA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Возобновление интервенций Центробанка несколько успокоило валютных дилеров. «Похоже, что мы можем задержаться на этом уровне (31,38 руб./долл. – авт.), но трудно сказать насколько, – заявил специалист одного из московских банков. – В принципе, можем остановиться и на неделю». Специалисты дружно заявляют, что практически все на валютном рынке будет зависеть от позиции Банка России. «Похоже, ЦБ пока готов удерживать курс на отметке 31,38 руб./долл., но выше переставлять свой "бид" не хочет, – сообщил в </w:t>
      </w:r>
    </w:p>
    <w:p w14:paraId="26091046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интервью РБК начальник управления операций на денежных и товарных рынках "Промсвязьбанка" Михаил Селеванов. – Однако, если ЦБ не выйдет на рынок с покупками валюты, курс вновь может начать снижаться, тем более что ставки на рынке МБК хоть и немного, но все же повысились». По прогнозам дилеров, в среднесрочной перспективе американская валюта продолжит снижение. По их словам, крайне сложно предсказать, куда именно опустится доллар. Впрочем,   ведущий аналитик ФК “Мегатрастойл” Александр Разуваев полагает, что ниже отметки 31,00 руб./долл. валютный курс пока не уйдет.</w:t>
      </w:r>
      <w:r w:rsidRPr="00222ACC">
        <w:rPr>
          <w:rStyle w:val="a7"/>
          <w:sz w:val="28"/>
          <w:szCs w:val="28"/>
        </w:rPr>
        <w:footnoteReference w:id="2"/>
      </w:r>
    </w:p>
    <w:p w14:paraId="44C20B3F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Для определения обменного курса при плавающем валютном режиме часто используют паритет покупательной способности. </w:t>
      </w:r>
      <w:r w:rsidRPr="00222ACC">
        <w:rPr>
          <w:i/>
          <w:iCs/>
          <w:sz w:val="28"/>
          <w:szCs w:val="28"/>
        </w:rPr>
        <w:t xml:space="preserve">Паритет покупательной способности – </w:t>
      </w:r>
      <w:r w:rsidRPr="00222ACC">
        <w:rPr>
          <w:sz w:val="28"/>
          <w:szCs w:val="28"/>
        </w:rPr>
        <w:t xml:space="preserve">расчетный обменный курс, при котором каждая валюта обладает абсолютно одинаковой покупательной способностью в ее стране. Это значит, что если в одной стране стандартный набор продуктов и услуг (потребительская корзина) стоит сто рублей, а в другой стране точно такая же потребительская корзина стоит 10 долларов, то паритет  соответствует обменному курсу 10 рублей за один доллар. Однако валютный курс в действительности может  отклоняться от паритета в ту или другую сторону в зависимости от многих причин, например, таких как неравномерность спроса и предложения, инфляционные ожидания населения, воздействие значительных выбросов или скупок валюты и т.п. </w:t>
      </w:r>
    </w:p>
    <w:p w14:paraId="6336441B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В России курс рубль/доллар занижен относительно расчетного паритета, который по разным оценкам, составляет от 15 до 22 рублей за 1 доллар США. Простейший пример этого показателя – так называемый «индекс гамбургера». Макдоналдс есть   во всех странах мира, и ассортимент везде предлагается одинаковый. Гамбургер в США стоит 1 доллар, а в России – 17 рублей. Соответственно, курс доллара «по гамбургеру» – 17 рублей за 1 доллар. Разумеется, реально паритет рассчитывается по очень большой корзине товаров.</w:t>
      </w:r>
    </w:p>
    <w:p w14:paraId="33DF9FF1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Различие между ППС и действующим валютным курсом используется в качестве критерия выявления “более дешевых” или “более дорогих” стран. Этот показатель применяется при разделении стран на “дешевые” (с низкими значениями показателя) и “дорогие” (с высоким национальным уровнем цен). Согласно статистике Госкомстата, среди развитых стран  самыми дорогими странами в 1999г. были Япония (сопоставимый уровень цен равен 142% от США), Швейцария (126%), Норвегия (119%), Дания (118%) и Швеция (117%). Внутренняя покупательная способность национальных валют этих стран фактически является более низкой, чем об этом свидетельствует их валютный курс. Практически равный сопоставимый уровень цен в 1999г. был в Люксембурге, Австрии, Бельгии, Великобритании, Германии, Франции и Финляндии. Самыми дешевыми странами в 1999г. были Россия (сопоставимый уровень цен равен 22% от США), Болгария (24%), Македония (29%), Румыния (29%) и Украина (17%).</w:t>
      </w:r>
    </w:p>
    <w:p w14:paraId="2507BC1D" w14:textId="77777777" w:rsidR="00E46F45" w:rsidRPr="00222ACC" w:rsidRDefault="00222ACC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E46F45" w:rsidRPr="00222ACC">
        <w:rPr>
          <w:sz w:val="28"/>
          <w:szCs w:val="28"/>
        </w:rPr>
        <w:t>Паритет покупательной способности рубля</w:t>
      </w:r>
      <w:r w:rsidR="00E46F45" w:rsidRPr="00222ACC">
        <w:rPr>
          <w:rStyle w:val="a7"/>
          <w:sz w:val="28"/>
          <w:szCs w:val="28"/>
        </w:rPr>
        <w:footnoteReference w:id="3"/>
      </w:r>
    </w:p>
    <w:p w14:paraId="34C87D07" w14:textId="77777777" w:rsidR="00E46F45" w:rsidRDefault="00E46F45" w:rsidP="00222ACC">
      <w:pPr>
        <w:pStyle w:val="4"/>
        <w:ind w:right="0"/>
        <w:rPr>
          <w:sz w:val="28"/>
          <w:szCs w:val="28"/>
        </w:rPr>
      </w:pPr>
      <w:r w:rsidRPr="00222ACC">
        <w:rPr>
          <w:sz w:val="28"/>
          <w:szCs w:val="28"/>
        </w:rPr>
        <w:t xml:space="preserve">Соотношение  курса и паритета покупательной способности рубля характеризует изменение конкурентоспособности российских товаров на внутреннем рынке, а также различия в стоимости неторгуемых товаров и услуг, относящихся к сфере коллективного </w:t>
      </w:r>
      <w:commentRangeStart w:id="0"/>
      <w:commentRangeStart w:id="1"/>
      <w:r w:rsidRPr="00222ACC">
        <w:rPr>
          <w:sz w:val="28"/>
          <w:szCs w:val="28"/>
        </w:rPr>
        <w:t>потребления</w:t>
      </w:r>
      <w:commentRangeEnd w:id="0"/>
      <w:commentRangeEnd w:id="1"/>
      <w:r w:rsidRPr="00222ACC">
        <w:rPr>
          <w:sz w:val="28"/>
          <w:szCs w:val="28"/>
        </w:rPr>
        <w:t>.</w:t>
      </w:r>
      <w:r w:rsidRPr="00222ACC">
        <w:rPr>
          <w:rStyle w:val="a8"/>
          <w:vanish/>
          <w:sz w:val="28"/>
          <w:szCs w:val="28"/>
        </w:rPr>
        <w:commentReference w:id="0"/>
      </w:r>
      <w:r w:rsidRPr="00222ACC">
        <w:rPr>
          <w:rStyle w:val="a8"/>
          <w:vanish/>
          <w:sz w:val="28"/>
          <w:szCs w:val="28"/>
        </w:rPr>
        <w:commentReference w:id="1"/>
      </w:r>
      <w:r w:rsidRPr="00222ACC">
        <w:rPr>
          <w:rStyle w:val="a7"/>
          <w:sz w:val="28"/>
          <w:szCs w:val="28"/>
        </w:rPr>
        <w:footnoteReference w:customMarkFollows="1" w:id="4"/>
        <w:sym w:font="Symbol" w:char="F041"/>
      </w:r>
    </w:p>
    <w:p w14:paraId="0A713CE1" w14:textId="77777777" w:rsidR="00222ACC" w:rsidRPr="00222ACC" w:rsidRDefault="00222ACC" w:rsidP="00222ACC">
      <w:pPr>
        <w:spacing w:before="0" w:after="0" w:line="360" w:lineRule="auto"/>
        <w:ind w:firstLine="720"/>
        <w:rPr>
          <w:sz w:val="20"/>
          <w:szCs w:val="20"/>
        </w:rPr>
      </w:pPr>
    </w:p>
    <w:p w14:paraId="35393438" w14:textId="77777777" w:rsidR="00E46F45" w:rsidRPr="00222ACC" w:rsidRDefault="00E46F45" w:rsidP="00222ACC">
      <w:pPr>
        <w:pStyle w:val="4"/>
        <w:ind w:right="0"/>
        <w:rPr>
          <w:sz w:val="28"/>
          <w:szCs w:val="28"/>
        </w:rPr>
      </w:pPr>
      <w:r w:rsidRPr="00222ACC">
        <w:rPr>
          <w:b/>
          <w:bCs/>
          <w:sz w:val="28"/>
          <w:szCs w:val="28"/>
        </w:rPr>
        <w:t xml:space="preserve">Паритет покупательной способности и валютный курс   </w:t>
      </w:r>
      <w:r w:rsidRPr="00222ACC">
        <w:rPr>
          <w:sz w:val="28"/>
          <w:szCs w:val="28"/>
        </w:rPr>
        <w:t xml:space="preserve">Таблица 1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692"/>
        <w:gridCol w:w="709"/>
        <w:gridCol w:w="708"/>
        <w:gridCol w:w="709"/>
        <w:gridCol w:w="709"/>
        <w:gridCol w:w="709"/>
        <w:gridCol w:w="708"/>
        <w:gridCol w:w="851"/>
      </w:tblGrid>
      <w:tr w:rsidR="00E46F45" w:rsidRPr="00222ACC" w14:paraId="005F272D" w14:textId="77777777" w:rsidTr="00222ACC">
        <w:trPr>
          <w:trHeight w:val="336"/>
        </w:trPr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</w:tcPr>
          <w:p w14:paraId="6E950FD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</w:tcPr>
          <w:p w14:paraId="678CF66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</w:tcPr>
          <w:p w14:paraId="25D6BFA4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A82BCB6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8E6C8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1995г.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E766A5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1996г.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59805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1997г.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9E410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1998г.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30BFA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1999г.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35EA1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2000г.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4061BB67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2001г.*</w:t>
            </w:r>
          </w:p>
        </w:tc>
      </w:tr>
      <w:tr w:rsidR="00BA6803" w:rsidRPr="00222ACC" w14:paraId="1427FE2B" w14:textId="77777777" w:rsidTr="00222ACC">
        <w:trPr>
          <w:trHeight w:val="250"/>
        </w:trPr>
        <w:tc>
          <w:tcPr>
            <w:tcW w:w="3716" w:type="dxa"/>
            <w:gridSpan w:val="4"/>
            <w:tcBorders>
              <w:top w:val="single" w:sz="12" w:space="0" w:color="auto"/>
              <w:right w:val="single" w:sz="6" w:space="0" w:color="auto"/>
            </w:tcBorders>
          </w:tcPr>
          <w:p w14:paraId="5D6EAB22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Паритет покупательной способности*,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9A8239F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6B850B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DBE19F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B6B5672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FE02A68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9,10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5C7AD34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</w:tcBorders>
          </w:tcPr>
          <w:p w14:paraId="284C5A11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12,61</w:t>
            </w:r>
          </w:p>
        </w:tc>
      </w:tr>
      <w:tr w:rsidR="00BA6803" w:rsidRPr="00222ACC" w14:paraId="442E7DFB" w14:textId="77777777" w:rsidTr="00222ACC">
        <w:trPr>
          <w:trHeight w:val="250"/>
        </w:trPr>
        <w:tc>
          <w:tcPr>
            <w:tcW w:w="2016" w:type="dxa"/>
            <w:gridSpan w:val="2"/>
          </w:tcPr>
          <w:p w14:paraId="5D4E6FB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08" w:type="dxa"/>
          </w:tcPr>
          <w:p w14:paraId="2521A7BD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right w:val="single" w:sz="6" w:space="0" w:color="auto"/>
            </w:tcBorders>
          </w:tcPr>
          <w:p w14:paraId="172CBDBA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A7747A9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3D04F5F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25DAB5A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5E83574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FB78EB0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6FE9F59D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7D8075A7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BA6803" w:rsidRPr="00222ACC" w14:paraId="4634C19D" w14:textId="77777777" w:rsidTr="00222ACC">
        <w:trPr>
          <w:trHeight w:val="250"/>
        </w:trPr>
        <w:tc>
          <w:tcPr>
            <w:tcW w:w="2016" w:type="dxa"/>
            <w:gridSpan w:val="2"/>
          </w:tcPr>
          <w:p w14:paraId="46A3D8D4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Потребление</w:t>
            </w:r>
          </w:p>
        </w:tc>
        <w:tc>
          <w:tcPr>
            <w:tcW w:w="1008" w:type="dxa"/>
          </w:tcPr>
          <w:p w14:paraId="16C22445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right w:val="single" w:sz="6" w:space="0" w:color="auto"/>
            </w:tcBorders>
          </w:tcPr>
          <w:p w14:paraId="30F62A15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EB93840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52AFDA2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F51AB9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B3199E0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78E8F92B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7,89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1CABDBD0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081C7157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10,70</w:t>
            </w:r>
          </w:p>
        </w:tc>
      </w:tr>
      <w:tr w:rsidR="00BA6803" w:rsidRPr="00222ACC" w14:paraId="7156CF74" w14:textId="77777777" w:rsidTr="00222ACC">
        <w:trPr>
          <w:trHeight w:val="250"/>
        </w:trPr>
        <w:tc>
          <w:tcPr>
            <w:tcW w:w="2016" w:type="dxa"/>
            <w:gridSpan w:val="2"/>
          </w:tcPr>
          <w:p w14:paraId="70F487E9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Накопление</w:t>
            </w:r>
          </w:p>
        </w:tc>
        <w:tc>
          <w:tcPr>
            <w:tcW w:w="1008" w:type="dxa"/>
          </w:tcPr>
          <w:p w14:paraId="700EFAB7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right w:val="single" w:sz="6" w:space="0" w:color="auto"/>
            </w:tcBorders>
          </w:tcPr>
          <w:p w14:paraId="09B52F1A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6DCAC39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5AC7CDE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E326CB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F823806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1ABFBD9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14,59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2DE97A1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18,37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70FE92E8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21,31</w:t>
            </w:r>
          </w:p>
        </w:tc>
      </w:tr>
      <w:tr w:rsidR="00BA6803" w:rsidRPr="00222ACC" w14:paraId="16745C24" w14:textId="77777777" w:rsidTr="00222ACC">
        <w:trPr>
          <w:trHeight w:val="250"/>
        </w:trPr>
        <w:tc>
          <w:tcPr>
            <w:tcW w:w="3716" w:type="dxa"/>
            <w:gridSpan w:val="4"/>
            <w:tcBorders>
              <w:right w:val="single" w:sz="6" w:space="0" w:color="auto"/>
            </w:tcBorders>
          </w:tcPr>
          <w:p w14:paraId="2A619B0A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Паритет покупательной способности**,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7D8598E2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09471688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7381FC6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F27A388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7EB95F82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28920CE4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06055AAD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7,79</w:t>
            </w:r>
          </w:p>
        </w:tc>
      </w:tr>
      <w:tr w:rsidR="00BA6803" w:rsidRPr="00222ACC" w14:paraId="4CE5E2B1" w14:textId="77777777" w:rsidTr="00222ACC">
        <w:trPr>
          <w:trHeight w:val="213"/>
        </w:trPr>
        <w:tc>
          <w:tcPr>
            <w:tcW w:w="2016" w:type="dxa"/>
            <w:gridSpan w:val="2"/>
          </w:tcPr>
          <w:p w14:paraId="08FF9AE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08" w:type="dxa"/>
          </w:tcPr>
          <w:p w14:paraId="50E5A6B8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right w:val="single" w:sz="6" w:space="0" w:color="auto"/>
            </w:tcBorders>
          </w:tcPr>
          <w:p w14:paraId="1539B9C9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2991EC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273F5C97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44CFD696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7468082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560D2A2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521671A2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4212236D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BA6803" w:rsidRPr="00222ACC" w14:paraId="6BB540F6" w14:textId="77777777" w:rsidTr="00222ACC">
        <w:trPr>
          <w:trHeight w:val="250"/>
        </w:trPr>
        <w:tc>
          <w:tcPr>
            <w:tcW w:w="3716" w:type="dxa"/>
            <w:gridSpan w:val="4"/>
            <w:tcBorders>
              <w:right w:val="single" w:sz="6" w:space="0" w:color="auto"/>
            </w:tcBorders>
          </w:tcPr>
          <w:p w14:paraId="2A366ED4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Государственное потребление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5467C48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7C1A91A5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2526FB0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4F937972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7A6E154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081F4855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33269F2D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2,58</w:t>
            </w:r>
          </w:p>
        </w:tc>
      </w:tr>
      <w:tr w:rsidR="00BA6803" w:rsidRPr="00222ACC" w14:paraId="351FC5C3" w14:textId="77777777" w:rsidTr="00222ACC">
        <w:trPr>
          <w:trHeight w:val="470"/>
        </w:trPr>
        <w:tc>
          <w:tcPr>
            <w:tcW w:w="3716" w:type="dxa"/>
            <w:gridSpan w:val="4"/>
            <w:tcBorders>
              <w:right w:val="single" w:sz="6" w:space="0" w:color="auto"/>
            </w:tcBorders>
          </w:tcPr>
          <w:p w14:paraId="2389FF60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Товарный курс                                          (Среднегодовой, руб./долл.)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016CFD5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062FDC93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752D9DB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5,83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720934D7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63D1A5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512917CF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3083389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11,91</w:t>
            </w:r>
          </w:p>
        </w:tc>
      </w:tr>
      <w:tr w:rsidR="00BA6803" w:rsidRPr="00222ACC" w14:paraId="05ADFBD3" w14:textId="77777777" w:rsidTr="00222ACC">
        <w:trPr>
          <w:trHeight w:val="470"/>
        </w:trPr>
        <w:tc>
          <w:tcPr>
            <w:tcW w:w="3716" w:type="dxa"/>
            <w:gridSpan w:val="4"/>
            <w:tcBorders>
              <w:right w:val="single" w:sz="6" w:space="0" w:color="auto"/>
            </w:tcBorders>
          </w:tcPr>
          <w:p w14:paraId="1EF2A4C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Реальный курс без учета инфляции в США (июль 1998г. = 100)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5DA939F1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6,74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4020BADA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42AD110A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473904B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11,67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07330AF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11,17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14:paraId="3E1FA68E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5F456E86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8,81</w:t>
            </w:r>
          </w:p>
        </w:tc>
      </w:tr>
      <w:tr w:rsidR="00BA6803" w:rsidRPr="00222ACC" w14:paraId="16324979" w14:textId="77777777" w:rsidTr="00222ACC">
        <w:trPr>
          <w:trHeight w:val="470"/>
        </w:trPr>
        <w:tc>
          <w:tcPr>
            <w:tcW w:w="3716" w:type="dxa"/>
            <w:gridSpan w:val="4"/>
            <w:tcBorders>
              <w:bottom w:val="single" w:sz="12" w:space="0" w:color="auto"/>
              <w:right w:val="single" w:sz="6" w:space="0" w:color="auto"/>
            </w:tcBorders>
          </w:tcPr>
          <w:p w14:paraId="7EA28BC4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Валютный курс                                         (среднегодовой, руб./долл.)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D8CE4C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6F0942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C3060A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CB7809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9,71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C8D945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24,62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440A67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28,14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</w:tcBorders>
          </w:tcPr>
          <w:p w14:paraId="5F4FDF31" w14:textId="77777777" w:rsidR="00E46F45" w:rsidRPr="00222ACC" w:rsidRDefault="00E46F45" w:rsidP="00222ACC">
            <w:pPr>
              <w:spacing w:before="0" w:after="0" w:line="360" w:lineRule="auto"/>
              <w:ind w:firstLine="72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222ACC">
              <w:rPr>
                <w:snapToGrid w:val="0"/>
                <w:color w:val="000000"/>
                <w:sz w:val="20"/>
                <w:szCs w:val="20"/>
              </w:rPr>
              <w:t>29,23</w:t>
            </w:r>
          </w:p>
        </w:tc>
      </w:tr>
    </w:tbl>
    <w:p w14:paraId="2239654D" w14:textId="77777777" w:rsidR="00222ACC" w:rsidRDefault="00222ACC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0EEFF33F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*Оценка Центра развития</w:t>
      </w:r>
    </w:p>
    <w:p w14:paraId="26537B2D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** Данные ОЭСР за 1996г., остальные годы – оценка Центра развития.</w:t>
      </w:r>
    </w:p>
    <w:p w14:paraId="6BA9252B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</w:rPr>
        <w:t>Источники</w:t>
      </w:r>
      <w:r w:rsidRPr="00222ACC">
        <w:rPr>
          <w:sz w:val="28"/>
          <w:szCs w:val="28"/>
        </w:rPr>
        <w:t>: Госкомстат России, ОЭСР, Центр развития</w:t>
      </w:r>
    </w:p>
    <w:p w14:paraId="5303C8D3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Несмотря на то что разрыв между валютным курсом и ППС, базирующийся на данных ОЭСР</w:t>
      </w:r>
      <w:r w:rsidRPr="00222ACC">
        <w:rPr>
          <w:rStyle w:val="a7"/>
          <w:sz w:val="28"/>
          <w:szCs w:val="28"/>
        </w:rPr>
        <w:footnoteReference w:customMarkFollows="1" w:id="5"/>
        <w:sym w:font="Symbol" w:char="F042"/>
      </w:r>
      <w:r w:rsidRPr="00222ACC">
        <w:rPr>
          <w:sz w:val="28"/>
          <w:szCs w:val="28"/>
        </w:rPr>
        <w:t>,  составлял в 2000г. 4,2 раза, по государственному потреблению он достигал 12,7 раза (табл.1). Таким образом, дешевизна услуг государства является одним из важнейших факторов, определяющих устойчивость превышения паритета покупательной способности рубля по сравнению с курсом рубля к доллару. Отсутствие тенденции к выравниванию стоимости российских неторгуемых товаров и услуг по сравнению с мировыми стандартами – результат растущего разрыва в оплате труда между экспортным и бюджетным секторами.  В результате девальвации масштабы ценовых диспропорций увеличились. Если в 1997г. соотношение курса и ППС по государственным услугам превышало аналогичный показатель для экономики в целом в 2 раза, то в 2000г. – в 2,9 раза.</w:t>
      </w:r>
    </w:p>
    <w:p w14:paraId="533C1733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В1999г. соотношение курса и ППС по отдельным потребительским товарам (одежда и обувь), а также по продуктам питания и напиткам составляло 2 раза, что почти вдвое превысило средний уровень до кризиса 1998г. По оценке, базирующейся на данных международных сопоставлений ОЭСР за 1996г., к 2001г. это соотношение сократилось до 1,6-1,7 раза, а значит, разрыв в ценах или средняя эффективность импортозамещения по этим группам потребительских товаров снизилась до 60-70%. При сопоставлении цен отдельных товаров, торгуемых на внутреннем рынке, с ценами импортных товаров разрыв оказывается меньше. По данным Госкомстата России, разрыв между ценами сосотавлял в 1999-2000гг. около 36-38%, то есть вдвое меньше разрыва, рассчитанного на основе международных соотношений. Одна из причин этого в том, что на российском рынке импорт представлен в основном относительно более дешевыми товарами из стран Азии, СНГ и др., а не товарами из развитых стран, с которыми проводится сопоставление при расчете паритета покупательной способности. Это означает, что при ожидаемых темпах инфляции и снижении курса запас ценовой конкурентоспособности российских предприятий может быть полностью нивелирован за 2-3года (а не через 5-6 лет, как можно судить по ППС).</w:t>
      </w:r>
    </w:p>
    <w:p w14:paraId="4352E37B" w14:textId="77777777" w:rsidR="00222ACC" w:rsidRDefault="00222ACC" w:rsidP="00222ACC">
      <w:pPr>
        <w:spacing w:before="0" w:after="0" w:line="360" w:lineRule="auto"/>
        <w:ind w:firstLine="720"/>
        <w:jc w:val="both"/>
        <w:rPr>
          <w:i/>
          <w:iCs/>
          <w:sz w:val="28"/>
          <w:szCs w:val="28"/>
          <w:u w:val="single"/>
        </w:rPr>
      </w:pPr>
    </w:p>
    <w:p w14:paraId="5DEDCB5C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  <w:u w:val="single"/>
        </w:rPr>
        <w:t>Фиксированный валютный курс</w:t>
      </w:r>
      <w:r w:rsidRPr="00222ACC">
        <w:rPr>
          <w:sz w:val="28"/>
          <w:szCs w:val="28"/>
        </w:rPr>
        <w:t xml:space="preserve"> - это официально установленное соотношение между национальными валютами, допускающее временное отклонение от него в ту или другую сторону не более чем на 2,25%. Фиксация курса может осуществляться как за счет фиксации курса к одной валюте, так и за счет фиксации курса к валютному композиту. </w:t>
      </w:r>
    </w:p>
    <w:p w14:paraId="069F74EC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</w:rPr>
        <w:t>Фиксация курса к одной валюте</w:t>
      </w:r>
      <w:r w:rsidRPr="00222ACC">
        <w:rPr>
          <w:sz w:val="28"/>
          <w:szCs w:val="28"/>
        </w:rPr>
        <w:t xml:space="preserve"> означает привязку курса национальной валюты к курсу наиболее значимых валют национальных расчетов. Обычно такая привязка осуществляется менее развитыми странами по отношению к валютам более развитых стран. Причем к таким странам, с которыми существуют тесные торговые отношения. Мотивы осуществления такой политики достаточно очевидны: гарантия стабильности торговых отношений, в первую очередь, для долгосрочных контрактов и предотвращение влияния возможных, в случае, если бы привязка не осуществлялась, колебаний обменного курса на изменение уровня цен в стране. </w:t>
      </w:r>
    </w:p>
    <w:p w14:paraId="2E5535D0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</w:rPr>
        <w:t>Фиксация курса к валютному композиту</w:t>
      </w:r>
      <w:r w:rsidRPr="00222ACC">
        <w:rPr>
          <w:sz w:val="28"/>
          <w:szCs w:val="28"/>
        </w:rPr>
        <w:t xml:space="preserve"> - привязка курса национальной валюты к курсам коллективных денежных единиц или к различным корзинам валют стран, являющихся основными торговыми партнерами. Удельный вес валют в корзинах, составляемых для фиксации национального курса, обычно отражает вес стран, использующих ее во внешней торговле товарами и услугами, а также движение капитала данной страны. </w:t>
      </w:r>
    </w:p>
    <w:p w14:paraId="15FE2942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Необходимо отметить, что на практике жестко фиксированные обменные курсы встречаются редко. Фиксированный курс может быть выгоден странам с равными уровнями экономического развития, параметрами инфляции и подходом в монетарной политике. При этом фиксированный курс по отношению к странам с другим уровнем развития может быть абсолютно невыгоден и даже опасен. Например, ряд латиноамериканских стран (Аргентина, Бразилия, Уругвай) использовали привязку национальной валюты к доллару США, что явилось одной из основных причиной экономического кризиса в этих странах. </w:t>
      </w:r>
    </w:p>
    <w:p w14:paraId="52818166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На практике зачастую применяются компромиссные варианты, сочетающие в себе элементы обоих режимов валютных курсов - такие, как оптимальное валютное пространство, целевые зоны, валютный коридор и др. </w:t>
      </w:r>
    </w:p>
    <w:p w14:paraId="4D4DF747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</w:rPr>
        <w:t>Оптимальное валютное пространство</w:t>
      </w:r>
      <w:r w:rsidRPr="00222ACC">
        <w:rPr>
          <w:sz w:val="28"/>
          <w:szCs w:val="28"/>
        </w:rPr>
        <w:t xml:space="preserve"> - поддержание фиксированного валютного курса между ограниченной группой стран и плавающего валютного курса с остальными странами. Данная политика лучше всего иллюстрируется на примере стран Европейского союза, которые поддерживают между собой фиксированный курс, а в отношении третьих стран - плавающий. Считается, что чем выше степень интеграции, тем жестче должна быть фиксация. </w:t>
      </w:r>
    </w:p>
    <w:p w14:paraId="431434BC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</w:rPr>
        <w:t>Целевые зоны</w:t>
      </w:r>
      <w:r w:rsidRPr="00222ACC">
        <w:rPr>
          <w:sz w:val="28"/>
          <w:szCs w:val="28"/>
        </w:rPr>
        <w:t xml:space="preserve"> - параметры валютного курса, к которым страна считает необходимым стремиться. В определенный период времени для стимулирования тех или иных направлений в экономике, правительство может посчитать целесообразным пойти на девальвацию национальной валюты (с целью стимулирования экспорта и экономического роста) или, напротив, ревальвацию (для борьбы с инфляцией). </w:t>
      </w:r>
      <w:r w:rsidRPr="00222ACC">
        <w:rPr>
          <w:b/>
          <w:bCs/>
          <w:i/>
          <w:iCs/>
          <w:sz w:val="28"/>
          <w:szCs w:val="28"/>
        </w:rPr>
        <w:t>Девальвация</w:t>
      </w:r>
      <w:r w:rsidRPr="00222ACC">
        <w:rPr>
          <w:sz w:val="28"/>
          <w:szCs w:val="28"/>
        </w:rPr>
        <w:t xml:space="preserve"> национальной валюты - это снижение ее стоимости относительно других валют. Задача девальвации состоит в том, чтобы сделать экспортные товары более дешевыми, а импортные - более дорогими, в результате чего происходит импортозамещение внутреннего потребления и увеличение промышленного производства, что наряду с приростом чистого экспорта способствует в итоге росту ВВП. Именно такая ситуация сложилась в России после кризиса 1998 г., что позволило отечественному ВВП за последние 3 года вырасти более чем на 20%. Однако при этом нельзя забывать, что это было огромное  потрясение для экономики с серьезными негативными последствиями. Во-первых, сразу же возросло бремя внешнего долга: до августа долг составлял примерно 1/3 ВВП, что в общем представляет собой достаточно умеренный уровень, в вследствие девальвации он увеличился до 90% ВВП. Во-вторых, девальвация рубля привела к резкому всплеску инфляции, снижению уровня реальных доходов и покупательной способности населения. В-третьих, в тяжелейших условиях оказались производства “завязанные” на импорт. И, наконец, в-четвертых, девальвация дезорганизовала валютный и фондовый рынки, вызвала массовый “уход” иностранных портфельных инвестиций, крах банковской системы </w:t>
      </w:r>
    </w:p>
    <w:p w14:paraId="7937F73F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i/>
          <w:iCs/>
          <w:sz w:val="28"/>
          <w:szCs w:val="28"/>
        </w:rPr>
        <w:t>Валютный коридор</w:t>
      </w:r>
      <w:r w:rsidRPr="00222ACC">
        <w:rPr>
          <w:sz w:val="28"/>
          <w:szCs w:val="28"/>
        </w:rPr>
        <w:t xml:space="preserve"> - установленные пределы колебания валютного курса, которые государство обязано поддерживать. Мировой опыт показывает, что введение валютного коридора оправдано в тех случаях, когда в стране достигнута стабилизация, но уровень инфляции остается высоким и это не позволяет сразу перейти к фиксированному курсу. </w:t>
      </w:r>
    </w:p>
    <w:p w14:paraId="73151BC0" w14:textId="77777777" w:rsidR="00E46F45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Выбор валютного режима зависит от уровня развития экономики, ее организации и степени интегрированности в мировое сообщество. В мировой истории существует немало примеров удачного использования плавающих или фиксированных режимов, а также их комбинации. Однако в последнее время все больше стран предпочитают плавающие режимы валютного курса. Это обуславливается тем, что становится все больше стран, которые закончили переходный период реформирования своих экономик, все больше интегрируются в международные финансовые рынки. С этой точки зрения применение плавающего режима валютного курса является более предпочтительным.</w:t>
      </w:r>
    </w:p>
    <w:p w14:paraId="0BD69C4C" w14:textId="77777777" w:rsidR="00222ACC" w:rsidRPr="00222ACC" w:rsidRDefault="00222ACC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4336D9B7" w14:textId="77777777" w:rsidR="00E46F45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b/>
          <w:bCs/>
          <w:sz w:val="28"/>
          <w:szCs w:val="28"/>
        </w:rPr>
        <w:t>Режим валютного курса в России</w:t>
      </w:r>
    </w:p>
    <w:p w14:paraId="2A4B0D9C" w14:textId="77777777" w:rsidR="00222ACC" w:rsidRPr="00222ACC" w:rsidRDefault="00222ACC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1C55E221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В России режим валютного курса за годы реформ менялся несколько раз. </w:t>
      </w:r>
    </w:p>
    <w:p w14:paraId="25D0D844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В ноябре 1991 г. Указ Президента РФ обязал предприятия продавать государству 40% их валютной выручки. Параллельно с этим с декабря 1991 г. валютный курс рубля по неторговым операциям перестал быть фиксированным. </w:t>
      </w:r>
    </w:p>
    <w:p w14:paraId="58057F18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В январе 1992 г. был установлен новый порядок обязательной продажи валютной выручки экспортерами - продаже подлежали 50% выручки в пропорции 4:1 (Центральному банку и на валютной бирже соответственно). Одновременно была введена новая система валютных курсов - стал применяться плавающий рыночный курс рубля по отношению к доллару, устанавливавшийся на базе котировок ММВБ, а так же неизменный коммерческий курс, составлявший 55 RUR/USD, который использовался для покупки у экспортеров той части валютной выручки, которая подлежала обязательной продаже. </w:t>
      </w:r>
    </w:p>
    <w:p w14:paraId="65E9A61D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С 1 июля 1992 г. коммерческий курс рубля был отменен и введен единый плавающий курс рубля по всем видам операций, определявшийся на основе котировок ММВБ и изменен порядок обязательной продажи валютной выручки </w:t>
      </w:r>
    </w:p>
    <w:p w14:paraId="4F96A40A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- продаже по единому рыночному курсу подлежали 50% выручки: 30% - в резерв Центрального банка, 20% - на Межбанковский рынок. </w:t>
      </w:r>
    </w:p>
    <w:p w14:paraId="611FF6FC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С января 1993 г. нерезидентам было разрешено продавать валюту на межбанковском рынке, а с июля 1993 г. - покупать. </w:t>
      </w:r>
    </w:p>
    <w:p w14:paraId="22531C35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С июля 1993 г. обязательная продажа 50% валютной выручки стала осуществляться исключительно через уполномоченные валютные биржи, и было снято требование прямой продажи части выручки Центральному банку. </w:t>
      </w:r>
    </w:p>
    <w:p w14:paraId="696DDDFD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С января 1994 г. запрещена продажа товаров на территории России за наличную иностранную валюту (с октября 1997 г. и за безналичную, включая использование валютных пластиковых карточек). </w:t>
      </w:r>
    </w:p>
    <w:p w14:paraId="36EA30B7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Такая система просуществовала до июля 1995 г., когда был введен валютный коридор. Он ограничивал предел колебаний курса рубля по отношению к доллару (и другим СКВ) верхним и нижним пределами. </w:t>
      </w:r>
    </w:p>
    <w:p w14:paraId="515BB558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Система валютного коридора действовала до 17 мая 1996 г. С этой даты система курсообразования изменилась. Центральный банк России начал устанавливать скользящий обменный курс рубля на основе учета нескольких показателей: котировок ММВБ, котировок межбанковского валютного рынка, динамики инфляции, текущего спроса на валюту и ее превышения, состояния платежного баланса и золотовалютных резервов. На основе прогноза динамики макроэкономических показателей ЦБ России был определен график изменения курсов покупки и продажи доллара до 2000 года. </w:t>
      </w:r>
    </w:p>
    <w:p w14:paraId="4648DB24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Далее, правительство и Центральный банк РФ сделали заявление о присоединении России к VIII статье Устава Международного валютного фонда (МВФ) с 1 июля 1996 г., что означало присоединение России к требованиям о введение внешней конвертируемости рубля по текущим операциям. Таким образом, держатели счетов типа "Т" получили право на использование средств в рублях для покупки иностранной валюты на внутреннем валютном рынке, а также для осуществления инвестиционной деятельности на территории Российской Федерации. Это открыло возможности для расширения продажи зарубежными фирмами собственных товаров на рынке Российской Федерации за рубли и облегчило российским торговым фирмам приобретение импортной продукции. Однако в то же время усилило конкурентное давление импорта на отечественного производителя. Введение конвертируемости рубля требовало также либерализировать и операции по ввозу-вывозу рублевой наличности. Уполномоченным банкам, имеющим лицензии ЦБ на операции с иностранной валютой, предоставлено право вывоза и пересылки российской валюты на основе договора с банком-нерезидентом, имеющим корреспондентский счет в валюте Российской Федерации в этом уполномоченном банке, при снятии валюты РФ с указанного счета. Кроме того, уполномоченные банки получили право вывоза и пересылки из Российской Федерации российских рублей в свой филиал, расположенный на территории иностранного государства. </w:t>
      </w:r>
    </w:p>
    <w:p w14:paraId="740BDCAD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Некоторые аналитики отмечают, что выбор валютного коридора во многом явился подводным камнем российского краха 17 августа 1998 года, тогда как в 1995 году этот механизм был воспринят как наиболее эффективный по сравнению с управляемым плаванием именно с точки зрения переключения спекуляций с валютных рынков на рынки ГКО. Конечно, не исключалась цель достижения стабильной динамики как номинального, так и реального курса рубля и снижения темпов инфляции. </w:t>
      </w:r>
    </w:p>
    <w:p w14:paraId="061DC892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На первый взгляд, валютный коридор, действительно, дает возможность предприятиям - особенно тем, кто активно выходит на внешние рынки - планировать свою деятельность и снижать валютные риски. Однако уже тогда в России выявили проблемы, что при относительно стабильном валютном курсе и продолжающемся росте внутренних цен положение экспортеров постоянно ухудшается, улучшить которое, допустим, путем снижения ставки рефинансирования и экспортных пошлин оказалось практически невозможным из-за целей сохранения баланса на валютном рынке. </w:t>
      </w:r>
    </w:p>
    <w:p w14:paraId="3FA435EC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Поддержание курса рубля непосредственно перед наступлением кризиса обходилось Центробанку в среднем около 8% золотовалютных резервов в неделю. Поддержание обременительного и неустойчивого равновесия было основано на балансе интересов, непосредственно связанного с механизмом действия государственных казначейских обязательств. Ведь в середине августа объем ГКО - ОФЗ в обращении по номиналу составил порядка 387 млрд. рублей, когда на долю нерезидентов приходилось 31%. В целом речь идет о том, что поддержание фиксированного курса рубля со стороны ЦБ РФ, по сути, предоставило участникам фондового рынка возможность вывезти из страны капитал с запланированной сверхмаржой без риска потерь на девальвации рубля, а после некоторого снижения курса снова его ввезти, дав возможность скупить несколько подешевевшие внутренние активы. Данная политика обошлась России дорого - если во втором квартале 1998 года валютные резервы Центробанка составляли $11,16 млн., то в третьем - $8,8 млн., а в четвертом - $7,8 млн. </w:t>
      </w:r>
    </w:p>
    <w:p w14:paraId="19B57102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В апреле 2002 г. Верховный суд России признал незаконной инструкцию ЦБ об обязательной продаже экспортной выручки, требовавшую продавать валюту только на бирже. 30 мая это решение оставила в силе кассационная инстанция ВС, и банки получили законную возможность торговать валютой своих клиентов на межбанковском рынке, как до кризиса 1998 г. </w:t>
      </w:r>
    </w:p>
    <w:p w14:paraId="60BD1E22" w14:textId="77777777" w:rsidR="00222ACC" w:rsidRDefault="0021643E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 w14:anchorId="1BEAA4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.4pt;margin-top:141.7pt;width:326.25pt;height:226.5pt;z-index:251657728" o:allowincell="f">
            <v:imagedata r:id="rId9" o:title=""/>
            <w10:wrap type="topAndBottom"/>
          </v:shape>
        </w:pict>
      </w:r>
      <w:r w:rsidR="00E46F45" w:rsidRPr="00222ACC">
        <w:rPr>
          <w:sz w:val="28"/>
          <w:szCs w:val="28"/>
        </w:rPr>
        <w:t xml:space="preserve">В последние годы обменный курс рубль/доллар в России является достаточно гибким и устойчивым, что является во многом заслугой монетарной политики ЦБ РФ. Стабильности курса способствует растущий объем золотовалютных резервов страны, и возврат доверия населения к рублю, сопровождающийся притоком частных рублевых вкладов. В </w:t>
      </w:r>
    </w:p>
    <w:p w14:paraId="5239F856" w14:textId="77777777" w:rsidR="00222ACC" w:rsidRDefault="00222ACC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</w:p>
    <w:p w14:paraId="14F8C9FF" w14:textId="77777777" w:rsidR="00E46F45" w:rsidRPr="00222ACC" w:rsidRDefault="00E46F45" w:rsidP="00222ACC">
      <w:pPr>
        <w:spacing w:before="0" w:after="0" w:line="360" w:lineRule="auto"/>
        <w:ind w:firstLine="72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дальнейшем можно ожидать плавного снижения курса рубля к доллару США на 5-10% в год.</w:t>
      </w:r>
    </w:p>
    <w:p w14:paraId="2769EB71" w14:textId="77777777" w:rsidR="00E46F45" w:rsidRDefault="00222ACC" w:rsidP="00222ACC">
      <w:pPr>
        <w:spacing w:before="0" w:after="0" w:line="360" w:lineRule="auto"/>
        <w:jc w:val="center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E46F45" w:rsidRPr="00222ACC">
        <w:rPr>
          <w:sz w:val="28"/>
          <w:szCs w:val="28"/>
        </w:rPr>
        <w:t>Список литературы</w:t>
      </w:r>
    </w:p>
    <w:p w14:paraId="257A238C" w14:textId="77777777" w:rsidR="00222ACC" w:rsidRPr="00222ACC" w:rsidRDefault="00222ACC" w:rsidP="00222ACC">
      <w:pPr>
        <w:spacing w:before="0" w:after="0" w:line="360" w:lineRule="auto"/>
        <w:jc w:val="both"/>
        <w:rPr>
          <w:sz w:val="28"/>
          <w:szCs w:val="28"/>
        </w:rPr>
      </w:pPr>
    </w:p>
    <w:p w14:paraId="59B26F00" w14:textId="77777777" w:rsidR="00E46F45" w:rsidRPr="00222ACC" w:rsidRDefault="00E46F45" w:rsidP="00222ACC">
      <w:pPr>
        <w:numPr>
          <w:ilvl w:val="0"/>
          <w:numId w:val="3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Международные валютно-кредитные и финансовые отношения. Под ред. Проф. Л.Н. Красавиной. М. “Финансы и статистика”, 1995</w:t>
      </w:r>
      <w:r w:rsidR="006A48D4">
        <w:rPr>
          <w:sz w:val="28"/>
          <w:szCs w:val="28"/>
        </w:rPr>
        <w:t>.</w:t>
      </w:r>
    </w:p>
    <w:p w14:paraId="2D59353C" w14:textId="77777777" w:rsidR="00E46F45" w:rsidRPr="00222ACC" w:rsidRDefault="00E46F45" w:rsidP="00222ACC">
      <w:pPr>
        <w:numPr>
          <w:ilvl w:val="0"/>
          <w:numId w:val="3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>Долан Э. Дж. И др. Деньги, банковское дело и денежно-кредитная политика/ Пер. с англ. В. Лукашевича и др.; Под общ. Ред. В. Лукашевича – Л., 1991.</w:t>
      </w:r>
    </w:p>
    <w:p w14:paraId="525BF74B" w14:textId="77777777" w:rsidR="00E46F45" w:rsidRPr="00222ACC" w:rsidRDefault="00E46F45" w:rsidP="00222ACC">
      <w:pPr>
        <w:numPr>
          <w:ilvl w:val="0"/>
          <w:numId w:val="3"/>
        </w:numPr>
        <w:spacing w:before="0" w:after="0" w:line="360" w:lineRule="auto"/>
        <w:ind w:left="0" w:firstLine="0"/>
        <w:jc w:val="both"/>
        <w:rPr>
          <w:sz w:val="28"/>
          <w:szCs w:val="28"/>
          <w:lang w:val="en-US"/>
        </w:rPr>
      </w:pPr>
      <w:r w:rsidRPr="00222ACC">
        <w:rPr>
          <w:sz w:val="28"/>
          <w:szCs w:val="28"/>
          <w:lang w:val="en-US"/>
        </w:rPr>
        <w:t>http:// www. rbcdaily.ru/index1.shtml</w:t>
      </w:r>
      <w:r w:rsidR="006A48D4" w:rsidRPr="006A48D4">
        <w:rPr>
          <w:sz w:val="28"/>
          <w:szCs w:val="28"/>
          <w:lang w:val="en-GB"/>
        </w:rPr>
        <w:t>.</w:t>
      </w:r>
    </w:p>
    <w:p w14:paraId="2D2AD070" w14:textId="77777777" w:rsidR="00E46F45" w:rsidRPr="00222ACC" w:rsidRDefault="00E46F45" w:rsidP="00222ACC">
      <w:pPr>
        <w:numPr>
          <w:ilvl w:val="0"/>
          <w:numId w:val="3"/>
        </w:numPr>
        <w:tabs>
          <w:tab w:val="left" w:pos="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22ACC">
        <w:rPr>
          <w:sz w:val="28"/>
          <w:szCs w:val="28"/>
          <w:lang w:val="en-US"/>
        </w:rPr>
        <w:t xml:space="preserve">http:// </w:t>
      </w:r>
      <w:r w:rsidRPr="00C26311">
        <w:rPr>
          <w:sz w:val="28"/>
          <w:szCs w:val="28"/>
        </w:rPr>
        <w:t>www.superbroker.ru</w:t>
      </w:r>
      <w:r w:rsidR="006A48D4">
        <w:rPr>
          <w:sz w:val="28"/>
          <w:szCs w:val="28"/>
        </w:rPr>
        <w:t>.</w:t>
      </w:r>
    </w:p>
    <w:p w14:paraId="5E8B2A82" w14:textId="13B3D8D7" w:rsidR="00E46F45" w:rsidRPr="00222ACC" w:rsidRDefault="00E46F45" w:rsidP="00222ACC">
      <w:pPr>
        <w:numPr>
          <w:ilvl w:val="0"/>
          <w:numId w:val="3"/>
        </w:numPr>
        <w:tabs>
          <w:tab w:val="left" w:pos="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22ACC">
        <w:rPr>
          <w:sz w:val="28"/>
          <w:szCs w:val="28"/>
        </w:rPr>
        <w:t xml:space="preserve">журнал </w:t>
      </w:r>
      <w:r w:rsidRPr="00222ACC">
        <w:rPr>
          <w:sz w:val="28"/>
          <w:szCs w:val="28"/>
          <w:lang w:val="en-US"/>
        </w:rPr>
        <w:t>“</w:t>
      </w:r>
      <w:r w:rsidRPr="00222ACC">
        <w:rPr>
          <w:sz w:val="28"/>
          <w:szCs w:val="28"/>
        </w:rPr>
        <w:t>Вопросы экономики</w:t>
      </w:r>
      <w:r w:rsidRPr="00222ACC">
        <w:rPr>
          <w:sz w:val="28"/>
          <w:szCs w:val="28"/>
          <w:lang w:val="en-US"/>
        </w:rPr>
        <w:t>”</w:t>
      </w:r>
      <w:r w:rsidRPr="00222ACC">
        <w:rPr>
          <w:sz w:val="28"/>
          <w:szCs w:val="28"/>
        </w:rPr>
        <w:t xml:space="preserve"> №8, 2001г.</w:t>
      </w:r>
      <w:bookmarkStart w:id="2" w:name="_GoBack"/>
      <w:bookmarkEnd w:id="2"/>
    </w:p>
    <w:sectPr w:rsidR="00E46F45" w:rsidRPr="00222ACC" w:rsidSect="00222ACC">
      <w:footerReference w:type="default" r:id="rId10"/>
      <w:pgSz w:w="11906" w:h="16838" w:code="9"/>
      <w:pgMar w:top="1134" w:right="851" w:bottom="1134" w:left="1701" w:header="720" w:footer="720" w:gutter="0"/>
      <w:pgNumType w:start="2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ОФЬЯ" w:date="2011-10-07T09:25:00Z" w:initials="С">
    <w:p w14:paraId="13B7A192" w14:textId="77777777" w:rsidR="008D6101" w:rsidRDefault="00E46F45">
      <w:pPr>
        <w:pStyle w:val="a9"/>
      </w:pPr>
      <w:r>
        <w:rPr>
          <w:rStyle w:val="a8"/>
        </w:rPr>
        <w:annotationRef/>
      </w:r>
    </w:p>
  </w:comment>
  <w:comment w:id="1" w:author="СОФЬЯ" w:date="2011-10-07T09:25:00Z" w:initials="С">
    <w:p w14:paraId="06BE2A8B" w14:textId="77777777" w:rsidR="008D6101" w:rsidRDefault="00E46F45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B7A192" w15:done="0"/>
  <w15:commentEx w15:paraId="06BE2A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18581" w14:textId="77777777" w:rsidR="008D6101" w:rsidRDefault="008D6101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73B4A7A6" w14:textId="77777777" w:rsidR="008D6101" w:rsidRDefault="008D6101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667C" w14:textId="77777777" w:rsidR="00E46F45" w:rsidRDefault="00E46F45" w:rsidP="00222AC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8E8FE" w14:textId="77777777" w:rsidR="008D6101" w:rsidRDefault="008D6101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12E5B4DC" w14:textId="77777777" w:rsidR="008D6101" w:rsidRDefault="008D6101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  <w:footnote w:id="1">
    <w:p w14:paraId="659AB8FE" w14:textId="77777777" w:rsidR="008D6101" w:rsidRDefault="00E46F45">
      <w:pPr>
        <w:pStyle w:val="a5"/>
      </w:pPr>
      <w:r>
        <w:rPr>
          <w:rStyle w:val="a7"/>
        </w:rPr>
        <w:footnoteRef/>
      </w:r>
      <w:r>
        <w:t xml:space="preserve"> Владимир Федорцов статья</w:t>
      </w:r>
      <w:r w:rsidRPr="00BA6803">
        <w:t xml:space="preserve"> </w:t>
      </w:r>
      <w:r>
        <w:t xml:space="preserve">от14.03.2003г. </w:t>
      </w:r>
      <w:r w:rsidRPr="00BA6803">
        <w:t xml:space="preserve"> </w:t>
      </w:r>
      <w:r w:rsidRPr="00222ACC">
        <w:t>“</w:t>
      </w:r>
      <w:r>
        <w:t>Ориентир для рынка – 31,00 руб./долл.</w:t>
      </w:r>
      <w:r w:rsidRPr="00222ACC">
        <w:t>”</w:t>
      </w:r>
      <w:r>
        <w:t xml:space="preserve"> </w:t>
      </w:r>
      <w:r>
        <w:rPr>
          <w:lang w:val="en-US"/>
        </w:rPr>
        <w:t>www</w:t>
      </w:r>
      <w:r w:rsidRPr="00222ACC">
        <w:t>.</w:t>
      </w:r>
      <w:r>
        <w:rPr>
          <w:lang w:val="en-US"/>
        </w:rPr>
        <w:t>rbcdaily</w:t>
      </w:r>
      <w:r w:rsidRPr="00222ACC">
        <w:t>.</w:t>
      </w:r>
      <w:r>
        <w:rPr>
          <w:lang w:val="en-US"/>
        </w:rPr>
        <w:t>ru</w:t>
      </w:r>
      <w:r w:rsidRPr="00222ACC">
        <w:t>/</w:t>
      </w:r>
      <w:r>
        <w:rPr>
          <w:lang w:val="en-US"/>
        </w:rPr>
        <w:t>index</w:t>
      </w:r>
      <w:r w:rsidRPr="00222ACC">
        <w:t>1.</w:t>
      </w:r>
      <w:r>
        <w:rPr>
          <w:lang w:val="en-US"/>
        </w:rPr>
        <w:t>shtml</w:t>
      </w:r>
    </w:p>
  </w:footnote>
  <w:footnote w:id="2">
    <w:p w14:paraId="7BB7D045" w14:textId="77777777" w:rsidR="00E46F45" w:rsidRPr="00222ACC" w:rsidRDefault="00E46F45">
      <w:pPr>
        <w:pStyle w:val="a5"/>
      </w:pPr>
      <w:r>
        <w:rPr>
          <w:rStyle w:val="a7"/>
        </w:rPr>
        <w:footnoteRef/>
      </w:r>
      <w:r>
        <w:t xml:space="preserve"> Владимир Федорцов статья</w:t>
      </w:r>
      <w:r w:rsidRPr="00BA6803">
        <w:t xml:space="preserve"> </w:t>
      </w:r>
      <w:r>
        <w:t xml:space="preserve">от14.03.2003г. </w:t>
      </w:r>
      <w:r w:rsidRPr="00BA6803">
        <w:t xml:space="preserve"> </w:t>
      </w:r>
      <w:r w:rsidRPr="00222ACC">
        <w:t>“</w:t>
      </w:r>
      <w:r>
        <w:t>Ориентир для рынка – 31,00 руб./долл.</w:t>
      </w:r>
      <w:r w:rsidRPr="00222ACC">
        <w:t>”</w:t>
      </w:r>
      <w:r>
        <w:t xml:space="preserve"> </w:t>
      </w:r>
      <w:r>
        <w:rPr>
          <w:lang w:val="en-US"/>
        </w:rPr>
        <w:t>www</w:t>
      </w:r>
      <w:r w:rsidRPr="00222ACC">
        <w:t>.</w:t>
      </w:r>
      <w:r>
        <w:rPr>
          <w:lang w:val="en-US"/>
        </w:rPr>
        <w:t>rbcdaily</w:t>
      </w:r>
      <w:r w:rsidRPr="00222ACC">
        <w:t>.</w:t>
      </w:r>
      <w:r>
        <w:rPr>
          <w:lang w:val="en-US"/>
        </w:rPr>
        <w:t>ru</w:t>
      </w:r>
      <w:r w:rsidRPr="00222ACC">
        <w:t>/</w:t>
      </w:r>
      <w:r>
        <w:rPr>
          <w:lang w:val="en-US"/>
        </w:rPr>
        <w:t>index</w:t>
      </w:r>
      <w:r w:rsidRPr="00222ACC">
        <w:t>1.</w:t>
      </w:r>
      <w:r>
        <w:rPr>
          <w:lang w:val="en-US"/>
        </w:rPr>
        <w:t>shtml</w:t>
      </w:r>
    </w:p>
    <w:p w14:paraId="55BDEBC3" w14:textId="77777777" w:rsidR="008D6101" w:rsidRDefault="008D6101">
      <w:pPr>
        <w:pStyle w:val="a5"/>
      </w:pPr>
    </w:p>
  </w:footnote>
  <w:footnote w:id="3">
    <w:p w14:paraId="720A8C0D" w14:textId="77777777" w:rsidR="00E46F45" w:rsidRPr="00BA6803" w:rsidRDefault="00E46F45">
      <w:pPr>
        <w:pStyle w:val="a5"/>
      </w:pPr>
      <w:r>
        <w:rPr>
          <w:rStyle w:val="a7"/>
        </w:rPr>
        <w:footnoteRef/>
      </w:r>
      <w:r>
        <w:t xml:space="preserve"> «Вопросы экономики» №8 2001г., стр.10 из статьи </w:t>
      </w:r>
      <w:r w:rsidRPr="00BA6803">
        <w:t>“</w:t>
      </w:r>
      <w:r>
        <w:t>Валютный курс и экономический рост</w:t>
      </w:r>
      <w:r w:rsidRPr="00BA6803">
        <w:t>”</w:t>
      </w:r>
    </w:p>
    <w:p w14:paraId="19ABC45D" w14:textId="77777777" w:rsidR="008D6101" w:rsidRDefault="00E46F45">
      <w:pPr>
        <w:pStyle w:val="a5"/>
      </w:pPr>
      <w:r>
        <w:rPr>
          <w:rStyle w:val="a7"/>
        </w:rPr>
        <w:sym w:font="Symbol" w:char="F041"/>
      </w:r>
      <w:r>
        <w:t xml:space="preserve"> Доля экспортных товаров при международных сопоставлениях соответствует доле экспорта в использованном ВВП. Поэтому ППС прежде всего представляет собой оценку покупательной способности валюты на внутреннем рынке, где доминируют импортозамещаемые и неторгуемые  товары и услуги.</w:t>
      </w:r>
    </w:p>
  </w:footnote>
  <w:footnote w:id="4">
    <w:p w14:paraId="6D98DE27" w14:textId="77777777" w:rsidR="00E46F45" w:rsidRDefault="00E46F45">
      <w:pPr>
        <w:pStyle w:val="a5"/>
      </w:pPr>
    </w:p>
    <w:p w14:paraId="1C8F6B1E" w14:textId="77777777" w:rsidR="008D6101" w:rsidRDefault="008D6101">
      <w:pPr>
        <w:pStyle w:val="a5"/>
      </w:pPr>
    </w:p>
  </w:footnote>
  <w:footnote w:id="5">
    <w:p w14:paraId="450D1592" w14:textId="77777777" w:rsidR="00E46F45" w:rsidRDefault="00E46F45">
      <w:pPr>
        <w:pStyle w:val="a5"/>
        <w:ind w:right="-199"/>
      </w:pPr>
      <w:r>
        <w:rPr>
          <w:rStyle w:val="a7"/>
        </w:rPr>
        <w:sym w:font="Symbol" w:char="F042"/>
      </w:r>
      <w:r>
        <w:t xml:space="preserve"> Оценка базируется на данных международных сопоставлений ОЭСР за 1996г.</w:t>
      </w:r>
    </w:p>
    <w:p w14:paraId="22015A4F" w14:textId="77777777" w:rsidR="008D6101" w:rsidRDefault="008D6101">
      <w:pPr>
        <w:pStyle w:val="a5"/>
        <w:ind w:right="-19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978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4BC62F95"/>
    <w:multiLevelType w:val="singleLevel"/>
    <w:tmpl w:val="6450B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AB36B49"/>
    <w:multiLevelType w:val="singleLevel"/>
    <w:tmpl w:val="2DF0A38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803"/>
    <w:rsid w:val="00010BA7"/>
    <w:rsid w:val="0021643E"/>
    <w:rsid w:val="00222ACC"/>
    <w:rsid w:val="006A48D4"/>
    <w:rsid w:val="008D6101"/>
    <w:rsid w:val="00BA6803"/>
    <w:rsid w:val="00C26311"/>
    <w:rsid w:val="00E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2C3ABD"/>
  <w14:defaultImageDpi w14:val="0"/>
  <w15:chartTrackingRefBased/>
  <w15:docId w15:val="{C0CC4078-25D2-4A18-9E93-536B4085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ind w:right="-198" w:firstLine="720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360" w:lineRule="auto"/>
      <w:ind w:right="-198" w:firstLine="720"/>
      <w:jc w:val="center"/>
      <w:outlineLvl w:val="2"/>
    </w:pPr>
    <w:rPr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0" w:after="0" w:line="360" w:lineRule="auto"/>
      <w:ind w:right="-198" w:firstLine="720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 w:line="360" w:lineRule="auto"/>
      <w:ind w:firstLine="720"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pPr>
      <w:spacing w:before="0" w:after="0"/>
      <w:ind w:right="-198" w:firstLine="720"/>
      <w:jc w:val="both"/>
    </w:pPr>
  </w:style>
  <w:style w:type="character" w:customStyle="1" w:styleId="a4">
    <w:name w:val="Основний текст з відступом Знак"/>
    <w:link w:val="a3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before="0" w:after="0" w:line="360" w:lineRule="auto"/>
      <w:ind w:right="-198" w:firstLine="578"/>
      <w:jc w:val="both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0"/>
      <w:szCs w:val="20"/>
    </w:rPr>
  </w:style>
  <w:style w:type="paragraph" w:styleId="31">
    <w:name w:val="Body Text Indent 3"/>
    <w:basedOn w:val="a"/>
    <w:link w:val="32"/>
    <w:uiPriority w:val="99"/>
    <w:pPr>
      <w:spacing w:before="0" w:after="0" w:line="360" w:lineRule="auto"/>
      <w:ind w:firstLine="720"/>
      <w:jc w:val="both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5">
    <w:name w:val="footnote text"/>
    <w:basedOn w:val="a"/>
    <w:link w:val="a6"/>
    <w:uiPriority w:val="99"/>
    <w:semiHidden/>
    <w:pPr>
      <w:spacing w:before="0" w:after="0"/>
    </w:pPr>
    <w:rPr>
      <w:sz w:val="20"/>
      <w:szCs w:val="20"/>
    </w:rPr>
  </w:style>
  <w:style w:type="character" w:customStyle="1" w:styleId="a6">
    <w:name w:val="Текст виноски Знак"/>
    <w:link w:val="a5"/>
    <w:uiPriority w:val="99"/>
    <w:semiHidden/>
    <w:rPr>
      <w:sz w:val="20"/>
      <w:szCs w:val="20"/>
    </w:rPr>
  </w:style>
  <w:style w:type="character" w:styleId="a7">
    <w:name w:val="footnote reference"/>
    <w:uiPriority w:val="99"/>
    <w:semiHidden/>
    <w:rPr>
      <w:vertAlign w:val="superscript"/>
    </w:rPr>
  </w:style>
  <w:style w:type="character" w:styleId="a8">
    <w:name w:val="annotation reference"/>
    <w:uiPriority w:val="99"/>
    <w:semiHidden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pPr>
      <w:spacing w:before="0" w:after="0"/>
    </w:pPr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c">
    <w:name w:val="Нижні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BA68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222ACC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f2">
    <w:name w:val="Верхній колонтитул Знак"/>
    <w:link w:val="af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Валютный (обменный) курс</vt:lpstr>
    </vt:vector>
  </TitlesOfParts>
  <Company>МОЗАИКА</Company>
  <LinksUpToDate>false</LinksUpToDate>
  <CharactersWithSpaces>21896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Валютный (обменный) курс</dc:title>
  <dc:subject/>
  <dc:creator>СОФЬЯ</dc:creator>
  <cp:keywords/>
  <dc:description/>
  <cp:lastModifiedBy>Irina</cp:lastModifiedBy>
  <cp:revision>2</cp:revision>
  <cp:lastPrinted>2003-04-18T13:32:00Z</cp:lastPrinted>
  <dcterms:created xsi:type="dcterms:W3CDTF">2014-09-10T16:55:00Z</dcterms:created>
  <dcterms:modified xsi:type="dcterms:W3CDTF">2014-09-10T16:55:00Z</dcterms:modified>
</cp:coreProperties>
</file>