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83" w:rsidRDefault="00E2538B">
      <w:pPr>
        <w:pStyle w:val="1"/>
        <w:jc w:val="center"/>
      </w:pPr>
      <w:r>
        <w:t>Размышления клинициста об устойчивости микробов к антибиотикам, и не только о ней</w:t>
      </w:r>
    </w:p>
    <w:p w:rsidR="005C0B83" w:rsidRPr="00E2538B" w:rsidRDefault="00E2538B">
      <w:pPr>
        <w:pStyle w:val="a3"/>
      </w:pPr>
      <w:r>
        <w:t> </w:t>
      </w:r>
    </w:p>
    <w:p w:rsidR="005C0B83" w:rsidRDefault="00E2538B">
      <w:pPr>
        <w:pStyle w:val="a3"/>
      </w:pPr>
      <w:r>
        <w:t>И. Г. Березняков</w:t>
      </w:r>
    </w:p>
    <w:p w:rsidR="005C0B83" w:rsidRDefault="00E2538B">
      <w:pPr>
        <w:pStyle w:val="a3"/>
      </w:pPr>
      <w:r>
        <w:t>Харьковский институт усовершенствования врачей</w:t>
      </w:r>
    </w:p>
    <w:p w:rsidR="005C0B83" w:rsidRDefault="00E2538B">
      <w:pPr>
        <w:pStyle w:val="a3"/>
      </w:pPr>
      <w:r>
        <w:t>Введение</w:t>
      </w:r>
    </w:p>
    <w:p w:rsidR="005C0B83" w:rsidRDefault="00E2538B">
      <w:pPr>
        <w:pStyle w:val="a3"/>
      </w:pPr>
      <w:r>
        <w:t>В последние десятилетия сохраняется отчетливая тенденция к расширению применения антибиотиков в амбулаторной практике. В 90-е годы в странах Западной Европы и США в четырех случаях из пяти антибиотики назначаются больным, находящимся за пределами стационаров [1]. При этом возбудитель заболевания у значительной части пациентов неизвестен и остается таковым после проведения бактериологических исследований. Не вдаваясь в детальное перечисление причин, можно выделить некоторые из них:</w:t>
      </w:r>
    </w:p>
    <w:p w:rsidR="005C0B83" w:rsidRDefault="00E2538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трудность получения образцов для исследования (например, скудное отделение мокроты при пневмонии);</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нежелание больных сдавать образцы для исследования (в частности, при циститах женщины нередко прибегают к самолечению, поскольку проблемы, затрагивающие мочеполовую сферу, могут восприниматься ими как «запретные», т. е. не подлежащие обсуждению с посторонними, в том числе с врачами);</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самостоятельное применение антибиотиков до обращения за медицинской помощью;</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слабая лабораторная база;</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отсутствие методов экспресс-диагностики многих инфекций, вызванных «привередливыми» микробами, и т. д.</w:t>
            </w:r>
          </w:p>
        </w:tc>
      </w:tr>
    </w:tbl>
    <w:p w:rsidR="005C0B83" w:rsidRPr="00E2538B" w:rsidRDefault="00E2538B">
      <w:pPr>
        <w:pStyle w:val="a3"/>
      </w:pPr>
      <w:r>
        <w:t>Недостаток достоверных сведений об этиологии заболеваний обусловливает необходимость назначения антибиотиков «вслепую», т. е. эмпирически. Эмпирическая антимикробная терапия опирается на эпидемиологические данные о встречаемости определенных возбудителей в зависимости от локализации и характера инфекционного заболевания, условий его возникновения, особенностей больного и т. д. Другими словами, на основании учета совокупности анамнестических и клинических признаков делается предположение о вероятном возбудителе (возбудителях) заболевания и затем подбираются антибактериальные препараты, которые, в соответствии с их спектром противомикробной активности, могли бы оказаться наиболее эффективными в данной клинической ситуации [2]. Однако клиническая эффективность антибиотика зависит не только от спектра действия, но и от распространенности устойчивости возбудителей к этому медикаменту в конкретном регионе.</w:t>
      </w:r>
    </w:p>
    <w:p w:rsidR="005C0B83" w:rsidRDefault="00E2538B">
      <w:pPr>
        <w:pStyle w:val="a3"/>
      </w:pPr>
      <w:r>
        <w:t>Чувствительность и резистентность бактерий к антибиотикам</w:t>
      </w:r>
    </w:p>
    <w:p w:rsidR="005C0B83" w:rsidRDefault="00E2538B">
      <w:pPr>
        <w:pStyle w:val="a3"/>
      </w:pPr>
      <w:r>
        <w:t>По степени чувствительности к антибактериальным препаратам бактерии делятся на:</w:t>
      </w:r>
    </w:p>
    <w:p w:rsidR="005C0B83" w:rsidRDefault="00E2538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чувствительные: рост возбудителей прекращается при терапевтических концентрациях медикаментов в крови;</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умеренно чувствительные: для подавления роста микроорганизмов требуются максимальные дозы лекарственного препарата;</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устойчивые (резистентные): бактериостатический эффект может быть достигнут только in vitro при высоких концентрациях медикамента, являющихся токсичными для человека.</w:t>
            </w:r>
          </w:p>
        </w:tc>
      </w:tr>
    </w:tbl>
    <w:p w:rsidR="005C0B83" w:rsidRPr="00E2538B" w:rsidRDefault="00E2538B">
      <w:pPr>
        <w:pStyle w:val="a3"/>
      </w:pPr>
      <w:r>
        <w:t>Для определения чувствительности бактерий к антибактериальным средствам в клинической практике используют:</w:t>
      </w:r>
    </w:p>
    <w:p w:rsidR="005C0B83" w:rsidRDefault="00E2538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метод последовательных (серийных) разведений (в агаре и бульоне, метод микроразведений);</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диффузионные методы (диско-диффузионный метод и метод Е-тестов).</w:t>
            </w:r>
          </w:p>
        </w:tc>
      </w:tr>
    </w:tbl>
    <w:p w:rsidR="005C0B83" w:rsidRPr="00E2538B" w:rsidRDefault="00E2538B">
      <w:pPr>
        <w:pStyle w:val="a3"/>
      </w:pPr>
      <w:r>
        <w:t>Метод серийных разведений и Е-тесты позволяют количественно оценить чувствительность выделенного микроба к данному лекарству и определить минимальную концентрацию препарата, подавляющую рост выделенного штамма возбудителя. Диско-диффузионный метод дает возможность получить только качественный результат (возбудитель является чувствительным, умеренно чувствительным или устойчивым к данному медикаменту), однако он наиболее прост и широко используется в рутинной клинической практике. При регистрации диаметра зон подавления роста микробов вокруг бумажных дисков с антибиотиком диско-диффузионный метод в ряде случаев позволяет косвенно судить о величине минимальной подавляющей концентрации, т. е. приближается к количественным методам [3, 4].</w:t>
      </w:r>
    </w:p>
    <w:p w:rsidR="005C0B83" w:rsidRDefault="00E2538B">
      <w:pPr>
        <w:pStyle w:val="a3"/>
      </w:pPr>
      <w:r>
        <w:t>Резистентность бактерий к антибактериальным препаратам может быть природной или приобретенной.</w:t>
      </w:r>
    </w:p>
    <w:p w:rsidR="005C0B83" w:rsidRDefault="00E2538B">
      <w:pPr>
        <w:pStyle w:val="a3"/>
      </w:pPr>
      <w:r>
        <w:t>Природная резистентность — это генетически обусловленное отсутствие чувствительности микроорганизма к антимикробным средствам (например, устойчивость вирусов к антибиотикам, грамотрицательных бактерий к бензилпенициллину, анаэробных бактерий к цефалоспоринам 1-го поколения).</w:t>
      </w:r>
    </w:p>
    <w:p w:rsidR="005C0B83" w:rsidRDefault="00E2538B">
      <w:pPr>
        <w:pStyle w:val="a3"/>
      </w:pPr>
      <w:r>
        <w:t>Приобретенная устойчивость возникает в результате мутации отдельных штаммов бактерий и селекции устойчивых клонов микроорганизмов, либо вследствие внехромосомного (плазмидного) обмена генетической информацией между отдельными бактериальными клетками.</w:t>
      </w:r>
    </w:p>
    <w:p w:rsidR="005C0B83" w:rsidRDefault="00E2538B">
      <w:pPr>
        <w:pStyle w:val="a3"/>
      </w:pPr>
      <w:r>
        <w:t>К антибактериальным средствам с близкой химической структурой может возникать полная или частичная перекрестная резистентность. Например, пневмококки, устойчивые к эритромицину, резистентны также к другим 14- и 15-членным макролидам (кларитромицин, рокситромицин, азитромицин). Напротив, эта устойчивость в большинстве случаев преодолевается при назначении 16-членных макролидов, например, спирамицина или мидекамицина.</w:t>
      </w:r>
    </w:p>
    <w:p w:rsidR="005C0B83" w:rsidRDefault="00E2538B">
      <w:pPr>
        <w:pStyle w:val="a3"/>
      </w:pPr>
      <w:r>
        <w:t>Известны следующие механизмы развития бактериями устойчивости к антибактериальным препаратам:</w:t>
      </w:r>
    </w:p>
    <w:p w:rsidR="005C0B83" w:rsidRDefault="00E2538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изменение проницаемости клеточной стенки бактерий для антимикробного средства;</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активное выталкивание антибиотика из микробной клетки (такой способностью, в частности, обладает эпидермальный стафилококк по отношению к макролидам);</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изменение структуры компонентов бактериальной клетки, которые являются мишенями для антибактериальных препаратов (например, пенициллинсвязывающих белков, в результате чего утрачивается или снижается возможность связывания с ними бета-лактамных антибиотиков);</w:t>
            </w:r>
          </w:p>
        </w:tc>
      </w:tr>
      <w:tr w:rsidR="005C0B83">
        <w:trPr>
          <w:tblCellSpacing w:w="0" w:type="dxa"/>
        </w:trPr>
        <w:tc>
          <w:tcPr>
            <w:tcW w:w="0" w:type="auto"/>
            <w:vAlign w:val="center"/>
            <w:hideMark/>
          </w:tcPr>
          <w:p w:rsidR="005C0B83" w:rsidRDefault="00E2538B">
            <w:r>
              <w:t> </w:t>
            </w:r>
          </w:p>
        </w:tc>
        <w:tc>
          <w:tcPr>
            <w:tcW w:w="0" w:type="auto"/>
            <w:vAlign w:val="center"/>
            <w:hideMark/>
          </w:tcPr>
          <w:p w:rsidR="005C0B83" w:rsidRDefault="00E2538B">
            <w:r>
              <w:t>выработка бактериями определенных ферментов, нарушающих строение медикаментов (например, бета-лактамаз, разрушающих бета-лактамное кольцо пенициллинов, цефалоспоринов и других бета-лактамных антибиотиков, что влечет за собой инактивацию лекарств).</w:t>
            </w:r>
          </w:p>
        </w:tc>
      </w:tr>
    </w:tbl>
    <w:p w:rsidR="005C0B83" w:rsidRPr="00E2538B" w:rsidRDefault="00E2538B">
      <w:pPr>
        <w:pStyle w:val="a3"/>
      </w:pPr>
      <w:r>
        <w:t>Возможность генетической трансформации возбудителей инфекций у человека в естественных условиях впервые продемонстрировал в 1928 г. Ф. Гриффит (Великобритания). В своем, ставшем классическим, эксперименте он показал, что мертвые вирулентные пневмококки могут превращать живых невирулентных пнемококков в вирулентные. В настоящее время доказана возможность перемешивания генов как внутри одного вида бактерий, так и между родственными видами. В результате формируются «мозаики», состоящие из нуклеотидов, принадлежавших ранее бактериям разных штаммов и видов [5]. Доступ к такому биологическому разнообразию открывает возможности для эволюции устойчивости бактерий к антибиотикам.</w:t>
      </w:r>
    </w:p>
    <w:p w:rsidR="005C0B83" w:rsidRDefault="00E2538B">
      <w:pPr>
        <w:pStyle w:val="a3"/>
      </w:pPr>
      <w:r>
        <w:t>Источники распространения резистентных штаммов бактерий</w:t>
      </w:r>
    </w:p>
    <w:p w:rsidR="005C0B83" w:rsidRDefault="00E2538B">
      <w:pPr>
        <w:pStyle w:val="a3"/>
      </w:pPr>
      <w:r>
        <w:t>Выделяют два основных пути распространения резистентных к антибиотикам штаммов бактерий:</w:t>
      </w:r>
    </w:p>
    <w:p w:rsidR="005C0B83" w:rsidRDefault="00E2538B">
      <w:pPr>
        <w:pStyle w:val="a3"/>
      </w:pPr>
      <w:r>
        <w:t>Вследствие нерационального использования антибактериальных средств;</w:t>
      </w:r>
    </w:p>
    <w:p w:rsidR="005C0B83" w:rsidRDefault="00E2538B">
      <w:pPr>
        <w:pStyle w:val="a3"/>
      </w:pPr>
      <w:r>
        <w:t>С продуктами питания, прежде всего, произведенными в животноводстве.</w:t>
      </w:r>
    </w:p>
    <w:p w:rsidR="005C0B83" w:rsidRDefault="00E2538B">
      <w:pPr>
        <w:pStyle w:val="a3"/>
      </w:pPr>
      <w:r>
        <w:t>Термин «нерациональное использование антибиотиков» охватывает широкий круг вопросов. Не претендуя на полноту изложения, перечислим и проиллюстрируем некоторые из них.</w:t>
      </w:r>
    </w:p>
    <w:p w:rsidR="005C0B83" w:rsidRDefault="00E2538B">
      <w:pPr>
        <w:pStyle w:val="a3"/>
      </w:pPr>
      <w:r>
        <w:t>Отсутствие государственного регулирования применения антибактериальных средств</w:t>
      </w:r>
    </w:p>
    <w:p w:rsidR="005C0B83" w:rsidRDefault="00E2538B">
      <w:pPr>
        <w:pStyle w:val="a3"/>
      </w:pPr>
      <w:r>
        <w:t>Государственное регулирование должно, как минимум, включать в себя создание системы постоянного наблюдения за распространенностью антибиотикорезистентности среди клинически важных видов микробов; разработку и регулярный пересмотр рекомендаций по эмпирической терапии инфекций различных локализаций; запрещение безрецептурной продажи антибиотиков; жесткий контроль качества антимикробных средств, произведенных как отечественными, так и иностранными фирмами и предприятиями. К сожалению, ни одно из этих положений в настоящее время не выполняется — либо вовсе, либо должным образом.</w:t>
      </w:r>
    </w:p>
    <w:p w:rsidR="005C0B83" w:rsidRDefault="00E2538B">
      <w:pPr>
        <w:pStyle w:val="a3"/>
      </w:pPr>
      <w:r>
        <w:t>Назначение лекарств на основании результатов микробиологических исследований</w:t>
      </w:r>
    </w:p>
    <w:p w:rsidR="005C0B83" w:rsidRDefault="00E2538B">
      <w:pPr>
        <w:pStyle w:val="a3"/>
      </w:pPr>
      <w:r>
        <w:t>Еще одна тревожная тенденция, наметившаяся в последние годы: выбор того или иного антибиотика «диктует» (когда — в прямом, а когда — в переносном смысле) микробиолог. Это характерно для тех случаев, когда из исследуемого образца (кровь, мокрота, моча и т. д.) удается выделить микроорганизм и определить его чувствительность к антибиотикам. Следует напомнить, что, во-первых, выделенный микроб вовсе не обязательно является возбудителем заболевания у конкретного пациента. Он может быть сапрофитом (т. е. нормальным обитателем, например, носоглотки), либо появиться в результате загрязнения образцов при транспортировке или в ходе исследования (в частности, попасть с рук персонала или при использовании плохо стерилизованного оборудования и т. д.).</w:t>
      </w:r>
    </w:p>
    <w:p w:rsidR="005C0B83" w:rsidRDefault="00E2538B">
      <w:pPr>
        <w:pStyle w:val="a3"/>
      </w:pPr>
      <w:r>
        <w:t>Во-вторых, данные лабораторных исследований могут искажать реальное положение дел. Например, на результаты определения чувствительности к антибиотикам влияют состав, pН, толщина и равномерность слоя питательной среды, плотность микробной взвеси (инокулюма), скорость роста микроорганизмов и возраст культуры, условия инкубации (температура, атмосфера), содержание антибиотика в диске и скорость диффузии его в агар и т. д. Немаловажный фактор — квалификация персонала. Поэтому эта методика требует строгой стандартизации: использования строго определенного агара, соблюдения правил приготовления инокулюма, условий инокуляции и инкубации чашек, правильного и регулярного проведения процедур по контролю качества [4].</w:t>
      </w:r>
    </w:p>
    <w:p w:rsidR="005C0B83" w:rsidRDefault="00E2538B">
      <w:pPr>
        <w:pStyle w:val="a3"/>
      </w:pPr>
      <w:r>
        <w:t>В-третьих, результаты лабораторных исследований далеко не отражают того, что происходит в организме больного. Многие антибиотики способны накапливаться в очаге воспаления, где их концентрация может в десятки раз превышать плазменную.</w:t>
      </w:r>
    </w:p>
    <w:p w:rsidR="005C0B83" w:rsidRDefault="00E2538B">
      <w:pPr>
        <w:pStyle w:val="a3"/>
      </w:pPr>
      <w:r>
        <w:t>В-четвертых, результаты лечения зависят не только от вида возбудителя и антибактериального препарата, но и от состояния макроорганизма, его иммунной системы. Учесть тонкости взаимодействия лекарства и иммунной системы, сочетаемость антибиотиков с другими медикаментами, которые принимает больной, аллергологический анамнез, локализацию воспалительного процесса и многие другие важные детали способен только врач.</w:t>
      </w:r>
    </w:p>
    <w:p w:rsidR="005C0B83" w:rsidRDefault="00E2538B">
      <w:pPr>
        <w:pStyle w:val="a3"/>
      </w:pPr>
      <w:r>
        <w:t>Замена аптечными работниками антибиотиков, назначенных врачом, на более дешевые «аналоги»</w:t>
      </w:r>
    </w:p>
    <w:p w:rsidR="005C0B83" w:rsidRDefault="00E2538B">
      <w:pPr>
        <w:pStyle w:val="a3"/>
      </w:pPr>
      <w:r>
        <w:t>Обычно это делается из лучших побуждений. На практике, к сожалению, часто выходит иначе. Например, что произойдет, если заменить ципрофлоксацин на норфлоксацин? Да, эти препараты — одной группы (фторхинолоны), но первый из них — широкого спектра действия, а второй применяется, главным образом, при инфекциях мочевых путей. Такая замена, может, и не страшна для пациентки с циститом, а если она больна пневмонией?</w:t>
      </w:r>
    </w:p>
    <w:p w:rsidR="005C0B83" w:rsidRDefault="00E2538B">
      <w:pPr>
        <w:pStyle w:val="a3"/>
      </w:pPr>
      <w:r>
        <w:t>Другой пример. Цефалоспорины в массовом сознании (к сожалению, врачи и провизоры — не всегда исключение) ассоциируются с высокой эффективностью и соответствующей ценой. Деление же их на поколения воспринимается как движение от хорошего к лучшему. То есть, кефзол (цефазолин, препарат 1-го поколения) — хорошо, а клафоран (цефотаксим, 3-е поколение) — лучше. Не может больной купить клафоран — пусть покупает кефзол! Однако спектр действия цефалоспоринов разных поколений существенно различается. Если цефазолин наиболее эффективен при инфекциях, вызванных грамположительными микробами, то цефотаксим, напротив, при вызванных грамотрицательными возбудителями.</w:t>
      </w:r>
    </w:p>
    <w:p w:rsidR="005C0B83" w:rsidRDefault="00E2538B">
      <w:pPr>
        <w:pStyle w:val="a3"/>
      </w:pPr>
      <w:r>
        <w:t>Еще один пример непосредственно связан с темой этой публикации. В последние годы не раз приходилось слышать, что-де «гентамицин, особенно отечественный, совершенно неэффективен». Вопрос о соответствии содержимого ампулы ее маркировке следует задавать производителям и контролирующим организациям. Но, думается, проблема шире. Гентамицин — прекрасный и дешевый антибиотик, десятилетиями назначавшийся по поводу и без повода. К сожалению, широкое применение какого-либо антибактериального препарата приводит к селекции (отбору) и распространению резистентных к нему штаммов микробов. Отсутствие отечественных данных о распространенности устойчивых бактерий к гентамицину в какой-то мере могут восполнить аналогичные сведения о положении дел в России. Около половины (44%) возбудителей внутрибольничных инфекций резистентны к гентамицину. Аналогичный показатель по отношению к другому аминогликозиду — амикацину — составил в среднем 3% [6]. Поэтому бездумно заменять более дорогие амикацин и нетилмицин на привычный гентамицин не следует.</w:t>
      </w:r>
    </w:p>
    <w:p w:rsidR="005C0B83" w:rsidRDefault="00E2538B">
      <w:pPr>
        <w:pStyle w:val="a3"/>
      </w:pPr>
      <w:r>
        <w:t>Популяризация «мифов» о применении антибиотиков</w:t>
      </w:r>
    </w:p>
    <w:p w:rsidR="005C0B83" w:rsidRDefault="00E2538B">
      <w:pPr>
        <w:pStyle w:val="a3"/>
      </w:pPr>
      <w:r>
        <w:t>Эта обширная тема выходит за рамки настоящей работы. В качестве иллюстрации приведем только два.</w:t>
      </w:r>
    </w:p>
    <w:p w:rsidR="005C0B83" w:rsidRDefault="00E2538B">
      <w:pPr>
        <w:pStyle w:val="a3"/>
      </w:pPr>
      <w:r>
        <w:t>Миф первый: «Антибиотики при лечении инфекций надо вводить парентерально». Почему, спрашивается? Существует много эффективных препаратов для приема внутрь. Так нет же, пока большинству пациентов не исколют ягодицы, что «ни сесть, ни лечь», они полагают, что врачи их «не лечили». К сожалению, многие медработники идут у больных на поводу и назначают «уколы». Какие? Да те, что подешевле — ампициллин с гентамицином. В результате возрастает как стоимость лечения (медикаменты, одноразовые шприцы, расходные материалы, труд медсестер и т. д.), так и количество резистентных штаммов микробов.</w:t>
      </w:r>
    </w:p>
    <w:p w:rsidR="005C0B83" w:rsidRDefault="00E2538B">
      <w:pPr>
        <w:pStyle w:val="a3"/>
      </w:pPr>
      <w:r>
        <w:t>Миф второй: «Пневмонию нужно лечить антибиотиками до исчезновения инфильтрации в легких». И лечат — две, три недели... Но разве антибиотики — это противовоспалительные средства? Нет, их задача — подавление роста и уничтожение возбудителей. И решается она, как правило, гораздо быстрее. Обычно продолжительность антибактериальной терапии не должна превышать трех суток после нормализации температуры тела. А лечение азитромицином (по 0,5 г внутрь 1 раз в день) вообще продолжается всего 3 дня. Естественно, больной не выздоровеет за этот срок. Ему еще понадобятся физиопроцедуры, лечебная физкультура, массаж грудной клетки. Но в антибактериальных препаратах он уже нуждаться не будет.</w:t>
      </w:r>
    </w:p>
    <w:p w:rsidR="005C0B83" w:rsidRDefault="00E2538B">
      <w:pPr>
        <w:pStyle w:val="a3"/>
      </w:pPr>
      <w:r>
        <w:t>Завершая раздел о нерациональном применении антибиотиков как источнике резистентности к ним микробов, следует подчеркнуть, что главным источником последних все же являются крупные больницы и госпитали. Именно там, прежде всего в отделениях реанимации и неотложной помощи, наиболее часто назначаются новые мощные антибиотики широкого спектра действия. Именно там больные приобретают, обмениваются друг с другом, а после выписки — заносят в свои коллективы и передают окружающим полирезистентные штаммы микробов. А, следовательно, налаживать регулярное наблюдение за состоянием внутрибольничной флоры, разрабатывать и корректировать требования по рациональному использованию антибиотиков нужно, в первую очередь, в многопрофильных больницах и госпиталях. Подобные правила едва ли найдут применение в общенациональном масштабе. Более того, в разных отделениях одной и той же больницы они, вероятно, будут отличаться в существенных деталях — ведь в каждом отделении облик микробной флоры будет различаться так же, как лица людей.</w:t>
      </w:r>
    </w:p>
    <w:p w:rsidR="005C0B83" w:rsidRDefault="00E2538B">
      <w:pPr>
        <w:pStyle w:val="a3"/>
      </w:pPr>
      <w:r>
        <w:t>Еще один источник появления и распространения резистентных к антибиотикам микробов среди людей — это животноводство. Там антибиотики используются как стимуляторы роста и для лечения больных животных. С продуктами питания резистентные штаммы микробов попадают к людям. Доказаны случаи заболевания людей, инфицированных устойчивыми к антибиотикам сальмонеллами, кишечной палочкой, кампилобактером и энтерококками. Особого внимания заслуживает широкое использование в животноводстве фторхинолонов. Объем продаж антимикробных средств этой группы ежегодно увеличивается в последние годы, а ципрофлоксацин по итогам 1997 г. был самым продаваемым антибиотиком в мире. Не следует драматизировать ситуацию, но если сопоставить логическую цепочку из 3-х фактов: рост объема продаж фторхинолонов — эти антибиотики широко применяются в птицеводстве — «куриные окорочка Буша-Клинтона», то получается не самая радостная перспектива.</w:t>
      </w:r>
    </w:p>
    <w:p w:rsidR="005C0B83" w:rsidRDefault="00E2538B">
      <w:pPr>
        <w:pStyle w:val="a3"/>
      </w:pPr>
      <w:r>
        <w:t>Однако есть и оборотная сторона медали. «Мы не нуждаемся в устойчивых к антибиотикам сальмонеллах и кампилобактере и не должны потреблять их с пищей. Но нам также не нужны и чувствительные к антибиотикам штаммы сальмонелл. В любом случае, следует прекращать кормить цыплят фторхинолонами, но нам следует позаботиться еще и о том, чтобы цыплят готовили должным образом, и мы не глотали сальмонелл... Отказ ветеринаров от использования антибиотиков у животных может привести к другим опасностям для людей, связанным с попаданием в пищу больных животных», подчеркивает J. D. Williams, Президент Международного общества химиотерапевтов [1].</w:t>
      </w:r>
    </w:p>
    <w:p w:rsidR="005C0B83" w:rsidRDefault="00E2538B">
      <w:pPr>
        <w:pStyle w:val="a3"/>
      </w:pPr>
      <w:r>
        <w:t>Эпидемиология антибиотикорезистентности микробов</w:t>
      </w:r>
    </w:p>
    <w:p w:rsidR="005C0B83" w:rsidRDefault="00E2538B">
      <w:pPr>
        <w:pStyle w:val="a3"/>
      </w:pPr>
      <w:r>
        <w:t>Ситуация с распространенностью устойчивых к антибиотикам штаммов бактерий неодинакова в разных странах мира и в пределах одной страны. Так, в отдельных районах Франции, Испании, Венгрии распространенность устойчивых к пенициллину пневмококков достигает 60%, в то время как в России — не превышает 5%. Хотя мир стал теснее и для нас важны сведения о положении дел где-нибудь в Ла-Пасе или Уагадугу, продолжать обсуждение этого раздела хотелось бы на отечественном материале. Такового, к сожалению, нет.</w:t>
      </w:r>
    </w:p>
    <w:p w:rsidR="005C0B83" w:rsidRDefault="00E2538B">
      <w:pPr>
        <w:pStyle w:val="a3"/>
      </w:pPr>
      <w:r>
        <w:t>Выводы для провизоров</w:t>
      </w:r>
    </w:p>
    <w:p w:rsidR="005C0B83" w:rsidRDefault="00E2538B">
      <w:pPr>
        <w:pStyle w:val="a3"/>
      </w:pPr>
      <w:r>
        <w:t>1. При отпуске антибиотиков верить назначениям врачей, а не микробиологов или собственной интуиции.</w:t>
      </w:r>
    </w:p>
    <w:p w:rsidR="005C0B83" w:rsidRDefault="00E2538B">
      <w:pPr>
        <w:pStyle w:val="a3"/>
      </w:pPr>
      <w:r>
        <w:t>2. Не заменять антибиотик без согласования с врачом, а если заменять — только на:</w:t>
      </w:r>
    </w:p>
    <w:p w:rsidR="005C0B83" w:rsidRDefault="00E2538B">
      <w:pPr>
        <w:pStyle w:val="a3"/>
      </w:pPr>
      <w:r>
        <w:t>а) более дешевый;</w:t>
      </w:r>
    </w:p>
    <w:p w:rsidR="005C0B83" w:rsidRDefault="00E2538B">
      <w:pPr>
        <w:pStyle w:val="a3"/>
      </w:pPr>
      <w:r>
        <w:t>б) имеющий то же самое международное непатентованное название, что и заменяемый препарат;</w:t>
      </w:r>
    </w:p>
    <w:p w:rsidR="005C0B83" w:rsidRDefault="00E2538B">
      <w:pPr>
        <w:pStyle w:val="a3"/>
      </w:pPr>
      <w:r>
        <w:t>в) произведенный фирмой или предприятием с устойчивой хорошей репутацией.</w:t>
      </w:r>
    </w:p>
    <w:p w:rsidR="005C0B83" w:rsidRDefault="00E2538B">
      <w:pPr>
        <w:pStyle w:val="a3"/>
      </w:pPr>
      <w:r>
        <w:t>3. Рекомендовать больным проконсультироваться с врачами, прежде чем покупать тот или иной антимикробный препарат.</w:t>
      </w:r>
    </w:p>
    <w:p w:rsidR="005C0B83" w:rsidRDefault="00E2538B">
      <w:pPr>
        <w:pStyle w:val="a3"/>
      </w:pPr>
      <w:r>
        <w:t>4. Предусмотреть возможность поштучного (а не «поупаковочного») отпуска необходимого количества таблеток (ампул, флаконов) антибиотиков.</w:t>
      </w:r>
    </w:p>
    <w:p w:rsidR="005C0B83" w:rsidRDefault="00E2538B">
      <w:pPr>
        <w:pStyle w:val="a3"/>
      </w:pPr>
      <w:r>
        <w:t>Вывод для врачей</w:t>
      </w:r>
    </w:p>
    <w:p w:rsidR="005C0B83" w:rsidRDefault="00E2538B">
      <w:pPr>
        <w:pStyle w:val="a3"/>
      </w:pPr>
      <w:r>
        <w:t>«Salus aegroti suprema lex medicorum» («Здоровье больного — высший закон для врачей»). Делать все, чтобы соблюдать этот закон. В том числе: учиться рационально применять антибиотики, налаживать взаимодействие с микробиологами и провизорами, поднимать перед администрацией и решать вместе с нею вопросы создания в своем лечебном учреждении системы наблюдения за распространенностью устойчивости микробов к антибиотикам, и многое другое.</w:t>
      </w:r>
    </w:p>
    <w:p w:rsidR="005C0B83" w:rsidRDefault="00E2538B">
      <w:pPr>
        <w:pStyle w:val="a3"/>
      </w:pPr>
      <w:r>
        <w:t>Список литературы</w:t>
      </w:r>
    </w:p>
    <w:p w:rsidR="005C0B83" w:rsidRDefault="00E2538B">
      <w:pPr>
        <w:pStyle w:val="a3"/>
      </w:pPr>
      <w:r>
        <w:t>Williams JD. Opinion ~ antibiotic resistance: Have we got the right culprits? Antibiotics Chemotherapy, 1998; vol.2, N.4: 15-16.</w:t>
      </w:r>
    </w:p>
    <w:p w:rsidR="005C0B83" w:rsidRDefault="00E2538B">
      <w:pPr>
        <w:pStyle w:val="a3"/>
      </w:pPr>
      <w:r>
        <w:t>Березняков ИГ, Страшный ВВ. Антибактериальные средства: стратегия клинического применения. Харьков: Константа, 1997: 1-200.</w:t>
      </w:r>
    </w:p>
    <w:p w:rsidR="005C0B83" w:rsidRDefault="00E2538B">
      <w:pPr>
        <w:pStyle w:val="a3"/>
      </w:pPr>
      <w:r>
        <w:t>Яковлев СВ. Клиническая химиотерапия бактериальных инфекций. М.: Ньюдиамед, 1996: 1-120.</w:t>
      </w:r>
    </w:p>
    <w:p w:rsidR="005C0B83" w:rsidRDefault="00E2538B">
      <w:pPr>
        <w:pStyle w:val="a3"/>
      </w:pPr>
      <w:r>
        <w:t>Страчунский ЛС, Козлов СН. Макролиды в современной клинической практике. Смоленск: Русич, 1998: 1-303.</w:t>
      </w:r>
    </w:p>
    <w:p w:rsidR="005C0B83" w:rsidRDefault="00E2538B">
      <w:pPr>
        <w:pStyle w:val="a3"/>
      </w:pPr>
      <w:r>
        <w:t>Dowson C. Influence of horizontal gene transfer (mosaic genes) on antibiotic resistance in Streptococcus pneumoniae and Neisseria meningitidis. Antibiotics Chemotherapy, 1998; vol.2, N.2: 13.</w:t>
      </w:r>
    </w:p>
    <w:p w:rsidR="005C0B83" w:rsidRDefault="00E2538B">
      <w:pPr>
        <w:pStyle w:val="a3"/>
      </w:pPr>
      <w:r>
        <w:t>Stratchounski LS, Stetsiouk OU. Antibiotic resistance in Russia. Antibiotics Chemotherapy, 1997; vol.1, N.4: 8-9.</w:t>
      </w:r>
      <w:bookmarkStart w:id="0" w:name="_GoBack"/>
      <w:bookmarkEnd w:id="0"/>
    </w:p>
    <w:sectPr w:rsidR="005C0B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38B"/>
    <w:rsid w:val="00441ABB"/>
    <w:rsid w:val="005C0B83"/>
    <w:rsid w:val="00E25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C0118-0CB3-41EF-83CC-600FC1B4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2715</Words>
  <Characters>15476</Characters>
  <Application>Microsoft Office Word</Application>
  <DocSecurity>0</DocSecurity>
  <Lines>128</Lines>
  <Paragraphs>36</Paragraphs>
  <ScaleCrop>false</ScaleCrop>
  <Company>diakov.net</Company>
  <LinksUpToDate>false</LinksUpToDate>
  <CharactersWithSpaces>18155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клинициста об устойчивости микробов к антибиотикам, и не только о ней</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