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AE1" w:rsidRDefault="00430AE1" w:rsidP="00430AE1">
      <w:pPr>
        <w:pStyle w:val="2"/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  <w:r w:rsidRPr="00430AE1">
        <w:rPr>
          <w:rFonts w:eastAsia="Times New Roman"/>
          <w:sz w:val="28"/>
          <w:szCs w:val="28"/>
          <w:lang w:eastAsia="ru-RU"/>
        </w:rPr>
        <w:t>Казахская финансово-экономическая академия (г.Семей)</w:t>
      </w:r>
    </w:p>
    <w:p w:rsidR="00430AE1" w:rsidRDefault="00430AE1" w:rsidP="00430AE1">
      <w:pPr>
        <w:pStyle w:val="2"/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430AE1" w:rsidRDefault="00430AE1" w:rsidP="00430AE1">
      <w:pPr>
        <w:pStyle w:val="2"/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430AE1" w:rsidRDefault="00430AE1" w:rsidP="00430AE1">
      <w:pPr>
        <w:pStyle w:val="2"/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430AE1" w:rsidRDefault="00430AE1" w:rsidP="00430AE1">
      <w:pPr>
        <w:pStyle w:val="2"/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430AE1" w:rsidRDefault="00430AE1" w:rsidP="00430AE1">
      <w:pPr>
        <w:pStyle w:val="2"/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430AE1" w:rsidRDefault="00430AE1" w:rsidP="00430AE1">
      <w:pPr>
        <w:pStyle w:val="2"/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430AE1" w:rsidRDefault="00430AE1" w:rsidP="00430AE1">
      <w:pPr>
        <w:pStyle w:val="2"/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430AE1" w:rsidRDefault="00430AE1" w:rsidP="00430AE1">
      <w:pPr>
        <w:pStyle w:val="2"/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430AE1" w:rsidRDefault="00430AE1" w:rsidP="00430AE1">
      <w:pPr>
        <w:pStyle w:val="2"/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430AE1" w:rsidRDefault="00430AE1" w:rsidP="00430AE1">
      <w:pPr>
        <w:pStyle w:val="2"/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430AE1" w:rsidRDefault="00430AE1" w:rsidP="00430AE1">
      <w:pPr>
        <w:pStyle w:val="2"/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430AE1" w:rsidRDefault="00430AE1" w:rsidP="00430AE1">
      <w:pPr>
        <w:pStyle w:val="2"/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430AE1" w:rsidRPr="00430AE1" w:rsidRDefault="00430AE1" w:rsidP="00430AE1">
      <w:pPr>
        <w:pStyle w:val="2"/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A54D9F" w:rsidRDefault="006B38C3" w:rsidP="00430AE1">
      <w:pPr>
        <w:pStyle w:val="2"/>
        <w:spacing w:after="0"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430AE1">
        <w:rPr>
          <w:rFonts w:eastAsia="Times New Roman"/>
          <w:b/>
          <w:bCs/>
          <w:sz w:val="28"/>
          <w:szCs w:val="28"/>
          <w:lang w:eastAsia="ru-RU"/>
        </w:rPr>
        <w:t>ПЕРСПЕКТИВЫ</w:t>
      </w:r>
      <w:r w:rsidR="00856B6A" w:rsidRPr="00430AE1">
        <w:rPr>
          <w:rFonts w:eastAsia="Times New Roman"/>
          <w:b/>
          <w:bCs/>
          <w:sz w:val="28"/>
          <w:szCs w:val="28"/>
          <w:lang w:eastAsia="ru-RU"/>
        </w:rPr>
        <w:t xml:space="preserve"> И МЕХАНИЗМ</w:t>
      </w:r>
      <w:r w:rsidRPr="00430AE1">
        <w:rPr>
          <w:rFonts w:eastAsia="Times New Roman"/>
          <w:b/>
          <w:bCs/>
          <w:sz w:val="28"/>
          <w:szCs w:val="28"/>
          <w:lang w:eastAsia="ru-RU"/>
        </w:rPr>
        <w:t xml:space="preserve"> РАЗВИТИЯ </w:t>
      </w:r>
      <w:r w:rsidR="00F04FE6" w:rsidRPr="00430AE1">
        <w:rPr>
          <w:rFonts w:eastAsia="Times New Roman"/>
          <w:b/>
          <w:bCs/>
          <w:sz w:val="28"/>
          <w:szCs w:val="28"/>
          <w:lang w:eastAsia="ru-RU"/>
        </w:rPr>
        <w:t xml:space="preserve">НАКОПИТЕЛЬНОЙ </w:t>
      </w:r>
      <w:r w:rsidR="00430AE1">
        <w:rPr>
          <w:rFonts w:eastAsia="Times New Roman"/>
          <w:b/>
          <w:bCs/>
          <w:sz w:val="28"/>
          <w:szCs w:val="28"/>
          <w:lang w:eastAsia="ru-RU"/>
        </w:rPr>
        <w:t>ПЕНСИОННОЙ СИСТЕМЫ РЕСПУБЛИКИ КАЗАХСТАН</w:t>
      </w:r>
    </w:p>
    <w:p w:rsidR="00430AE1" w:rsidRPr="00430AE1" w:rsidRDefault="00430AE1" w:rsidP="00430AE1">
      <w:pPr>
        <w:pStyle w:val="2"/>
        <w:spacing w:after="0" w:line="360" w:lineRule="auto"/>
        <w:rPr>
          <w:rFonts w:eastAsia="Times New Roman"/>
          <w:color w:val="FFFFFF"/>
          <w:sz w:val="28"/>
          <w:szCs w:val="28"/>
          <w:lang w:eastAsia="ru-RU"/>
        </w:rPr>
      </w:pPr>
      <w:r w:rsidRPr="00430AE1">
        <w:rPr>
          <w:rFonts w:eastAsia="Times New Roman"/>
          <w:color w:val="FFFFFF"/>
          <w:sz w:val="28"/>
          <w:szCs w:val="28"/>
          <w:lang w:eastAsia="ru-RU"/>
        </w:rPr>
        <w:t>механизм накопление пенсия система</w:t>
      </w:r>
    </w:p>
    <w:p w:rsidR="00430AE1" w:rsidRDefault="00430AE1" w:rsidP="00430AE1">
      <w:pPr>
        <w:pStyle w:val="2"/>
        <w:spacing w:after="0"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365DFF" w:rsidRPr="00430AE1" w:rsidRDefault="00430AE1" w:rsidP="00430AE1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Fonts w:eastAsia="Times New Roman"/>
          <w:b/>
          <w:bCs/>
          <w:lang w:eastAsia="ru-RU"/>
        </w:rPr>
        <w:br w:type="page"/>
      </w:r>
      <w:r w:rsidR="00365DFF" w:rsidRPr="00430AE1">
        <w:rPr>
          <w:sz w:val="28"/>
          <w:szCs w:val="28"/>
        </w:rPr>
        <w:lastRenderedPageBreak/>
        <w:t xml:space="preserve">Одним из достижений реформирования пенсионной системы республики является вовлечение каждого работающего члена общества в процесс финансирования своей будущей пенсии и пополнения внутренних сбережений государства в виде пенсионных накоплений. </w:t>
      </w:r>
    </w:p>
    <w:p w:rsidR="00365DFF" w:rsidRPr="00430AE1" w:rsidRDefault="00365DFF" w:rsidP="00430AE1">
      <w:pPr>
        <w:spacing w:before="0" w:after="0" w:line="36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430AE1">
        <w:rPr>
          <w:rFonts w:eastAsia="Batang"/>
          <w:sz w:val="28"/>
          <w:szCs w:val="28"/>
          <w:lang w:eastAsia="ko-KR"/>
        </w:rPr>
        <w:t xml:space="preserve">Пенсионные выплаты осуществляются фондами из пенсионного резерва, состоящего из уплаченных пенсионных взносов и полученного от их инвестирования дохода. </w:t>
      </w:r>
    </w:p>
    <w:p w:rsidR="00365DFF" w:rsidRPr="00430AE1" w:rsidRDefault="00E1684E" w:rsidP="00430AE1">
      <w:pPr>
        <w:spacing w:before="0" w:after="0" w:line="36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430AE1">
        <w:rPr>
          <w:rFonts w:eastAsia="Batang"/>
          <w:sz w:val="28"/>
          <w:szCs w:val="28"/>
          <w:lang w:eastAsia="ko-KR"/>
        </w:rPr>
        <w:t>Н</w:t>
      </w:r>
      <w:r w:rsidR="00365DFF" w:rsidRPr="00430AE1">
        <w:rPr>
          <w:rFonts w:eastAsia="Batang"/>
          <w:sz w:val="28"/>
          <w:szCs w:val="28"/>
          <w:lang w:eastAsia="ko-KR"/>
        </w:rPr>
        <w:t>а</w:t>
      </w:r>
      <w:r w:rsidR="00430AE1">
        <w:rPr>
          <w:rFonts w:eastAsia="Batang"/>
          <w:sz w:val="28"/>
          <w:szCs w:val="28"/>
          <w:lang w:eastAsia="ko-KR"/>
        </w:rPr>
        <w:t xml:space="preserve"> </w:t>
      </w:r>
      <w:r w:rsidR="00365DFF" w:rsidRPr="00430AE1">
        <w:rPr>
          <w:rFonts w:eastAsia="Batang"/>
          <w:sz w:val="28"/>
          <w:szCs w:val="28"/>
          <w:lang w:eastAsia="ko-KR"/>
        </w:rPr>
        <w:t>сегодняшний день пенсионная система Казахстана включает следующие структуры:</w:t>
      </w:r>
      <w:r w:rsidR="00430AE1">
        <w:rPr>
          <w:rFonts w:eastAsia="Batang"/>
          <w:sz w:val="28"/>
          <w:szCs w:val="28"/>
          <w:lang w:eastAsia="ko-KR"/>
        </w:rPr>
        <w:t xml:space="preserve"> </w:t>
      </w:r>
      <w:r w:rsidR="00365DFF" w:rsidRPr="00430AE1">
        <w:rPr>
          <w:rFonts w:eastAsia="Batang"/>
          <w:sz w:val="28"/>
          <w:szCs w:val="28"/>
          <w:lang w:eastAsia="ko-KR"/>
        </w:rPr>
        <w:t>накопительные пенсионные фонды (до 2003 г. они делились на государственный и негосударственные);</w:t>
      </w:r>
      <w:r w:rsidR="00430AE1">
        <w:rPr>
          <w:rFonts w:eastAsia="Batang"/>
          <w:sz w:val="28"/>
          <w:szCs w:val="28"/>
          <w:lang w:eastAsia="ko-KR"/>
        </w:rPr>
        <w:t xml:space="preserve"> </w:t>
      </w:r>
      <w:r w:rsidR="00365DFF" w:rsidRPr="00430AE1">
        <w:rPr>
          <w:rFonts w:eastAsia="Batang"/>
          <w:sz w:val="28"/>
          <w:szCs w:val="28"/>
          <w:lang w:eastAsia="ko-KR"/>
        </w:rPr>
        <w:t>организации, осуществляющие</w:t>
      </w:r>
      <w:r w:rsidR="00430AE1">
        <w:rPr>
          <w:rFonts w:eastAsia="Batang"/>
          <w:sz w:val="28"/>
          <w:szCs w:val="28"/>
          <w:lang w:eastAsia="ko-KR"/>
        </w:rPr>
        <w:t xml:space="preserve"> </w:t>
      </w:r>
      <w:r w:rsidR="00365DFF" w:rsidRPr="00430AE1">
        <w:rPr>
          <w:rFonts w:eastAsia="Batang"/>
          <w:sz w:val="28"/>
          <w:szCs w:val="28"/>
          <w:lang w:eastAsia="ko-KR"/>
        </w:rPr>
        <w:t>инвестиционное управление пенсионными активами;</w:t>
      </w:r>
      <w:r w:rsidR="00430AE1">
        <w:rPr>
          <w:rFonts w:eastAsia="Batang"/>
          <w:sz w:val="28"/>
          <w:szCs w:val="28"/>
          <w:lang w:eastAsia="ko-KR"/>
        </w:rPr>
        <w:t xml:space="preserve">  </w:t>
      </w:r>
      <w:r w:rsidR="00365DFF" w:rsidRPr="00430AE1">
        <w:rPr>
          <w:rFonts w:eastAsia="Batang"/>
          <w:sz w:val="28"/>
          <w:szCs w:val="28"/>
          <w:lang w:eastAsia="ko-KR"/>
        </w:rPr>
        <w:t>банки-кастодианы;</w:t>
      </w:r>
      <w:r w:rsidR="00430AE1">
        <w:rPr>
          <w:rFonts w:eastAsia="Batang"/>
          <w:sz w:val="28"/>
          <w:szCs w:val="28"/>
          <w:lang w:eastAsia="ko-KR"/>
        </w:rPr>
        <w:t xml:space="preserve"> </w:t>
      </w:r>
      <w:r w:rsidR="00365DFF" w:rsidRPr="00430AE1">
        <w:rPr>
          <w:rFonts w:eastAsia="Batang"/>
          <w:sz w:val="28"/>
          <w:szCs w:val="28"/>
          <w:lang w:eastAsia="ko-KR"/>
        </w:rPr>
        <w:t>агентства по регулированию и надзору финансового рынка и финансовых организаций;</w:t>
      </w:r>
      <w:r w:rsidR="00430AE1">
        <w:rPr>
          <w:rFonts w:eastAsia="Batang"/>
          <w:sz w:val="28"/>
          <w:szCs w:val="28"/>
          <w:lang w:eastAsia="ko-KR"/>
        </w:rPr>
        <w:t xml:space="preserve"> </w:t>
      </w:r>
      <w:r w:rsidR="00365DFF" w:rsidRPr="00430AE1">
        <w:rPr>
          <w:rFonts w:eastAsia="Batang"/>
          <w:sz w:val="28"/>
          <w:szCs w:val="28"/>
          <w:lang w:eastAsia="ko-KR"/>
        </w:rPr>
        <w:t>налоговые органы;</w:t>
      </w:r>
      <w:r w:rsidR="00430AE1">
        <w:rPr>
          <w:rFonts w:eastAsia="Batang"/>
          <w:sz w:val="28"/>
          <w:szCs w:val="28"/>
          <w:lang w:eastAsia="ko-KR"/>
        </w:rPr>
        <w:t xml:space="preserve"> </w:t>
      </w:r>
      <w:r w:rsidR="00365DFF" w:rsidRPr="00430AE1">
        <w:rPr>
          <w:rFonts w:eastAsia="Batang"/>
          <w:sz w:val="28"/>
          <w:szCs w:val="28"/>
          <w:lang w:eastAsia="ko-KR"/>
        </w:rPr>
        <w:t>ассоциация фондов и другие организации, необходимые для обеспечения нормального функционирования этой системы</w:t>
      </w:r>
      <w:r w:rsidR="00952F16" w:rsidRPr="00430AE1">
        <w:rPr>
          <w:rFonts w:eastAsia="Batang"/>
          <w:sz w:val="28"/>
          <w:szCs w:val="28"/>
          <w:lang w:eastAsia="ko-KR"/>
        </w:rPr>
        <w:t xml:space="preserve"> [1, 26]</w:t>
      </w:r>
      <w:r w:rsidR="00365DFF" w:rsidRPr="00430AE1">
        <w:rPr>
          <w:rFonts w:eastAsia="Batang"/>
          <w:sz w:val="28"/>
          <w:szCs w:val="28"/>
          <w:lang w:eastAsia="ko-KR"/>
        </w:rPr>
        <w:t>.</w:t>
      </w:r>
    </w:p>
    <w:p w:rsidR="00365DFF" w:rsidRPr="00430AE1" w:rsidRDefault="00365DFF" w:rsidP="00430AE1">
      <w:pPr>
        <w:spacing w:before="0" w:after="0" w:line="36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430AE1">
        <w:rPr>
          <w:rFonts w:eastAsia="Batang"/>
          <w:sz w:val="28"/>
          <w:szCs w:val="28"/>
        </w:rPr>
        <w:t xml:space="preserve">Пенсионным фондам право самостоятельно инвестировать пенсионные средства. Однако пенсионные фонды не вправе оказывать на инвестиционный процесс какого-либо воздействия, так как вся ответственность за конечный результат инвестирования лежит именно на ООИУПА. В 2008 г. низкая доходность накопительной </w:t>
      </w:r>
      <w:r w:rsidR="00E1684E" w:rsidRPr="00430AE1">
        <w:rPr>
          <w:rFonts w:eastAsia="Batang"/>
          <w:sz w:val="28"/>
          <w:szCs w:val="28"/>
        </w:rPr>
        <w:t xml:space="preserve">пенсионной системы сохранялась. </w:t>
      </w:r>
      <w:r w:rsidRPr="00430AE1">
        <w:rPr>
          <w:rFonts w:eastAsia="Batang"/>
          <w:sz w:val="28"/>
          <w:szCs w:val="28"/>
        </w:rPr>
        <w:t>По состоянию на начало 2007 г. количество вкладчиков пенсионных фондов на обязательной основе составило около 7 млн. человек, на добровольной</w:t>
      </w:r>
      <w:r w:rsidR="00E1684E" w:rsidRPr="00430AE1">
        <w:rPr>
          <w:rFonts w:eastAsia="Batang"/>
          <w:sz w:val="28"/>
          <w:szCs w:val="28"/>
        </w:rPr>
        <w:t xml:space="preserve"> </w:t>
      </w:r>
      <w:r w:rsidRPr="00430AE1">
        <w:rPr>
          <w:rFonts w:eastAsia="Batang"/>
          <w:sz w:val="28"/>
          <w:szCs w:val="28"/>
        </w:rPr>
        <w:t>–</w:t>
      </w:r>
      <w:r w:rsidR="00E1684E" w:rsidRPr="00430AE1">
        <w:rPr>
          <w:rFonts w:eastAsia="Batang"/>
          <w:sz w:val="28"/>
          <w:szCs w:val="28"/>
        </w:rPr>
        <w:t xml:space="preserve"> </w:t>
      </w:r>
      <w:r w:rsidRPr="00430AE1">
        <w:rPr>
          <w:rFonts w:eastAsia="Batang"/>
          <w:sz w:val="28"/>
          <w:szCs w:val="28"/>
        </w:rPr>
        <w:t xml:space="preserve">30,2 тыс. и добровольно профессиональной – 2,8 тыс. человек. </w:t>
      </w:r>
      <w:r w:rsidR="00430AE1" w:rsidRPr="00430AE1">
        <w:rPr>
          <w:rFonts w:eastAsia="Batang"/>
          <w:sz w:val="28"/>
          <w:szCs w:val="28"/>
        </w:rPr>
        <w:t xml:space="preserve"> </w:t>
      </w:r>
      <w:r w:rsidR="00E1684E" w:rsidRPr="00430AE1">
        <w:rPr>
          <w:sz w:val="28"/>
          <w:szCs w:val="28"/>
        </w:rPr>
        <w:t>В</w:t>
      </w:r>
      <w:r w:rsidR="00430AE1" w:rsidRPr="00430AE1">
        <w:rPr>
          <w:sz w:val="28"/>
          <w:szCs w:val="28"/>
        </w:rPr>
        <w:t xml:space="preserve"> </w:t>
      </w:r>
      <w:r w:rsidRPr="00430AE1">
        <w:rPr>
          <w:sz w:val="28"/>
          <w:szCs w:val="28"/>
        </w:rPr>
        <w:t xml:space="preserve">течение первого года пенсионной реформы 99,3% активов были вложены в государственные ценные бумаги, а именно: еврооблигации – 15,53%, в кратко-, средне- и долгосрочные ценные бумаги Министерства финансов – 81,78%, ноты Национального банка – 2%, и лишь 0,38% пенсионных средств инвестированы в негосударственные ценные бумаги, а незначительная часть – всего 0,29% - составили депозиты в банках второго уровня (в соответствии с таблицей 1). </w:t>
      </w:r>
    </w:p>
    <w:p w:rsidR="00266D24" w:rsidRPr="00430AE1" w:rsidRDefault="00365DFF" w:rsidP="00430AE1">
      <w:pPr>
        <w:pStyle w:val="2"/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30AE1">
        <w:rPr>
          <w:rFonts w:eastAsia="Times New Roman"/>
          <w:sz w:val="28"/>
          <w:szCs w:val="28"/>
          <w:lang w:eastAsia="ru-RU"/>
        </w:rPr>
        <w:t>Если в начале реформы она составляла</w:t>
      </w:r>
      <w:r w:rsidR="00266D24" w:rsidRPr="00430AE1">
        <w:rPr>
          <w:rFonts w:eastAsia="Times New Roman"/>
          <w:sz w:val="28"/>
          <w:szCs w:val="28"/>
          <w:lang w:eastAsia="ru-RU"/>
        </w:rPr>
        <w:t xml:space="preserve"> только 0,38%, то на начало 2005</w:t>
      </w:r>
      <w:r w:rsidRPr="00430AE1">
        <w:rPr>
          <w:rFonts w:eastAsia="Times New Roman"/>
          <w:sz w:val="28"/>
          <w:szCs w:val="28"/>
          <w:lang w:eastAsia="ru-RU"/>
        </w:rPr>
        <w:t xml:space="preserve"> г. во</w:t>
      </w:r>
      <w:r w:rsidR="00266D24" w:rsidRPr="00430AE1">
        <w:rPr>
          <w:rFonts w:eastAsia="Times New Roman"/>
          <w:sz w:val="28"/>
          <w:szCs w:val="28"/>
          <w:lang w:eastAsia="ru-RU"/>
        </w:rPr>
        <w:t>зросла до 22,51% и к началу 2008</w:t>
      </w:r>
      <w:r w:rsidRPr="00430AE1">
        <w:rPr>
          <w:rFonts w:eastAsia="Times New Roman"/>
          <w:sz w:val="28"/>
          <w:szCs w:val="28"/>
          <w:lang w:eastAsia="ru-RU"/>
        </w:rPr>
        <w:t xml:space="preserve"> г. уже занимала 31,64% инвестиционного портфеля. </w:t>
      </w:r>
    </w:p>
    <w:p w:rsidR="00430AE1" w:rsidRDefault="00430AE1" w:rsidP="00430AE1">
      <w:pPr>
        <w:pStyle w:val="2"/>
        <w:spacing w:after="0"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65DFF" w:rsidRPr="00430AE1" w:rsidRDefault="00365DFF" w:rsidP="00430AE1">
      <w:pPr>
        <w:pStyle w:val="2"/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30AE1">
        <w:rPr>
          <w:rFonts w:eastAsia="Times New Roman"/>
          <w:sz w:val="28"/>
          <w:szCs w:val="28"/>
          <w:lang w:eastAsia="ru-RU"/>
        </w:rPr>
        <w:t>Таблица 1 - Динамика ст</w:t>
      </w:r>
      <w:r w:rsidR="003E5BC3" w:rsidRPr="00430AE1">
        <w:rPr>
          <w:rFonts w:eastAsia="Times New Roman"/>
          <w:sz w:val="28"/>
          <w:szCs w:val="28"/>
          <w:lang w:eastAsia="ru-RU"/>
        </w:rPr>
        <w:t>руктуры</w:t>
      </w:r>
      <w:r w:rsidR="00430AE1">
        <w:rPr>
          <w:rFonts w:eastAsia="Times New Roman"/>
          <w:sz w:val="28"/>
          <w:szCs w:val="28"/>
          <w:lang w:eastAsia="ru-RU"/>
        </w:rPr>
        <w:t xml:space="preserve"> </w:t>
      </w:r>
      <w:r w:rsidRPr="00430AE1">
        <w:rPr>
          <w:rFonts w:eastAsia="Times New Roman"/>
          <w:sz w:val="28"/>
          <w:szCs w:val="28"/>
          <w:lang w:eastAsia="ru-RU"/>
        </w:rPr>
        <w:t>пенсионных</w:t>
      </w:r>
      <w:r w:rsidR="003E5BC3" w:rsidRPr="00430AE1">
        <w:rPr>
          <w:rFonts w:eastAsia="Times New Roman"/>
          <w:sz w:val="28"/>
          <w:szCs w:val="28"/>
          <w:lang w:eastAsia="ru-RU"/>
        </w:rPr>
        <w:t xml:space="preserve"> фондов РК</w:t>
      </w:r>
    </w:p>
    <w:tbl>
      <w:tblPr>
        <w:tblW w:w="846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900"/>
        <w:gridCol w:w="1080"/>
        <w:gridCol w:w="1080"/>
        <w:gridCol w:w="900"/>
      </w:tblGrid>
      <w:tr w:rsidR="00365DFF" w:rsidRPr="00430AE1" w:rsidTr="00430AE1">
        <w:trPr>
          <w:trHeight w:val="180"/>
        </w:trPr>
        <w:tc>
          <w:tcPr>
            <w:tcW w:w="4500" w:type="dxa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01.01.</w:t>
            </w:r>
          </w:p>
          <w:p w:rsidR="00365DFF" w:rsidRPr="00430AE1" w:rsidRDefault="00266D24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2005</w:t>
            </w:r>
            <w:r w:rsidR="00365DFF" w:rsidRPr="00430AE1">
              <w:rPr>
                <w:sz w:val="20"/>
                <w:szCs w:val="20"/>
              </w:rPr>
              <w:t>г.</w:t>
            </w:r>
          </w:p>
        </w:tc>
        <w:tc>
          <w:tcPr>
            <w:tcW w:w="1080" w:type="dxa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01.01.</w:t>
            </w:r>
          </w:p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200</w:t>
            </w:r>
            <w:r w:rsidR="00266D24" w:rsidRPr="00430AE1">
              <w:rPr>
                <w:sz w:val="20"/>
                <w:szCs w:val="20"/>
              </w:rPr>
              <w:t>6</w:t>
            </w:r>
            <w:r w:rsidRPr="00430AE1">
              <w:rPr>
                <w:sz w:val="20"/>
                <w:szCs w:val="20"/>
              </w:rPr>
              <w:t>г.</w:t>
            </w:r>
          </w:p>
        </w:tc>
        <w:tc>
          <w:tcPr>
            <w:tcW w:w="1080" w:type="dxa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01.01.</w:t>
            </w:r>
          </w:p>
          <w:p w:rsidR="00365DFF" w:rsidRPr="00430AE1" w:rsidRDefault="00266D24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2007</w:t>
            </w:r>
            <w:r w:rsidR="00365DFF" w:rsidRPr="00430AE1">
              <w:rPr>
                <w:sz w:val="20"/>
                <w:szCs w:val="20"/>
              </w:rPr>
              <w:t>г</w:t>
            </w:r>
          </w:p>
        </w:tc>
        <w:tc>
          <w:tcPr>
            <w:tcW w:w="900" w:type="dxa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01.01.</w:t>
            </w:r>
          </w:p>
          <w:p w:rsidR="00365DFF" w:rsidRPr="00430AE1" w:rsidRDefault="00266D24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2008</w:t>
            </w:r>
            <w:r w:rsidR="00365DFF" w:rsidRPr="00430AE1">
              <w:rPr>
                <w:sz w:val="20"/>
                <w:szCs w:val="20"/>
              </w:rPr>
              <w:t>г</w:t>
            </w:r>
          </w:p>
        </w:tc>
      </w:tr>
      <w:tr w:rsidR="00365DFF" w:rsidRPr="00430AE1" w:rsidTr="00430AE1">
        <w:trPr>
          <w:trHeight w:val="380"/>
        </w:trPr>
        <w:tc>
          <w:tcPr>
            <w:tcW w:w="450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Государственные ценные</w:t>
            </w:r>
            <w:r w:rsidR="00266D24" w:rsidRPr="00430AE1">
              <w:rPr>
                <w:sz w:val="20"/>
                <w:szCs w:val="20"/>
              </w:rPr>
              <w:t xml:space="preserve"> </w:t>
            </w:r>
            <w:r w:rsidRPr="00430AE1">
              <w:rPr>
                <w:sz w:val="20"/>
                <w:szCs w:val="20"/>
              </w:rPr>
              <w:t>бумаги (ГЦБ)</w:t>
            </w:r>
          </w:p>
        </w:tc>
        <w:tc>
          <w:tcPr>
            <w:tcW w:w="90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60,81</w:t>
            </w:r>
          </w:p>
        </w:tc>
        <w:tc>
          <w:tcPr>
            <w:tcW w:w="108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48,75</w:t>
            </w:r>
          </w:p>
        </w:tc>
        <w:tc>
          <w:tcPr>
            <w:tcW w:w="108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53,64</w:t>
            </w:r>
          </w:p>
        </w:tc>
        <w:tc>
          <w:tcPr>
            <w:tcW w:w="90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53,55</w:t>
            </w:r>
          </w:p>
        </w:tc>
      </w:tr>
      <w:tr w:rsidR="00365DFF" w:rsidRPr="00430AE1" w:rsidTr="00430AE1">
        <w:trPr>
          <w:trHeight w:val="400"/>
        </w:trPr>
        <w:tc>
          <w:tcPr>
            <w:tcW w:w="450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Негос</w:t>
            </w:r>
            <w:r w:rsidR="00266D24" w:rsidRPr="00430AE1">
              <w:rPr>
                <w:sz w:val="20"/>
                <w:szCs w:val="20"/>
              </w:rPr>
              <w:t xml:space="preserve">ударственные ценные бумаги </w:t>
            </w:r>
          </w:p>
        </w:tc>
        <w:tc>
          <w:tcPr>
            <w:tcW w:w="90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23,82</w:t>
            </w:r>
          </w:p>
        </w:tc>
        <w:tc>
          <w:tcPr>
            <w:tcW w:w="108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28,18</w:t>
            </w:r>
          </w:p>
        </w:tc>
        <w:tc>
          <w:tcPr>
            <w:tcW w:w="108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29,90</w:t>
            </w:r>
          </w:p>
        </w:tc>
        <w:tc>
          <w:tcPr>
            <w:tcW w:w="90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31,64</w:t>
            </w:r>
          </w:p>
        </w:tc>
      </w:tr>
      <w:tr w:rsidR="00365DFF" w:rsidRPr="00430AE1" w:rsidTr="00430AE1">
        <w:trPr>
          <w:trHeight w:val="340"/>
        </w:trPr>
        <w:tc>
          <w:tcPr>
            <w:tcW w:w="450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Депозиты в банках II уровня</w:t>
            </w:r>
          </w:p>
        </w:tc>
        <w:tc>
          <w:tcPr>
            <w:tcW w:w="90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8,66</w:t>
            </w:r>
          </w:p>
        </w:tc>
        <w:tc>
          <w:tcPr>
            <w:tcW w:w="108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8,86</w:t>
            </w:r>
          </w:p>
        </w:tc>
        <w:tc>
          <w:tcPr>
            <w:tcW w:w="108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6,89</w:t>
            </w:r>
          </w:p>
        </w:tc>
        <w:tc>
          <w:tcPr>
            <w:tcW w:w="90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10,90</w:t>
            </w:r>
          </w:p>
        </w:tc>
      </w:tr>
      <w:tr w:rsidR="00365DFF" w:rsidRPr="00430AE1" w:rsidTr="00430AE1">
        <w:trPr>
          <w:trHeight w:val="540"/>
        </w:trPr>
        <w:tc>
          <w:tcPr>
            <w:tcW w:w="450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Ценные бумаги международных финансовых организаций (ЦБМФО)</w:t>
            </w:r>
          </w:p>
        </w:tc>
        <w:tc>
          <w:tcPr>
            <w:tcW w:w="90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3,65</w:t>
            </w:r>
          </w:p>
        </w:tc>
        <w:tc>
          <w:tcPr>
            <w:tcW w:w="108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6,50</w:t>
            </w:r>
          </w:p>
        </w:tc>
        <w:tc>
          <w:tcPr>
            <w:tcW w:w="108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2,93</w:t>
            </w:r>
          </w:p>
        </w:tc>
        <w:tc>
          <w:tcPr>
            <w:tcW w:w="90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1,25</w:t>
            </w:r>
          </w:p>
        </w:tc>
      </w:tr>
      <w:tr w:rsidR="00365DFF" w:rsidRPr="00430AE1" w:rsidTr="00430AE1">
        <w:trPr>
          <w:trHeight w:val="700"/>
        </w:trPr>
        <w:tc>
          <w:tcPr>
            <w:tcW w:w="450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Негосударственные ценные бумаги иностранных эмитентов (НЦБИЭ)</w:t>
            </w:r>
          </w:p>
        </w:tc>
        <w:tc>
          <w:tcPr>
            <w:tcW w:w="90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3,06</w:t>
            </w:r>
          </w:p>
        </w:tc>
        <w:tc>
          <w:tcPr>
            <w:tcW w:w="108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3,99</w:t>
            </w:r>
          </w:p>
        </w:tc>
        <w:tc>
          <w:tcPr>
            <w:tcW w:w="108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4,24</w:t>
            </w:r>
          </w:p>
        </w:tc>
        <w:tc>
          <w:tcPr>
            <w:tcW w:w="90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1,78</w:t>
            </w:r>
          </w:p>
        </w:tc>
      </w:tr>
      <w:tr w:rsidR="00365DFF" w:rsidRPr="00430AE1" w:rsidTr="00430AE1">
        <w:trPr>
          <w:trHeight w:val="479"/>
        </w:trPr>
        <w:tc>
          <w:tcPr>
            <w:tcW w:w="450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Ценные бумаги иностранных государств (ЦБИГ)</w:t>
            </w:r>
          </w:p>
        </w:tc>
        <w:tc>
          <w:tcPr>
            <w:tcW w:w="90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3,72</w:t>
            </w:r>
          </w:p>
        </w:tc>
        <w:tc>
          <w:tcPr>
            <w:tcW w:w="108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2,40</w:t>
            </w:r>
          </w:p>
        </w:tc>
        <w:tc>
          <w:tcPr>
            <w:tcW w:w="900" w:type="dxa"/>
            <w:vAlign w:val="bottom"/>
          </w:tcPr>
          <w:p w:rsidR="00365DFF" w:rsidRPr="00430AE1" w:rsidRDefault="00365DFF" w:rsidP="00430AE1">
            <w:pPr>
              <w:spacing w:before="0" w:after="0" w:line="360" w:lineRule="auto"/>
              <w:rPr>
                <w:sz w:val="20"/>
                <w:szCs w:val="20"/>
              </w:rPr>
            </w:pPr>
            <w:r w:rsidRPr="00430AE1">
              <w:rPr>
                <w:sz w:val="20"/>
                <w:szCs w:val="20"/>
              </w:rPr>
              <w:t>0,14</w:t>
            </w:r>
          </w:p>
        </w:tc>
      </w:tr>
    </w:tbl>
    <w:p w:rsidR="00430AE1" w:rsidRDefault="00430AE1" w:rsidP="00430AE1">
      <w:pPr>
        <w:pStyle w:val="2"/>
        <w:spacing w:after="0"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65DFF" w:rsidRPr="00430AE1" w:rsidRDefault="00365DFF" w:rsidP="00430AE1">
      <w:pPr>
        <w:pStyle w:val="2"/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30AE1">
        <w:rPr>
          <w:sz w:val="28"/>
          <w:szCs w:val="28"/>
        </w:rPr>
        <w:t xml:space="preserve">Заметно изменилась структура портфеля по видам валют. Следует отметить, что в первые годы реформирования пенсионной системы доходность от инвестирования пенсионных средств в финансовые инструменты перекрывала инфляцию и позволяла увеличивать накопления вкладчиков. </w:t>
      </w:r>
      <w:r w:rsidR="00266D24" w:rsidRPr="00430AE1">
        <w:rPr>
          <w:sz w:val="28"/>
          <w:szCs w:val="28"/>
        </w:rPr>
        <w:t>В 2007</w:t>
      </w:r>
      <w:r w:rsidRPr="00430AE1">
        <w:rPr>
          <w:sz w:val="28"/>
          <w:szCs w:val="28"/>
        </w:rPr>
        <w:t xml:space="preserve"> г. средневзвешенный коэффициент реального дохода по пенсионным средствам частных пенсионных фондов Казахстана сл</w:t>
      </w:r>
      <w:r w:rsidR="00266D24" w:rsidRPr="00430AE1">
        <w:rPr>
          <w:sz w:val="28"/>
          <w:szCs w:val="28"/>
        </w:rPr>
        <w:t>ожился на уровне минус 0,34%. В</w:t>
      </w:r>
      <w:r w:rsidR="00430AE1" w:rsidRPr="00430AE1">
        <w:rPr>
          <w:sz w:val="28"/>
          <w:szCs w:val="28"/>
        </w:rPr>
        <w:t xml:space="preserve"> </w:t>
      </w:r>
      <w:r w:rsidRPr="00430AE1">
        <w:rPr>
          <w:sz w:val="28"/>
          <w:szCs w:val="28"/>
        </w:rPr>
        <w:t>200</w:t>
      </w:r>
      <w:r w:rsidR="00266D24" w:rsidRPr="00430AE1">
        <w:rPr>
          <w:sz w:val="28"/>
          <w:szCs w:val="28"/>
        </w:rPr>
        <w:t>8</w:t>
      </w:r>
      <w:r w:rsidRPr="00430AE1">
        <w:rPr>
          <w:sz w:val="28"/>
          <w:szCs w:val="28"/>
        </w:rPr>
        <w:t xml:space="preserve"> г. этот показатель также был отрицательным (-3,2%) и только лишь два фонда вышли с положительными результатами</w:t>
      </w:r>
      <w:r w:rsidR="00952F16" w:rsidRPr="00430AE1">
        <w:rPr>
          <w:sz w:val="28"/>
          <w:szCs w:val="28"/>
        </w:rPr>
        <w:t xml:space="preserve"> [2, 42]</w:t>
      </w:r>
      <w:r w:rsidRPr="00430AE1">
        <w:rPr>
          <w:sz w:val="28"/>
          <w:szCs w:val="28"/>
        </w:rPr>
        <w:t xml:space="preserve">. </w:t>
      </w:r>
      <w:r w:rsidR="00430AE1" w:rsidRPr="00430AE1">
        <w:rPr>
          <w:sz w:val="28"/>
          <w:szCs w:val="28"/>
        </w:rPr>
        <w:t xml:space="preserve"> </w:t>
      </w:r>
      <w:r w:rsidRPr="00430AE1">
        <w:rPr>
          <w:sz w:val="28"/>
          <w:szCs w:val="28"/>
        </w:rPr>
        <w:t xml:space="preserve">Наибольшую сумму пенсионных накоплений имеют три фонда: НПФ «Народного банка Казахстана», ГНПФ и «Улар-Умит». Размер их активов составляет от 85,7 до 121,2 млрд. тенге, на их долю приходится 21,84, 25,04 и 17,7% соответственно от общей суммы пенсионных накоплений всех фондов. </w:t>
      </w:r>
    </w:p>
    <w:p w:rsidR="00365DFF" w:rsidRPr="00430AE1" w:rsidRDefault="00365DFF" w:rsidP="00430AE1">
      <w:pPr>
        <w:pStyle w:val="2"/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30AE1">
        <w:rPr>
          <w:sz w:val="28"/>
          <w:szCs w:val="28"/>
        </w:rPr>
        <w:t>Для пенсионных фондов весьма актуален стратегический, долгосрочный аспект инвестирования, что отражается другим направлением данной модели – диверсификацией по срокам вложений.</w:t>
      </w:r>
      <w:r w:rsidR="00430AE1" w:rsidRPr="00430AE1">
        <w:rPr>
          <w:sz w:val="28"/>
          <w:szCs w:val="28"/>
        </w:rPr>
        <w:t xml:space="preserve"> </w:t>
      </w:r>
      <w:r w:rsidRPr="00430AE1">
        <w:rPr>
          <w:sz w:val="28"/>
          <w:szCs w:val="28"/>
        </w:rPr>
        <w:t xml:space="preserve">Обобщая информацию о разрешенных объектах для диверсификации пенсионных активов, схематично </w:t>
      </w:r>
      <w:r w:rsidR="00E1684E" w:rsidRPr="00430AE1">
        <w:rPr>
          <w:sz w:val="28"/>
          <w:szCs w:val="28"/>
        </w:rPr>
        <w:t xml:space="preserve">изобразим на </w:t>
      </w:r>
      <w:r w:rsidRPr="00430AE1">
        <w:rPr>
          <w:sz w:val="28"/>
          <w:szCs w:val="28"/>
        </w:rPr>
        <w:t>рисунк</w:t>
      </w:r>
      <w:r w:rsidR="00E1684E" w:rsidRPr="00430AE1">
        <w:rPr>
          <w:sz w:val="28"/>
          <w:szCs w:val="28"/>
        </w:rPr>
        <w:t>е</w:t>
      </w:r>
      <w:r w:rsidRPr="00430AE1">
        <w:rPr>
          <w:sz w:val="28"/>
          <w:szCs w:val="28"/>
        </w:rPr>
        <w:t xml:space="preserve"> 1.</w:t>
      </w:r>
    </w:p>
    <w:p w:rsidR="00430AE1" w:rsidRPr="00430AE1" w:rsidRDefault="00430AE1" w:rsidP="00430AE1">
      <w:pPr>
        <w:spacing w:before="0" w:after="0" w:line="360" w:lineRule="auto"/>
        <w:jc w:val="both"/>
        <w:rPr>
          <w:rFonts w:eastAsia="Batang"/>
          <w:sz w:val="28"/>
          <w:szCs w:val="28"/>
          <w:lang w:eastAsia="ko-KR"/>
        </w:rPr>
      </w:pPr>
    </w:p>
    <w:p w:rsidR="00365DFF" w:rsidRPr="00430AE1" w:rsidRDefault="00A83B3A" w:rsidP="00430AE1">
      <w:pPr>
        <w:spacing w:before="0" w:after="0" w:line="36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noProof/>
        </w:rPr>
        <w:pict>
          <v:group id="_x0000_s1026" style="position:absolute;left:0;text-align:left;margin-left:45pt;margin-top:10.15pt;width:390.6pt;height:111.65pt;z-index:251655680" coordorigin="2165,10494" coordsize="8532,2700" o:allowincell="f">
            <v:rect id="_x0000_s1027" style="position:absolute;left:4725;top:12294;width:3168;height:900" stroked="f">
              <v:textbox style="mso-next-textbox:#_x0000_s1027">
                <w:txbxContent>
                  <w:p w:rsidR="00365DFF" w:rsidRDefault="00365DFF" w:rsidP="00365DFF">
                    <w:pPr>
                      <w:pStyle w:val="31"/>
                      <w:jc w:val="center"/>
                    </w:pPr>
                    <w:r>
                      <w:t>Размещение средств в банковской сфере</w:t>
                    </w:r>
                  </w:p>
                </w:txbxContent>
              </v:textbox>
            </v:rect>
            <v:group id="_x0000_s1028" style="position:absolute;left:2165;top:10494;width:8532;height:1980" coordorigin="2165,11769" coordsize="8532,1980">
              <v:rect id="_x0000_s1029" style="position:absolute;left:2165;top:12489;width:2448;height:1260" stroked="f">
                <v:textbox style="mso-next-textbox:#_x0000_s1029">
                  <w:txbxContent>
                    <w:p w:rsidR="00365DFF" w:rsidRDefault="00365DFF" w:rsidP="00365DFF">
                      <w:pPr>
                        <w:spacing w:before="0" w:after="0"/>
                        <w:rPr>
                          <w:rFonts w:eastAsia="Batang"/>
                          <w:lang w:eastAsia="ko-KR"/>
                        </w:rPr>
                      </w:pPr>
                    </w:p>
                    <w:p w:rsidR="00365DFF" w:rsidRDefault="00365DFF" w:rsidP="00365DFF">
                      <w:pPr>
                        <w:pStyle w:val="31"/>
                      </w:pPr>
                      <w:r>
                        <w:t>Ценные бумаги государства</w:t>
                      </w:r>
                    </w:p>
                  </w:txbxContent>
                </v:textbox>
              </v:rect>
              <v:rect id="_x0000_s1030" style="position:absolute;left:8105;top:12669;width:2592;height:900" stroked="f">
                <v:textbox style="mso-next-textbox:#_x0000_s1030">
                  <w:txbxContent>
                    <w:p w:rsidR="00365DFF" w:rsidRDefault="00365DFF" w:rsidP="00365DFF">
                      <w:pPr>
                        <w:pStyle w:val="31"/>
                      </w:pPr>
                      <w:r>
                        <w:t>Ценные бумаги предприятий</w:t>
                      </w:r>
                    </w:p>
                  </w:txbxContent>
                </v:textbox>
              </v:rect>
              <v:line id="_x0000_s1031" style="position:absolute" from="5225,12849" to="7385,12849"/>
              <v:line id="_x0000_s1032" style="position:absolute" from="5225,12849" to="5225,13197"/>
              <v:line id="_x0000_s1033" style="position:absolute;flip:x" from="4505,13209" to="5225,13209">
                <v:stroke endarrow="block"/>
              </v:line>
              <v:line id="_x0000_s1034" style="position:absolute" from="7385,12849" to="7385,13197"/>
              <v:line id="_x0000_s1035" style="position:absolute" from="7385,13209" to="7961,13209">
                <v:stroke endarrow="block"/>
              </v:line>
              <v:line id="_x0000_s1036" style="position:absolute" from="6305,12849" to="6305,13389">
                <v:stroke endarrow="blo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4685;top:11769;width:3240;height:900" filled="f">
                <v:textbox style="mso-next-textbox:#_x0000_s1037">
                  <w:txbxContent>
                    <w:p w:rsidR="00365DFF" w:rsidRDefault="00365DFF" w:rsidP="00365DFF">
                      <w:pPr>
                        <w:pStyle w:val="8"/>
                      </w:pPr>
                      <w:r>
                        <w:t xml:space="preserve">Инвестиции НПФ </w:t>
                      </w:r>
                    </w:p>
                  </w:txbxContent>
                </v:textbox>
              </v:shape>
            </v:group>
          </v:group>
        </w:pict>
      </w:r>
    </w:p>
    <w:p w:rsidR="00365DFF" w:rsidRPr="00430AE1" w:rsidRDefault="00365DFF" w:rsidP="00430AE1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E1684E" w:rsidRPr="00430AE1" w:rsidRDefault="00E1684E" w:rsidP="00430AE1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65DFF" w:rsidRPr="00430AE1" w:rsidRDefault="00365DFF" w:rsidP="00430AE1">
      <w:pPr>
        <w:pStyle w:val="8"/>
        <w:spacing w:line="360" w:lineRule="auto"/>
        <w:ind w:firstLine="709"/>
        <w:jc w:val="both"/>
        <w:rPr>
          <w:b w:val="0"/>
          <w:bCs w:val="0"/>
        </w:rPr>
      </w:pPr>
      <w:r w:rsidRPr="00430AE1">
        <w:rPr>
          <w:b w:val="0"/>
          <w:bCs w:val="0"/>
        </w:rPr>
        <w:tab/>
      </w:r>
      <w:r w:rsidRPr="00430AE1">
        <w:rPr>
          <w:b w:val="0"/>
          <w:bCs w:val="0"/>
        </w:rPr>
        <w:tab/>
      </w:r>
      <w:r w:rsidR="00430AE1">
        <w:rPr>
          <w:b w:val="0"/>
          <w:bCs w:val="0"/>
        </w:rPr>
        <w:t xml:space="preserve"> </w:t>
      </w:r>
    </w:p>
    <w:p w:rsidR="00365DFF" w:rsidRPr="00430AE1" w:rsidRDefault="00365DFF" w:rsidP="00430AE1">
      <w:pPr>
        <w:spacing w:before="0" w:after="0" w:line="360" w:lineRule="auto"/>
        <w:ind w:firstLine="709"/>
        <w:jc w:val="both"/>
        <w:rPr>
          <w:rFonts w:eastAsia="Batang"/>
          <w:b/>
          <w:bCs/>
          <w:sz w:val="28"/>
          <w:szCs w:val="28"/>
          <w:lang w:eastAsia="ko-KR"/>
        </w:rPr>
      </w:pPr>
    </w:p>
    <w:p w:rsidR="00365DFF" w:rsidRPr="00430AE1" w:rsidRDefault="00365DFF" w:rsidP="00430AE1">
      <w:pPr>
        <w:pStyle w:val="7"/>
        <w:spacing w:line="360" w:lineRule="auto"/>
        <w:ind w:firstLine="709"/>
        <w:jc w:val="both"/>
      </w:pPr>
      <w:r w:rsidRPr="00430AE1">
        <w:t>Рисунок 1 - Схема диверсификации инвестиций НПФ</w:t>
      </w:r>
    </w:p>
    <w:p w:rsidR="00430AE1" w:rsidRDefault="00430AE1" w:rsidP="00430AE1">
      <w:pPr>
        <w:pStyle w:val="2"/>
        <w:widowControl w:val="0"/>
        <w:spacing w:after="0"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430AE1" w:rsidRDefault="00365DFF" w:rsidP="00430AE1">
      <w:pPr>
        <w:pStyle w:val="2"/>
        <w:widowControl w:val="0"/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30AE1">
        <w:rPr>
          <w:rFonts w:eastAsia="Times New Roman"/>
          <w:sz w:val="28"/>
          <w:szCs w:val="28"/>
          <w:lang w:eastAsia="ru-RU"/>
        </w:rPr>
        <w:t>В стране не получила</w:t>
      </w:r>
      <w:r w:rsidR="00430AE1">
        <w:rPr>
          <w:rFonts w:eastAsia="Times New Roman"/>
          <w:sz w:val="28"/>
          <w:szCs w:val="28"/>
          <w:lang w:eastAsia="ru-RU"/>
        </w:rPr>
        <w:t xml:space="preserve"> </w:t>
      </w:r>
      <w:r w:rsidRPr="00430AE1">
        <w:rPr>
          <w:rFonts w:eastAsia="Times New Roman"/>
          <w:sz w:val="28"/>
          <w:szCs w:val="28"/>
          <w:lang w:eastAsia="ru-RU"/>
        </w:rPr>
        <w:t>развития схема «свопового» депозита. Появление этих ценных бумаг в портфелях участников рынка является необходимой предпосылкой активных операций на вторичном рынке</w:t>
      </w:r>
      <w:r w:rsidR="00952F16" w:rsidRPr="00430AE1">
        <w:rPr>
          <w:rFonts w:eastAsia="Times New Roman"/>
          <w:sz w:val="28"/>
          <w:szCs w:val="28"/>
          <w:lang w:eastAsia="ru-RU"/>
        </w:rPr>
        <w:t xml:space="preserve"> [3,42]</w:t>
      </w:r>
      <w:r w:rsidRPr="00430AE1">
        <w:rPr>
          <w:rFonts w:eastAsia="Times New Roman"/>
          <w:sz w:val="28"/>
          <w:szCs w:val="28"/>
          <w:lang w:eastAsia="ru-RU"/>
        </w:rPr>
        <w:t>.</w:t>
      </w:r>
    </w:p>
    <w:p w:rsidR="00430AE1" w:rsidRDefault="00365DFF" w:rsidP="00430AE1">
      <w:pPr>
        <w:pStyle w:val="2"/>
        <w:widowControl w:val="0"/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30AE1">
        <w:rPr>
          <w:rFonts w:eastAsia="Times New Roman"/>
          <w:sz w:val="28"/>
          <w:szCs w:val="28"/>
          <w:lang w:eastAsia="ru-RU"/>
        </w:rPr>
        <w:t xml:space="preserve">При текущем состоянии, когда более 90% всей эмиссии ценных бумаг находится у одного-трех операторов, внутренний рынок развиваться не будет. Кроме экономических выгод, наиболее значимо то, что фонд оптимизирует часть своего портфеля долгосрочных ценных бумаг, превращая их в высокодоходный инструмент, с помощью которого в дальнейшем появляется возможность регулировать процессы формирования процентных ставок на рынке с учетом интересов эмитента. </w:t>
      </w:r>
      <w:r w:rsidR="00430AE1">
        <w:rPr>
          <w:rFonts w:eastAsia="Times New Roman"/>
          <w:sz w:val="28"/>
          <w:szCs w:val="28"/>
          <w:lang w:eastAsia="ru-RU"/>
        </w:rPr>
        <w:t xml:space="preserve"> </w:t>
      </w:r>
    </w:p>
    <w:p w:rsidR="00365DFF" w:rsidRPr="00430AE1" w:rsidRDefault="00365DFF" w:rsidP="00430AE1">
      <w:pPr>
        <w:pStyle w:val="2"/>
        <w:widowControl w:val="0"/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30AE1">
        <w:rPr>
          <w:sz w:val="28"/>
          <w:szCs w:val="28"/>
        </w:rPr>
        <w:t>Предлагаемая структура совокупног</w:t>
      </w:r>
      <w:r w:rsidR="00A54D9F" w:rsidRPr="00430AE1">
        <w:rPr>
          <w:sz w:val="28"/>
          <w:szCs w:val="28"/>
        </w:rPr>
        <w:t xml:space="preserve">о инвестиционного портфеля НПФ </w:t>
      </w:r>
      <w:r w:rsidRPr="00430AE1">
        <w:rPr>
          <w:sz w:val="28"/>
          <w:szCs w:val="28"/>
        </w:rPr>
        <w:t>позволяет снизить довольно высокий уровень рисков за счет пересмотра норм диверсификации по следующим направлениям:</w:t>
      </w:r>
    </w:p>
    <w:p w:rsidR="00365DFF" w:rsidRPr="00430AE1" w:rsidRDefault="00365DFF" w:rsidP="00430AE1">
      <w:pPr>
        <w:pStyle w:val="2"/>
        <w:numPr>
          <w:ilvl w:val="0"/>
          <w:numId w:val="7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430AE1">
        <w:rPr>
          <w:rFonts w:eastAsia="Times New Roman"/>
          <w:sz w:val="28"/>
          <w:szCs w:val="28"/>
          <w:lang w:eastAsia="ru-RU"/>
        </w:rPr>
        <w:t>вложение пенсионных средств в долгосрочные инвестиционные проекты, которые предусматривают участие банков второго уровня на консолидированной основе;</w:t>
      </w:r>
      <w:r w:rsidR="00430AE1">
        <w:rPr>
          <w:rFonts w:eastAsia="Times New Roman"/>
          <w:sz w:val="28"/>
          <w:szCs w:val="28"/>
          <w:lang w:eastAsia="ru-RU"/>
        </w:rPr>
        <w:t xml:space="preserve"> </w:t>
      </w:r>
      <w:r w:rsidRPr="00430AE1">
        <w:rPr>
          <w:rFonts w:eastAsia="Times New Roman"/>
          <w:sz w:val="28"/>
          <w:szCs w:val="28"/>
          <w:lang w:eastAsia="ru-RU"/>
        </w:rPr>
        <w:t>снижение доли государственного заимствования по мере макроэкономической стабилизации и уменьшения бюджетного дефицита;</w:t>
      </w:r>
      <w:r w:rsidR="00430AE1">
        <w:rPr>
          <w:rFonts w:eastAsia="Times New Roman"/>
          <w:sz w:val="28"/>
          <w:szCs w:val="28"/>
          <w:lang w:eastAsia="ru-RU"/>
        </w:rPr>
        <w:t xml:space="preserve"> </w:t>
      </w:r>
      <w:r w:rsidRPr="00430AE1">
        <w:rPr>
          <w:rFonts w:eastAsia="Times New Roman"/>
          <w:sz w:val="28"/>
          <w:szCs w:val="28"/>
          <w:lang w:eastAsia="ru-RU"/>
        </w:rPr>
        <w:t>внедрение новых инструментов инвестирования в человеческий капитал;</w:t>
      </w:r>
      <w:r w:rsidR="00430AE1">
        <w:rPr>
          <w:rFonts w:eastAsia="Times New Roman"/>
          <w:sz w:val="28"/>
          <w:szCs w:val="28"/>
          <w:lang w:eastAsia="ru-RU"/>
        </w:rPr>
        <w:t xml:space="preserve"> </w:t>
      </w:r>
      <w:r w:rsidRPr="00430AE1">
        <w:rPr>
          <w:rFonts w:eastAsia="Times New Roman"/>
          <w:sz w:val="28"/>
          <w:szCs w:val="28"/>
          <w:lang w:eastAsia="ru-RU"/>
        </w:rPr>
        <w:t>увеличение удельного веса инвестиций в ипотечные облигации;</w:t>
      </w:r>
      <w:r w:rsidR="00430AE1">
        <w:rPr>
          <w:rFonts w:eastAsia="Times New Roman"/>
          <w:sz w:val="28"/>
          <w:szCs w:val="28"/>
          <w:lang w:eastAsia="ru-RU"/>
        </w:rPr>
        <w:t xml:space="preserve"> </w:t>
      </w:r>
      <w:r w:rsidRPr="00430AE1">
        <w:rPr>
          <w:rFonts w:eastAsia="Times New Roman"/>
          <w:sz w:val="28"/>
          <w:szCs w:val="28"/>
          <w:lang w:eastAsia="ru-RU"/>
        </w:rPr>
        <w:t>запрещение инвестирования пенсионных средств в иностранные государственные и корпоративные ценные бумаги и</w:t>
      </w:r>
      <w:r w:rsidRPr="00430AE1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430AE1">
        <w:rPr>
          <w:rFonts w:eastAsia="Times New Roman"/>
          <w:sz w:val="28"/>
          <w:szCs w:val="28"/>
          <w:lang w:eastAsia="ru-RU"/>
        </w:rPr>
        <w:t>бумаги международных финансовых учреждений на ближайшие годы</w:t>
      </w:r>
      <w:r w:rsidR="00952F16" w:rsidRPr="00430AE1">
        <w:rPr>
          <w:rFonts w:eastAsia="Times New Roman"/>
          <w:sz w:val="28"/>
          <w:szCs w:val="28"/>
          <w:lang w:eastAsia="ru-RU"/>
        </w:rPr>
        <w:t xml:space="preserve"> [3,89]</w:t>
      </w:r>
      <w:r w:rsidRPr="00430AE1">
        <w:rPr>
          <w:rFonts w:eastAsia="Times New Roman"/>
          <w:sz w:val="28"/>
          <w:szCs w:val="28"/>
          <w:lang w:eastAsia="ru-RU"/>
        </w:rPr>
        <w:t xml:space="preserve">. </w:t>
      </w:r>
    </w:p>
    <w:p w:rsidR="00365DFF" w:rsidRPr="00430AE1" w:rsidRDefault="00365DFF" w:rsidP="00430AE1">
      <w:pPr>
        <w:pStyle w:val="2"/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30AE1">
        <w:rPr>
          <w:rFonts w:eastAsia="Times New Roman"/>
          <w:sz w:val="28"/>
          <w:szCs w:val="28"/>
          <w:lang w:eastAsia="ru-RU"/>
        </w:rPr>
        <w:t xml:space="preserve">Действующая в настоящее время регулятивная база позволяет казахстанским пенсионным фондам размещать депозиты в банках, при этом банки самостоятельно распоряжаются этими денежными средствами. </w:t>
      </w:r>
    </w:p>
    <w:p w:rsidR="00365DFF" w:rsidRDefault="00365DFF" w:rsidP="00430AE1">
      <w:pPr>
        <w:spacing w:before="0" w:after="0" w:line="36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430AE1">
        <w:rPr>
          <w:rFonts w:eastAsia="Batang"/>
          <w:sz w:val="28"/>
          <w:szCs w:val="28"/>
          <w:lang w:eastAsia="ko-KR"/>
        </w:rPr>
        <w:t>Исходя из ключевых особенностей инвестиции пенсионных вложений можно предложить следующую схему диверсификации портфеля пенсионных фондов в сферу человеческого капитала (рисун</w:t>
      </w:r>
      <w:r w:rsidR="00F8544B" w:rsidRPr="00430AE1">
        <w:rPr>
          <w:rFonts w:eastAsia="Batang"/>
          <w:sz w:val="28"/>
          <w:szCs w:val="28"/>
          <w:lang w:eastAsia="ko-KR"/>
        </w:rPr>
        <w:t>о</w:t>
      </w:r>
      <w:r w:rsidRPr="00430AE1">
        <w:rPr>
          <w:rFonts w:eastAsia="Batang"/>
          <w:sz w:val="28"/>
          <w:szCs w:val="28"/>
          <w:lang w:eastAsia="ko-KR"/>
        </w:rPr>
        <w:t>к</w:t>
      </w:r>
      <w:r w:rsidR="00F8544B" w:rsidRPr="00430AE1">
        <w:rPr>
          <w:rFonts w:eastAsia="Batang"/>
          <w:sz w:val="28"/>
          <w:szCs w:val="28"/>
          <w:lang w:eastAsia="ko-KR"/>
        </w:rPr>
        <w:t xml:space="preserve"> </w:t>
      </w:r>
      <w:r w:rsidRPr="00430AE1">
        <w:rPr>
          <w:rFonts w:eastAsia="Batang"/>
          <w:sz w:val="28"/>
          <w:szCs w:val="28"/>
          <w:lang w:eastAsia="ko-KR"/>
        </w:rPr>
        <w:t>2). Нами выделены три направления инвестиции пенсионных активов в сферу человеческого капитала. Как следует из представленной схемы, НПФ могут вкладывать денежные средства через государственные социальные программы путем приобретения ценных бумаг, и/или через банковскую сферу.</w:t>
      </w:r>
    </w:p>
    <w:p w:rsidR="00430AE1" w:rsidRPr="00430AE1" w:rsidRDefault="00430AE1" w:rsidP="00430AE1">
      <w:pPr>
        <w:spacing w:before="0" w:after="0" w:line="360" w:lineRule="auto"/>
        <w:jc w:val="both"/>
        <w:rPr>
          <w:rFonts w:eastAsia="Batang"/>
          <w:sz w:val="28"/>
          <w:szCs w:val="28"/>
          <w:lang w:eastAsia="ko-KR"/>
        </w:rPr>
      </w:pPr>
    </w:p>
    <w:p w:rsidR="00365DFF" w:rsidRPr="00430AE1" w:rsidRDefault="00A83B3A" w:rsidP="00430AE1">
      <w:pPr>
        <w:pStyle w:val="a3"/>
        <w:spacing w:line="360" w:lineRule="auto"/>
        <w:ind w:firstLine="709"/>
        <w:jc w:val="both"/>
        <w:rPr>
          <w:b w:val="0"/>
          <w:bCs w:val="0"/>
        </w:rPr>
      </w:pPr>
      <w:r>
        <w:rPr>
          <w:noProof/>
        </w:rPr>
        <w:pict>
          <v:group id="_x0000_s1038" style="position:absolute;left:0;text-align:left;margin-left:36pt;margin-top:12.8pt;width:396pt;height:219pt;z-index:-251659776" coordorigin="1854,3683" coordsize="7920,5022" o:allowincell="f">
            <v:shape id="_x0000_s1039" type="#_x0000_t202" style="position:absolute;left:3876;top:3683;width:2191;height:965">
              <v:textbox style="mso-next-textbox:#_x0000_s1039">
                <w:txbxContent>
                  <w:p w:rsidR="00365DFF" w:rsidRDefault="00365DFF" w:rsidP="00365DFF">
                    <w:pPr>
                      <w:spacing w:before="0" w:after="0"/>
                      <w:jc w:val="center"/>
                      <w:rPr>
                        <w:rFonts w:eastAsia="Batang"/>
                        <w:lang w:eastAsia="ko-KR"/>
                      </w:rPr>
                    </w:pPr>
                    <w:r>
                      <w:rPr>
                        <w:rFonts w:eastAsia="Batang"/>
                        <w:lang w:eastAsia="ko-KR"/>
                      </w:rPr>
                      <w:t>Государстве</w:t>
                    </w:r>
                    <w:r>
                      <w:rPr>
                        <w:rFonts w:eastAsia="Batang"/>
                        <w:b/>
                        <w:bCs/>
                        <w:lang w:eastAsia="ko-KR"/>
                      </w:rPr>
                      <w:t>нные социальные пр</w:t>
                    </w:r>
                    <w:r>
                      <w:rPr>
                        <w:rFonts w:eastAsia="Batang"/>
                        <w:lang w:eastAsia="ko-KR"/>
                      </w:rPr>
                      <w:t>ограммы</w:t>
                    </w:r>
                  </w:p>
                </w:txbxContent>
              </v:textbox>
            </v:shape>
            <v:shape id="_x0000_s1040" type="#_x0000_t202" style="position:absolute;left:1854;top:4648;width:843;height:482">
              <v:textbox style="mso-next-textbox:#_x0000_s1040">
                <w:txbxContent>
                  <w:p w:rsidR="00365DFF" w:rsidRDefault="00365DFF" w:rsidP="00365DFF">
                    <w:pPr>
                      <w:spacing w:before="0" w:after="0"/>
                      <w:rPr>
                        <w:rFonts w:eastAsia="Batang"/>
                        <w:lang w:eastAsia="ko-KR"/>
                      </w:rPr>
                    </w:pPr>
                    <w:r>
                      <w:rPr>
                        <w:rFonts w:eastAsia="Batang"/>
                        <w:lang w:eastAsia="ko-KR"/>
                      </w:rPr>
                      <w:t>НПФ</w:t>
                    </w:r>
                  </w:p>
                </w:txbxContent>
              </v:textbox>
            </v:shape>
            <v:shape id="_x0000_s1041" type="#_x0000_t202" style="position:absolute;left:7752;top:4527;width:2022;height:824">
              <v:textbox style="mso-next-textbox:#_x0000_s1041">
                <w:txbxContent>
                  <w:p w:rsidR="00365DFF" w:rsidRDefault="00365DFF" w:rsidP="00365DFF">
                    <w:pPr>
                      <w:spacing w:before="0" w:after="0"/>
                      <w:jc w:val="center"/>
                      <w:rPr>
                        <w:rFonts w:eastAsia="Batang"/>
                        <w:lang w:eastAsia="ko-KR"/>
                      </w:rPr>
                    </w:pPr>
                    <w:r>
                      <w:rPr>
                        <w:rFonts w:eastAsia="Batang"/>
                        <w:lang w:eastAsia="ko-KR"/>
                      </w:rPr>
                      <w:t>Человеческий</w:t>
                    </w:r>
                  </w:p>
                  <w:p w:rsidR="00365DFF" w:rsidRDefault="00365DFF" w:rsidP="00365DFF">
                    <w:pPr>
                      <w:spacing w:before="0" w:after="0"/>
                      <w:jc w:val="center"/>
                      <w:rPr>
                        <w:rFonts w:eastAsia="Batang"/>
                        <w:lang w:eastAsia="ko-KR"/>
                      </w:rPr>
                    </w:pPr>
                    <w:r>
                      <w:rPr>
                        <w:rFonts w:eastAsia="Batang"/>
                        <w:b/>
                        <w:bCs/>
                        <w:lang w:eastAsia="ko-KR"/>
                      </w:rPr>
                      <w:t>капитал</w:t>
                    </w:r>
                  </w:p>
                </w:txbxContent>
              </v:textbox>
            </v:shape>
            <v:shape id="_x0000_s1042" type="#_x0000_t202" style="position:absolute;left:4017;top:5050;width:1853;height:727">
              <v:textbox style="mso-next-textbox:#_x0000_s1042">
                <w:txbxContent>
                  <w:p w:rsidR="00365DFF" w:rsidRDefault="00365DFF" w:rsidP="00365DFF">
                    <w:pPr>
                      <w:spacing w:before="0" w:after="0"/>
                      <w:jc w:val="center"/>
                      <w:rPr>
                        <w:rFonts w:eastAsia="Batang"/>
                        <w:lang w:eastAsia="ko-KR"/>
                      </w:rPr>
                    </w:pPr>
                    <w:r>
                      <w:rPr>
                        <w:rFonts w:eastAsia="Batang"/>
                        <w:lang w:eastAsia="ko-KR"/>
                      </w:rPr>
                      <w:t>Банковская</w:t>
                    </w:r>
                  </w:p>
                  <w:p w:rsidR="00365DFF" w:rsidRDefault="00365DFF" w:rsidP="00365DFF">
                    <w:pPr>
                      <w:spacing w:before="0" w:after="0"/>
                      <w:jc w:val="center"/>
                      <w:rPr>
                        <w:rFonts w:eastAsia="Batang"/>
                        <w:lang w:eastAsia="ko-KR"/>
                      </w:rPr>
                    </w:pPr>
                    <w:r>
                      <w:rPr>
                        <w:rFonts w:eastAsia="Batang"/>
                        <w:b/>
                        <w:bCs/>
                        <w:lang w:eastAsia="ko-KR"/>
                      </w:rPr>
                      <w:t>сфера</w:t>
                    </w:r>
                  </w:p>
                </w:txbxContent>
              </v:textbox>
            </v:shape>
            <v:line id="_x0000_s1043" style="position:absolute" from="2697,4876" to="7752,4876">
              <v:stroke endarrow="block"/>
            </v:line>
            <v:line id="_x0000_s1044" style="position:absolute;flip:y" from="2697,4326" to="3876,4648">
              <v:stroke endarrow="block"/>
            </v:line>
            <v:line id="_x0000_s1045" style="position:absolute" from="2697,5130" to="4045,5455">
              <v:stroke endarrow="block"/>
            </v:line>
            <v:line id="_x0000_s1046" style="position:absolute;flip:x y" from="6067,4326" to="7752,4648">
              <v:stroke startarrow="block"/>
            </v:line>
            <v:line id="_x0000_s1047" style="position:absolute;flip:x" from="5898,5130" to="7752,5455">
              <v:stroke startarrow="block"/>
            </v:line>
            <v:shape id="_x0000_s1048" type="#_x0000_t202" style="position:absolute;left:6755;top:5580;width:2696;height:545">
              <v:textbox style="mso-next-textbox:#_x0000_s1048">
                <w:txbxContent>
                  <w:p w:rsidR="00365DFF" w:rsidRDefault="00365DFF" w:rsidP="00365DFF">
                    <w:pPr>
                      <w:spacing w:before="0" w:after="0"/>
                      <w:jc w:val="center"/>
                      <w:rPr>
                        <w:rFonts w:eastAsia="Batang"/>
                        <w:lang w:eastAsia="ko-KR"/>
                      </w:rPr>
                    </w:pPr>
                    <w:r>
                      <w:rPr>
                        <w:rFonts w:eastAsia="Batang"/>
                        <w:lang w:eastAsia="ko-KR"/>
                      </w:rPr>
                      <w:t>Здравоохранение</w:t>
                    </w:r>
                  </w:p>
                </w:txbxContent>
              </v:textbox>
            </v:shape>
            <v:shape id="_x0000_s1049" type="#_x0000_t202" style="position:absolute;left:6755;top:6193;width:2696;height:532">
              <v:textbox style="mso-next-textbox:#_x0000_s1049">
                <w:txbxContent>
                  <w:p w:rsidR="00365DFF" w:rsidRDefault="00365DFF" w:rsidP="00365DFF">
                    <w:pPr>
                      <w:spacing w:before="0" w:after="0"/>
                      <w:jc w:val="center"/>
                      <w:rPr>
                        <w:rFonts w:eastAsia="Batang"/>
                        <w:lang w:eastAsia="ko-KR"/>
                      </w:rPr>
                    </w:pPr>
                    <w:r>
                      <w:rPr>
                        <w:rFonts w:eastAsia="Batang"/>
                        <w:lang w:eastAsia="ko-KR"/>
                      </w:rPr>
                      <w:t>Образование</w:t>
                    </w:r>
                  </w:p>
                </w:txbxContent>
              </v:textbox>
            </v:shape>
            <v:shape id="_x0000_s1050" type="#_x0000_t202" style="position:absolute;left:6755;top:6769;width:2696;height:496">
              <v:textbox style="mso-next-textbox:#_x0000_s1050">
                <w:txbxContent>
                  <w:p w:rsidR="00365DFF" w:rsidRDefault="00365DFF" w:rsidP="00365DFF">
                    <w:pPr>
                      <w:spacing w:before="0" w:after="0"/>
                      <w:jc w:val="center"/>
                      <w:rPr>
                        <w:rFonts w:eastAsia="Batang"/>
                        <w:lang w:eastAsia="ko-KR"/>
                      </w:rPr>
                    </w:pPr>
                    <w:r>
                      <w:rPr>
                        <w:rFonts w:eastAsia="Batang"/>
                        <w:lang w:eastAsia="ko-KR"/>
                      </w:rPr>
                      <w:t>Наука</w:t>
                    </w:r>
                  </w:p>
                </w:txbxContent>
              </v:textbox>
            </v:shape>
            <v:shape id="_x0000_s1051" type="#_x0000_t202" style="position:absolute;left:6755;top:7345;width:2696;height:460">
              <v:textbox style="mso-next-textbox:#_x0000_s1051">
                <w:txbxContent>
                  <w:p w:rsidR="00365DFF" w:rsidRDefault="00365DFF" w:rsidP="00365DFF">
                    <w:pPr>
                      <w:spacing w:before="0" w:after="0"/>
                      <w:jc w:val="both"/>
                      <w:rPr>
                        <w:rFonts w:eastAsia="Batang"/>
                        <w:lang w:eastAsia="ko-KR"/>
                      </w:rPr>
                    </w:pPr>
                    <w:r>
                      <w:rPr>
                        <w:rFonts w:eastAsia="Batang"/>
                        <w:lang w:eastAsia="ko-KR"/>
                      </w:rPr>
                      <w:t>Культура и искусство</w:t>
                    </w:r>
                  </w:p>
                </w:txbxContent>
              </v:textbox>
            </v:shape>
            <v:shape id="_x0000_s1052" type="#_x0000_t202" style="position:absolute;left:6755;top:7908;width:2696;height:797">
              <v:textbox style="mso-next-textbox:#_x0000_s1052">
                <w:txbxContent>
                  <w:p w:rsidR="00365DFF" w:rsidRDefault="00365DFF" w:rsidP="00365DFF">
                    <w:pPr>
                      <w:spacing w:before="0" w:after="0"/>
                      <w:jc w:val="center"/>
                      <w:rPr>
                        <w:rFonts w:eastAsia="Batang"/>
                        <w:lang w:eastAsia="ko-KR"/>
                      </w:rPr>
                    </w:pPr>
                    <w:r>
                      <w:rPr>
                        <w:rFonts w:eastAsia="Batang"/>
                        <w:lang w:eastAsia="ko-KR"/>
                      </w:rPr>
                      <w:t>Информационное обслуживание</w:t>
                    </w:r>
                  </w:p>
                </w:txbxContent>
              </v:textbox>
            </v:shape>
            <v:line id="_x0000_s1053" style="position:absolute" from="9774,5185" to="9774,8240"/>
            <v:line id="_x0000_s1054" style="position:absolute;flip:x" from="9437,8240" to="9774,8240">
              <v:stroke endarrow="block"/>
            </v:line>
            <v:line id="_x0000_s1055" style="position:absolute;flip:x" from="9437,7517" to="9774,7517">
              <v:stroke endarrow="block"/>
            </v:line>
            <v:line id="_x0000_s1056" style="position:absolute;flip:x" from="9437,6954" to="9774,6954">
              <v:stroke endarrow="block"/>
            </v:line>
            <v:line id="_x0000_s1057" style="position:absolute;flip:x" from="9437,6364" to="9774,6364">
              <v:stroke endarrow="block"/>
            </v:line>
            <v:line id="_x0000_s1058" style="position:absolute;flip:x" from="9437,5828" to="9774,5828">
              <v:stroke endarrow="block"/>
            </v:line>
            <v:line id="_x0000_s1059" style="position:absolute" from="2247,6954" to="6741,6954"/>
            <v:line id="_x0000_s1060" style="position:absolute;flip:x" from="5393,5828" to="6741,6954"/>
            <v:line id="_x0000_s1061" style="position:absolute;flip:x" from="5393,6471" to="6741,6954"/>
            <v:line id="_x0000_s1062" style="position:absolute;flip:y" from="2219,5185" to="2219,6954">
              <v:stroke endarrow="block"/>
            </v:line>
            <v:line id="_x0000_s1063" style="position:absolute;flip:x y" from="5393,6954" to="6741,7597"/>
            <v:line id="_x0000_s1064" style="position:absolute;flip:x y" from="5393,6954" to="6741,8240"/>
            <w10:wrap type="square"/>
          </v:group>
        </w:pict>
      </w:r>
      <w:r>
        <w:rPr>
          <w:noProof/>
        </w:rPr>
        <w:pict>
          <v:shape id="_x0000_s1065" type="#_x0000_t202" style="position:absolute;left:0;text-align:left;margin-left:86pt;margin-top:94pt;width:52.8pt;height:18pt;z-index:251659776;mso-wrap-style:none" o:allowincell="f" filled="f" stroked="f">
            <v:textbox style="mso-next-textbox:#_x0000_s1065">
              <w:txbxContent>
                <w:p w:rsidR="00365DFF" w:rsidRDefault="00365DFF" w:rsidP="00365DFF">
                  <w:pPr>
                    <w:spacing w:before="0" w:after="0"/>
                    <w:rPr>
                      <w:rFonts w:eastAsia="Batang"/>
                      <w:i/>
                      <w:iCs/>
                      <w:lang w:eastAsia="ko-KR"/>
                    </w:rPr>
                  </w:pPr>
                  <w:r>
                    <w:rPr>
                      <w:rFonts w:eastAsia="Batang"/>
                      <w:i/>
                      <w:iCs/>
                      <w:lang w:eastAsia="ko-KR"/>
                    </w:rPr>
                    <w:t>Вклады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left:0;text-align:left;margin-left:63.65pt;margin-top:28pt;width:77.55pt;height:18pt;z-index:251658752;mso-wrap-style:none" o:allowincell="f" filled="f" stroked="f">
            <v:textbox style="mso-next-textbox:#_x0000_s1066">
              <w:txbxContent>
                <w:p w:rsidR="00365DFF" w:rsidRDefault="00365DFF" w:rsidP="00365DFF">
                  <w:pPr>
                    <w:spacing w:before="0" w:after="0"/>
                    <w:rPr>
                      <w:rFonts w:eastAsia="Batang"/>
                      <w:i/>
                      <w:iCs/>
                      <w:lang w:eastAsia="ko-KR"/>
                    </w:rPr>
                  </w:pPr>
                  <w:r>
                    <w:rPr>
                      <w:rFonts w:eastAsia="Batang"/>
                      <w:i/>
                      <w:iCs/>
                      <w:lang w:eastAsia="ko-KR"/>
                    </w:rPr>
                    <w:t>Инвестиции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90pt;margin-top:57pt;width:77.55pt;height:18pt;z-index:251657728;mso-wrap-style:none" o:allowincell="f" filled="f" stroked="f">
            <v:textbox style="mso-next-textbox:#_x0000_s1067">
              <w:txbxContent>
                <w:p w:rsidR="00365DFF" w:rsidRDefault="00365DFF" w:rsidP="00365DFF">
                  <w:pPr>
                    <w:spacing w:before="0" w:after="0"/>
                    <w:rPr>
                      <w:rFonts w:eastAsia="Batang"/>
                      <w:i/>
                      <w:iCs/>
                      <w:lang w:eastAsia="ko-KR"/>
                    </w:rPr>
                  </w:pPr>
                  <w:r>
                    <w:rPr>
                      <w:rFonts w:eastAsia="Batang"/>
                      <w:i/>
                      <w:iCs/>
                      <w:lang w:eastAsia="ko-KR"/>
                    </w:rPr>
                    <w:t>Инвестиции</w:t>
                  </w:r>
                </w:p>
              </w:txbxContent>
            </v:textbox>
          </v:shape>
        </w:pict>
      </w:r>
    </w:p>
    <w:p w:rsidR="006B38C3" w:rsidRPr="00430AE1" w:rsidRDefault="006B38C3" w:rsidP="00430AE1">
      <w:pPr>
        <w:spacing w:before="0" w:after="0" w:line="36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</w:p>
    <w:p w:rsidR="006B38C3" w:rsidRPr="00430AE1" w:rsidRDefault="006B38C3" w:rsidP="00430AE1">
      <w:pPr>
        <w:spacing w:before="0" w:after="0" w:line="36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</w:p>
    <w:p w:rsidR="006B38C3" w:rsidRPr="00430AE1" w:rsidRDefault="006B38C3" w:rsidP="00430AE1">
      <w:pPr>
        <w:spacing w:before="0" w:after="0" w:line="36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</w:p>
    <w:p w:rsidR="006B38C3" w:rsidRPr="00430AE1" w:rsidRDefault="006B38C3" w:rsidP="00430AE1">
      <w:pPr>
        <w:spacing w:before="0" w:after="0" w:line="36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</w:p>
    <w:p w:rsidR="006B38C3" w:rsidRPr="00430AE1" w:rsidRDefault="006B38C3" w:rsidP="00430AE1">
      <w:pPr>
        <w:spacing w:before="0" w:after="0" w:line="36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</w:p>
    <w:p w:rsidR="006B38C3" w:rsidRPr="00430AE1" w:rsidRDefault="006B38C3" w:rsidP="00430AE1">
      <w:pPr>
        <w:spacing w:before="0" w:after="0" w:line="36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</w:p>
    <w:p w:rsidR="006B38C3" w:rsidRPr="00430AE1" w:rsidRDefault="006B38C3" w:rsidP="00430AE1">
      <w:pPr>
        <w:spacing w:before="0" w:after="0" w:line="36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</w:p>
    <w:p w:rsidR="006B38C3" w:rsidRPr="00430AE1" w:rsidRDefault="006B38C3" w:rsidP="00430AE1">
      <w:pPr>
        <w:spacing w:before="0" w:after="0" w:line="36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</w:p>
    <w:p w:rsidR="006B38C3" w:rsidRPr="00430AE1" w:rsidRDefault="006B38C3" w:rsidP="00430AE1">
      <w:pPr>
        <w:spacing w:before="0" w:after="0" w:line="36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</w:p>
    <w:p w:rsidR="00365DFF" w:rsidRPr="00430AE1" w:rsidRDefault="00365DFF" w:rsidP="00430AE1">
      <w:pPr>
        <w:spacing w:before="0" w:after="0" w:line="36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430AE1">
        <w:rPr>
          <w:rFonts w:eastAsia="Batang"/>
          <w:sz w:val="28"/>
          <w:szCs w:val="28"/>
          <w:lang w:eastAsia="ko-KR"/>
        </w:rPr>
        <w:t>Рисунок 2 – Схема диверсификации инвестиций пенсионных фондов в сферу человеческого капитала</w:t>
      </w:r>
    </w:p>
    <w:p w:rsidR="00430AE1" w:rsidRDefault="00430AE1" w:rsidP="00430AE1">
      <w:pPr>
        <w:pStyle w:val="a3"/>
        <w:spacing w:line="360" w:lineRule="auto"/>
        <w:jc w:val="both"/>
        <w:rPr>
          <w:b w:val="0"/>
          <w:bCs w:val="0"/>
        </w:rPr>
      </w:pPr>
    </w:p>
    <w:p w:rsidR="00430AE1" w:rsidRDefault="00365DFF" w:rsidP="00430AE1">
      <w:pPr>
        <w:pStyle w:val="a3"/>
        <w:spacing w:line="360" w:lineRule="auto"/>
        <w:ind w:firstLine="709"/>
        <w:jc w:val="both"/>
        <w:rPr>
          <w:b w:val="0"/>
          <w:bCs w:val="0"/>
        </w:rPr>
      </w:pPr>
      <w:r w:rsidRPr="00430AE1">
        <w:rPr>
          <w:b w:val="0"/>
          <w:bCs w:val="0"/>
        </w:rPr>
        <w:t xml:space="preserve">При инвестировании вложений в человеческий капитал накопительным пенсионным фондам следует учитывать, что наиболее надежными, доходными и ликвидными являются инвестиции в образование. </w:t>
      </w:r>
    </w:p>
    <w:p w:rsidR="00430AE1" w:rsidRPr="00430AE1" w:rsidRDefault="00430AE1" w:rsidP="00430AE1">
      <w:pPr>
        <w:pStyle w:val="a3"/>
        <w:spacing w:line="360" w:lineRule="auto"/>
      </w:pPr>
      <w:r>
        <w:rPr>
          <w:b w:val="0"/>
          <w:bCs w:val="0"/>
        </w:rPr>
        <w:br w:type="page"/>
      </w:r>
      <w:r w:rsidRPr="00430AE1">
        <w:t>С</w:t>
      </w:r>
      <w:r>
        <w:t>писок использованной литературы</w:t>
      </w:r>
    </w:p>
    <w:p w:rsidR="00430AE1" w:rsidRDefault="00430AE1" w:rsidP="00430AE1">
      <w:pPr>
        <w:pStyle w:val="a3"/>
        <w:spacing w:line="360" w:lineRule="auto"/>
        <w:jc w:val="both"/>
        <w:rPr>
          <w:b w:val="0"/>
          <w:bCs w:val="0"/>
        </w:rPr>
      </w:pPr>
    </w:p>
    <w:p w:rsidR="00430AE1" w:rsidRPr="00430AE1" w:rsidRDefault="00430AE1" w:rsidP="00430AE1">
      <w:pPr>
        <w:pStyle w:val="a3"/>
        <w:spacing w:line="360" w:lineRule="auto"/>
        <w:jc w:val="left"/>
        <w:rPr>
          <w:b w:val="0"/>
          <w:bCs w:val="0"/>
        </w:rPr>
      </w:pPr>
      <w:r>
        <w:rPr>
          <w:b w:val="0"/>
          <w:bCs w:val="0"/>
        </w:rPr>
        <w:t xml:space="preserve">1. </w:t>
      </w:r>
      <w:r w:rsidRPr="00430AE1">
        <w:rPr>
          <w:b w:val="0"/>
          <w:bCs w:val="0"/>
        </w:rPr>
        <w:t xml:space="preserve">Даулетбаков Г.Б. Учет, актуарное оценивание и анализ в негосударственных накопительных </w:t>
      </w:r>
      <w:r>
        <w:rPr>
          <w:b w:val="0"/>
          <w:bCs w:val="0"/>
        </w:rPr>
        <w:t>пенсионных фондах. Алматы, 2007</w:t>
      </w:r>
      <w:r w:rsidRPr="00430AE1">
        <w:rPr>
          <w:b w:val="0"/>
          <w:bCs w:val="0"/>
        </w:rPr>
        <w:t xml:space="preserve"> - 26 с.</w:t>
      </w:r>
    </w:p>
    <w:p w:rsidR="00430AE1" w:rsidRPr="00430AE1" w:rsidRDefault="00430AE1" w:rsidP="00430AE1">
      <w:pPr>
        <w:pStyle w:val="a3"/>
        <w:spacing w:line="360" w:lineRule="auto"/>
        <w:jc w:val="left"/>
        <w:rPr>
          <w:b w:val="0"/>
          <w:bCs w:val="0"/>
        </w:rPr>
      </w:pPr>
      <w:r>
        <w:rPr>
          <w:b w:val="0"/>
          <w:bCs w:val="0"/>
        </w:rPr>
        <w:t xml:space="preserve">2. </w:t>
      </w:r>
      <w:r w:rsidRPr="00430AE1">
        <w:rPr>
          <w:b w:val="0"/>
          <w:bCs w:val="0"/>
        </w:rPr>
        <w:t>ИАФР «Ирбис» // Рынок ценных бумаг Казахстана, №8. - 2008. - С.42.</w:t>
      </w:r>
    </w:p>
    <w:p w:rsidR="003E5BC3" w:rsidRPr="00430AE1" w:rsidRDefault="00430AE1" w:rsidP="00430AE1">
      <w:pPr>
        <w:pStyle w:val="a3"/>
        <w:spacing w:line="360" w:lineRule="auto"/>
        <w:jc w:val="left"/>
        <w:rPr>
          <w:b w:val="0"/>
          <w:bCs w:val="0"/>
        </w:rPr>
      </w:pPr>
      <w:r>
        <w:rPr>
          <w:b w:val="0"/>
          <w:bCs w:val="0"/>
        </w:rPr>
        <w:t xml:space="preserve">3. </w:t>
      </w:r>
      <w:r w:rsidRPr="00430AE1">
        <w:rPr>
          <w:b w:val="0"/>
          <w:bCs w:val="0"/>
        </w:rPr>
        <w:t>Тулепбаев К. Казахская модель пенсионного обеспечения населения. Алматы, 2006. - 342 с.</w:t>
      </w:r>
    </w:p>
    <w:p w:rsidR="00952F16" w:rsidRPr="00430AE1" w:rsidRDefault="00952F16" w:rsidP="00430AE1">
      <w:pPr>
        <w:tabs>
          <w:tab w:val="left" w:pos="360"/>
          <w:tab w:val="left" w:pos="1260"/>
        </w:tabs>
        <w:spacing w:before="0" w:after="0" w:line="360" w:lineRule="auto"/>
        <w:jc w:val="both"/>
        <w:rPr>
          <w:sz w:val="28"/>
          <w:szCs w:val="28"/>
        </w:rPr>
      </w:pPr>
    </w:p>
    <w:p w:rsidR="003E5BC3" w:rsidRPr="00430AE1" w:rsidRDefault="003E5BC3" w:rsidP="00430AE1">
      <w:pPr>
        <w:pStyle w:val="a3"/>
        <w:spacing w:line="360" w:lineRule="auto"/>
        <w:rPr>
          <w:b w:val="0"/>
          <w:bCs w:val="0"/>
          <w:color w:val="FFFFFF"/>
        </w:rPr>
      </w:pPr>
      <w:bookmarkStart w:id="0" w:name="_GoBack"/>
      <w:bookmarkEnd w:id="0"/>
    </w:p>
    <w:sectPr w:rsidR="003E5BC3" w:rsidRPr="00430AE1" w:rsidSect="00430AE1">
      <w:headerReference w:type="default" r:id="rId7"/>
      <w:footerReference w:type="default" r:id="rId8"/>
      <w:pgSz w:w="11906" w:h="16838"/>
      <w:pgMar w:top="1134" w:right="851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B8C" w:rsidRDefault="00AB4B8C">
      <w:pPr>
        <w:spacing w:before="0" w:after="0"/>
        <w:rPr>
          <w:rFonts w:eastAsia="Batang"/>
          <w:lang w:eastAsia="ko-KR"/>
        </w:rPr>
      </w:pPr>
      <w:r>
        <w:rPr>
          <w:rFonts w:eastAsia="Batang"/>
          <w:lang w:eastAsia="ko-KR"/>
        </w:rPr>
        <w:separator/>
      </w:r>
    </w:p>
  </w:endnote>
  <w:endnote w:type="continuationSeparator" w:id="0">
    <w:p w:rsidR="00AB4B8C" w:rsidRDefault="00AB4B8C">
      <w:pPr>
        <w:spacing w:before="0" w:after="0"/>
        <w:rPr>
          <w:rFonts w:eastAsia="Batang"/>
          <w:lang w:eastAsia="ko-KR"/>
        </w:rPr>
      </w:pPr>
      <w:r>
        <w:rPr>
          <w:rFonts w:eastAsia="Batang"/>
          <w:lang w:eastAsia="ko-K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BAD" w:rsidRDefault="00677BAD" w:rsidP="00430AE1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83B3A">
      <w:rPr>
        <w:rStyle w:val="a7"/>
        <w:noProof/>
      </w:rPr>
      <w:t>1</w:t>
    </w:r>
    <w:r>
      <w:rPr>
        <w:rStyle w:val="a7"/>
      </w:rPr>
      <w:fldChar w:fldCharType="end"/>
    </w:r>
  </w:p>
  <w:p w:rsidR="00677BAD" w:rsidRDefault="00677BAD" w:rsidP="00430AE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B8C" w:rsidRDefault="00AB4B8C">
      <w:pPr>
        <w:spacing w:before="0" w:after="0"/>
        <w:rPr>
          <w:rFonts w:eastAsia="Batang"/>
          <w:lang w:eastAsia="ko-KR"/>
        </w:rPr>
      </w:pPr>
      <w:r>
        <w:rPr>
          <w:rFonts w:eastAsia="Batang"/>
          <w:lang w:eastAsia="ko-KR"/>
        </w:rPr>
        <w:separator/>
      </w:r>
    </w:p>
  </w:footnote>
  <w:footnote w:type="continuationSeparator" w:id="0">
    <w:p w:rsidR="00AB4B8C" w:rsidRDefault="00AB4B8C">
      <w:pPr>
        <w:spacing w:before="0" w:after="0"/>
        <w:rPr>
          <w:rFonts w:eastAsia="Batang"/>
          <w:lang w:eastAsia="ko-KR"/>
        </w:rPr>
      </w:pPr>
      <w:r>
        <w:rPr>
          <w:rFonts w:eastAsia="Batang"/>
          <w:lang w:eastAsia="ko-K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BAD" w:rsidRPr="00430AE1" w:rsidRDefault="00677BAD" w:rsidP="00430AE1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636B5"/>
    <w:multiLevelType w:val="hybridMultilevel"/>
    <w:tmpl w:val="7BB09194"/>
    <w:lvl w:ilvl="0" w:tplc="57721C24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100DE5"/>
    <w:multiLevelType w:val="hybridMultilevel"/>
    <w:tmpl w:val="7F44BE34"/>
    <w:lvl w:ilvl="0" w:tplc="FFFFFFFF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84807"/>
    <w:multiLevelType w:val="hybridMultilevel"/>
    <w:tmpl w:val="CC7A0810"/>
    <w:lvl w:ilvl="0" w:tplc="FFFFFFFF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73BCB"/>
    <w:multiLevelType w:val="hybridMultilevel"/>
    <w:tmpl w:val="3FC6E306"/>
    <w:lvl w:ilvl="0" w:tplc="FFFFFFFF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685714"/>
    <w:multiLevelType w:val="hybridMultilevel"/>
    <w:tmpl w:val="D1E2542A"/>
    <w:lvl w:ilvl="0" w:tplc="FFFFFFFF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0447D6"/>
    <w:multiLevelType w:val="hybridMultilevel"/>
    <w:tmpl w:val="540A7512"/>
    <w:lvl w:ilvl="0" w:tplc="FFFFFFFF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0E7F57"/>
    <w:multiLevelType w:val="hybridMultilevel"/>
    <w:tmpl w:val="E0DCD61A"/>
    <w:lvl w:ilvl="0" w:tplc="FFFFFFFF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DF72A1"/>
    <w:multiLevelType w:val="hybridMultilevel"/>
    <w:tmpl w:val="D076D678"/>
    <w:lvl w:ilvl="0" w:tplc="FFFFFFFF">
      <w:start w:val="1"/>
      <w:numFmt w:val="decimal"/>
      <w:lvlText w:val="%1."/>
      <w:lvlJc w:val="left"/>
      <w:pPr>
        <w:tabs>
          <w:tab w:val="num" w:pos="1614"/>
        </w:tabs>
        <w:ind w:left="1614" w:hanging="99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5DFF"/>
    <w:rsid w:val="000C17A0"/>
    <w:rsid w:val="000D636A"/>
    <w:rsid w:val="00214A04"/>
    <w:rsid w:val="00266D24"/>
    <w:rsid w:val="00365DFF"/>
    <w:rsid w:val="003E5BC3"/>
    <w:rsid w:val="00430AE1"/>
    <w:rsid w:val="00623382"/>
    <w:rsid w:val="00677BAD"/>
    <w:rsid w:val="006B38C3"/>
    <w:rsid w:val="00713C9A"/>
    <w:rsid w:val="00762EC3"/>
    <w:rsid w:val="00830342"/>
    <w:rsid w:val="00856B6A"/>
    <w:rsid w:val="00952F16"/>
    <w:rsid w:val="009A60E8"/>
    <w:rsid w:val="00A54D9F"/>
    <w:rsid w:val="00A83B3A"/>
    <w:rsid w:val="00AB4B8C"/>
    <w:rsid w:val="00AE7915"/>
    <w:rsid w:val="00CA1CDE"/>
    <w:rsid w:val="00CB3FC8"/>
    <w:rsid w:val="00E1684E"/>
    <w:rsid w:val="00F04FE6"/>
    <w:rsid w:val="00F548B2"/>
    <w:rsid w:val="00F72E94"/>
    <w:rsid w:val="00F8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,"/>
  <w:listSeparator w:val=";"/>
  <w14:defaultImageDpi w14:val="0"/>
  <w15:chartTrackingRefBased/>
  <w15:docId w15:val="{032B1558-DAF9-4C6B-B16B-8733DD21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DFF"/>
    <w:pPr>
      <w:spacing w:before="100" w:after="100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65DFF"/>
    <w:pPr>
      <w:keepNext/>
      <w:spacing w:before="0" w:after="0"/>
      <w:ind w:firstLine="624"/>
      <w:jc w:val="center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65DFF"/>
    <w:pPr>
      <w:keepNext/>
      <w:spacing w:before="0" w:after="0"/>
      <w:ind w:firstLine="624"/>
      <w:jc w:val="center"/>
      <w:outlineLvl w:val="4"/>
    </w:pPr>
    <w:rPr>
      <w:rFonts w:eastAsia="Batang"/>
      <w:b/>
      <w:bCs/>
      <w:caps/>
      <w:lang w:eastAsia="ko-KR"/>
    </w:rPr>
  </w:style>
  <w:style w:type="paragraph" w:styleId="7">
    <w:name w:val="heading 7"/>
    <w:basedOn w:val="a"/>
    <w:next w:val="a"/>
    <w:link w:val="70"/>
    <w:uiPriority w:val="99"/>
    <w:qFormat/>
    <w:rsid w:val="00365DFF"/>
    <w:pPr>
      <w:keepNext/>
      <w:spacing w:before="0" w:after="0"/>
      <w:ind w:firstLine="624"/>
      <w:jc w:val="center"/>
      <w:outlineLvl w:val="6"/>
    </w:pPr>
    <w:rPr>
      <w:rFonts w:eastAsia="Batang"/>
      <w:sz w:val="28"/>
      <w:szCs w:val="28"/>
      <w:lang w:eastAsia="ko-KR"/>
    </w:rPr>
  </w:style>
  <w:style w:type="paragraph" w:styleId="8">
    <w:name w:val="heading 8"/>
    <w:basedOn w:val="a"/>
    <w:next w:val="a"/>
    <w:link w:val="80"/>
    <w:uiPriority w:val="99"/>
    <w:qFormat/>
    <w:rsid w:val="00365DFF"/>
    <w:pPr>
      <w:keepNext/>
      <w:spacing w:before="0" w:after="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365DFF"/>
    <w:pPr>
      <w:spacing w:before="0" w:after="0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2">
    <w:name w:val="Body Text 2"/>
    <w:basedOn w:val="a"/>
    <w:link w:val="20"/>
    <w:uiPriority w:val="99"/>
    <w:rsid w:val="00365DFF"/>
    <w:pPr>
      <w:spacing w:before="0" w:after="120" w:line="480" w:lineRule="auto"/>
    </w:pPr>
    <w:rPr>
      <w:rFonts w:eastAsia="Batang"/>
      <w:lang w:eastAsia="ko-KR"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365DFF"/>
    <w:pPr>
      <w:spacing w:before="0" w:after="120" w:line="480" w:lineRule="auto"/>
      <w:ind w:left="283"/>
    </w:pPr>
    <w:rPr>
      <w:rFonts w:eastAsia="Batang"/>
      <w:lang w:eastAsia="ko-KR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365DFF"/>
    <w:pPr>
      <w:tabs>
        <w:tab w:val="center" w:pos="4677"/>
        <w:tab w:val="right" w:pos="9355"/>
      </w:tabs>
      <w:spacing w:before="0" w:after="0"/>
    </w:pPr>
    <w:rPr>
      <w:rFonts w:eastAsia="Batang"/>
      <w:lang w:eastAsia="ko-KR"/>
    </w:r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365DFF"/>
  </w:style>
  <w:style w:type="paragraph" w:styleId="a8">
    <w:name w:val="Title"/>
    <w:basedOn w:val="a"/>
    <w:link w:val="a9"/>
    <w:uiPriority w:val="99"/>
    <w:qFormat/>
    <w:rsid w:val="00365DFF"/>
    <w:pPr>
      <w:spacing w:before="0" w:after="0"/>
      <w:jc w:val="center"/>
    </w:pPr>
    <w:rPr>
      <w:sz w:val="28"/>
      <w:szCs w:val="28"/>
      <w:lang w:val="ru-MD"/>
    </w:rPr>
  </w:style>
  <w:style w:type="character" w:customStyle="1" w:styleId="a9">
    <w:name w:val="Название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rsid w:val="00365DFF"/>
    <w:pPr>
      <w:spacing w:before="0" w:after="0"/>
      <w:jc w:val="both"/>
    </w:pPr>
    <w:rPr>
      <w:sz w:val="28"/>
      <w:szCs w:val="28"/>
      <w:u w:val="single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a">
    <w:name w:val="header"/>
    <w:basedOn w:val="a"/>
    <w:link w:val="ab"/>
    <w:uiPriority w:val="99"/>
    <w:rsid w:val="00365DFF"/>
    <w:pPr>
      <w:tabs>
        <w:tab w:val="center" w:pos="4677"/>
        <w:tab w:val="right" w:pos="9355"/>
      </w:tabs>
      <w:spacing w:before="0" w:after="0"/>
    </w:pPr>
    <w:rPr>
      <w:rFonts w:eastAsia="Batang"/>
      <w:lang w:eastAsia="ko-KR"/>
    </w:rPr>
  </w:style>
  <w:style w:type="character" w:customStyle="1" w:styleId="ab">
    <w:name w:val="Верхний колонтитул Знак"/>
    <w:link w:val="aa"/>
    <w:uiPriority w:val="99"/>
    <w:semiHidden/>
    <w:rPr>
      <w:sz w:val="24"/>
      <w:szCs w:val="24"/>
    </w:rPr>
  </w:style>
  <w:style w:type="character" w:styleId="ac">
    <w:name w:val="Hyperlink"/>
    <w:uiPriority w:val="99"/>
    <w:rsid w:val="006B3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Актуальность темы</vt:lpstr>
    </vt:vector>
  </TitlesOfParts>
  <Company>vincent</Company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Актуальность темы</dc:title>
  <dc:subject/>
  <dc:creator>vincent</dc:creator>
  <cp:keywords/>
  <dc:description/>
  <cp:lastModifiedBy>admin</cp:lastModifiedBy>
  <cp:revision>2</cp:revision>
  <dcterms:created xsi:type="dcterms:W3CDTF">2014-03-26T15:26:00Z</dcterms:created>
  <dcterms:modified xsi:type="dcterms:W3CDTF">2014-03-26T15:26:00Z</dcterms:modified>
</cp:coreProperties>
</file>