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B7" w:rsidRPr="00E37D1E" w:rsidRDefault="009F42B7" w:rsidP="00936B06">
      <w:pPr>
        <w:pStyle w:val="1"/>
        <w:rPr>
          <w:lang w:val="uk-UA"/>
        </w:rPr>
      </w:pPr>
      <w:r w:rsidRPr="00E37D1E">
        <w:t>Азіатсько-</w:t>
      </w:r>
      <w:r w:rsidR="00B645A9">
        <w:rPr>
          <w:lang w:val="uk-UA"/>
        </w:rPr>
        <w:t>т</w:t>
      </w:r>
      <w:r w:rsidRPr="00E37D1E">
        <w:t>ихоокеанське</w:t>
      </w:r>
      <w:r w:rsidR="00E37D1E" w:rsidRPr="00E37D1E">
        <w:t xml:space="preserve"> </w:t>
      </w:r>
      <w:r w:rsidRPr="00E37D1E">
        <w:t>економічне</w:t>
      </w:r>
      <w:r w:rsidR="00E37D1E" w:rsidRPr="00E37D1E">
        <w:t xml:space="preserve"> </w:t>
      </w:r>
      <w:r w:rsidRPr="00E37D1E">
        <w:t>співробітництво</w:t>
      </w:r>
    </w:p>
    <w:p w:rsidR="00936B06" w:rsidRDefault="00936B06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При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створенні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увійшли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12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США,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Канада,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Японія,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Австралія,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Нова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Зеландія,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Республіка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Корея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6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Східної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Азії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Бруней,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Індонезія,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Малайзія,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Сінгапур,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Таїланд,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Філіппіни</w:t>
      </w:r>
      <w:r w:rsidR="00E37D1E" w:rsidRPr="00E37D1E">
        <w:rPr>
          <w:szCs w:val="24"/>
          <w:lang w:val="uk-UA"/>
        </w:rPr>
        <w:t xml:space="preserve">),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сьогоднішній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день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вже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21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1991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приєднався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Гонконг,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Китай,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Тайвань,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1993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Мексика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Папуа-Нова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Гвінея,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1994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Чилі,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1998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В'єтнам,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Росія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Перу.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Настільки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швидке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розширення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призвело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оголошення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організацією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10-річного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2008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року</w:t>
      </w:r>
      <w:r w:rsidR="00E37D1E" w:rsidRPr="00E37D1E">
        <w:rPr>
          <w:szCs w:val="24"/>
          <w:lang w:val="uk-UA"/>
        </w:rPr>
        <w:t xml:space="preserve">) </w:t>
      </w:r>
      <w:r w:rsidRPr="00E37D1E">
        <w:rPr>
          <w:szCs w:val="24"/>
          <w:lang w:val="uk-UA"/>
        </w:rPr>
        <w:t>мораторію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нових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членів,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незважаючи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Монголія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кілька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інших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само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Латинської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Америки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бажали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влитися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ряди.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Секретаріат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розташований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Сінгапурі.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Щорічно,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починаючи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1993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скликаються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неформальні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глав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урядів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Форуму.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Паралельно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верхах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відбуваються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щорічні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наради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міністрів,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компетенції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входить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також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вирішення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питання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зовнішньої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політики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економіки.</w:t>
      </w:r>
    </w:p>
    <w:p w:rsidR="00936B06" w:rsidRDefault="00936B06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936B06">
      <w:pPr>
        <w:pStyle w:val="1"/>
        <w:rPr>
          <w:lang w:val="uk-UA"/>
        </w:rPr>
      </w:pPr>
      <w:r w:rsidRPr="00E37D1E">
        <w:rPr>
          <w:lang w:val="uk-UA"/>
        </w:rPr>
        <w:t>Історія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і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причини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виникнення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АТЕС</w:t>
      </w:r>
    </w:p>
    <w:p w:rsidR="00936B06" w:rsidRDefault="00936B06" w:rsidP="00E37D1E">
      <w:pPr>
        <w:tabs>
          <w:tab w:val="left" w:pos="726"/>
        </w:tabs>
        <w:rPr>
          <w:szCs w:val="24"/>
          <w:lang w:val="uk-UA"/>
        </w:rPr>
      </w:pPr>
    </w:p>
    <w:p w:rsidR="00E37D1E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Регіональний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ринок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сучасних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умовах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найбільш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динамічний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гнучкий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світі,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багато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завдяки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бурхливому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зростанню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нових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індустріальних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Розвиток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рівні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міжнародної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спеціалізації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обумовлює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взаємодоповнюваність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басейну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океану,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сприяє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високій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торгової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активності.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Протягом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усього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ХХ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століття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океан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ареною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політичної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боротьби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найбільших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світових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Тут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розгорталося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70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річне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протистояння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капіталістичної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соціалістичної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систем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основному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США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СРСР</w:t>
      </w:r>
      <w:r w:rsidR="00E37D1E" w:rsidRPr="00E37D1E">
        <w:rPr>
          <w:szCs w:val="24"/>
          <w:lang w:val="uk-UA"/>
        </w:rPr>
        <w:t xml:space="preserve">), </w:t>
      </w:r>
      <w:r w:rsidRPr="00E37D1E">
        <w:rPr>
          <w:szCs w:val="24"/>
          <w:lang w:val="uk-UA"/>
        </w:rPr>
        <w:t>тут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другій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половині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століття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проходив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зліт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Японії,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нових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індустріальних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Китаю.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Переплетення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суперечностей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інтересів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зумовило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виникнення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могла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регулювати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ситуацію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басейні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океану.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ідея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виношувалася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довго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важко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пропонувалися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різні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варіанти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здійснення,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різняться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складом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учасників,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цілями.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США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ставили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основу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військово-політичні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інтереси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пропонували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створити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варіант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НАТО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Японія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розробляла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ідею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засадах.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зона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вільної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Спільнота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Кільця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ось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деякі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запропоновані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назви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</w:t>
      </w:r>
      <w:r w:rsidR="00F94881">
        <w:rPr>
          <w:szCs w:val="24"/>
          <w:lang w:val="uk-UA"/>
        </w:rPr>
        <w:t>ї</w:t>
      </w:r>
      <w:r w:rsidRPr="00E37D1E">
        <w:rPr>
          <w:szCs w:val="24"/>
          <w:lang w:val="uk-UA"/>
        </w:rPr>
        <w:t>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1967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утворена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рада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басейну,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1968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проведена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перша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конференція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розвитку,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1980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засновано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Тихоокеанський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рада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жодна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виконувала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функції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координуючої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регіональної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структури.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1989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ініціативи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Австралії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підтримки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провідних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створена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якісно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нова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зуміла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шляхом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синтезу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різноманітних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концепцій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сформулювати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конкретні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завдання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напрямки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робіт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об'єднання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форум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співробітництва.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B645A9">
      <w:pPr>
        <w:pStyle w:val="1"/>
        <w:rPr>
          <w:lang w:val="uk-UA"/>
        </w:rPr>
      </w:pPr>
      <w:r w:rsidRPr="00E37D1E">
        <w:rPr>
          <w:lang w:val="uk-UA"/>
        </w:rPr>
        <w:t>Установчі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документи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Організація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консультативний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статус.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рамках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виробляються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правила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ведення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фінансової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діяльності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проводяться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галузевих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міністрів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експертів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питань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різних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галузях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енергетика,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риболовство,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транспорт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телекомунікації,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туризм</w:t>
      </w:r>
      <w:r w:rsidR="00E37D1E">
        <w:rPr>
          <w:szCs w:val="24"/>
          <w:lang w:val="uk-UA"/>
        </w:rPr>
        <w:t>, о</w:t>
      </w:r>
      <w:r w:rsidRPr="00E37D1E">
        <w:rPr>
          <w:szCs w:val="24"/>
          <w:lang w:val="uk-UA"/>
        </w:rPr>
        <w:t>хорона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навколишнього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середовища</w:t>
      </w:r>
      <w:r w:rsidR="00E37D1E" w:rsidRPr="00E37D1E">
        <w:rPr>
          <w:szCs w:val="24"/>
          <w:lang w:val="uk-UA"/>
        </w:rPr>
        <w:t xml:space="preserve">). </w:t>
      </w:r>
      <w:r w:rsidRPr="00E37D1E">
        <w:rPr>
          <w:szCs w:val="24"/>
          <w:lang w:val="uk-UA"/>
        </w:rPr>
        <w:t>Всі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рішення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приймаються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основі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консенсусу.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другій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верхах,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відбулася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1994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Індонезії,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Декларацію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спільну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рішучість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лідерів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Декларація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поставила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мету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сформувати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2020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систему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вільної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відкритої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регіоні.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Під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час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третьої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верхах,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відбулася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1995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Осака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Японія</w:t>
      </w:r>
      <w:r w:rsidR="00E37D1E" w:rsidRPr="00E37D1E">
        <w:rPr>
          <w:szCs w:val="24"/>
          <w:lang w:val="uk-UA"/>
        </w:rPr>
        <w:t xml:space="preserve">), </w:t>
      </w:r>
      <w:r w:rsidRPr="00E37D1E">
        <w:rPr>
          <w:szCs w:val="24"/>
          <w:lang w:val="uk-UA"/>
        </w:rPr>
        <w:t>було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Програму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реалізації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проголошених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цілей.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зобов'язання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підготовку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індивідуальних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планів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лібералізації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торговельного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режимів,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також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технічного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Четверта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верхах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відбулася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листопаді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1996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Манілі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столиці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Філіппін.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Манільський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план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основою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стали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індивідуальні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плани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діяльності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лібералізації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Була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також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Декларація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створення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рамкових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умов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технічного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розвитку.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1996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задоволене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клопотання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Росії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стосовно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підключення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діяльності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робочих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груп.</w:t>
      </w:r>
    </w:p>
    <w:p w:rsidR="00E37D1E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п'ятій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верхах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листопаді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1997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р.,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відбулась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Ванкувері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Канада</w:t>
      </w:r>
      <w:r w:rsidR="00E37D1E" w:rsidRPr="00E37D1E">
        <w:rPr>
          <w:szCs w:val="24"/>
          <w:lang w:val="uk-UA"/>
        </w:rPr>
        <w:t xml:space="preserve">), </w:t>
      </w:r>
      <w:r w:rsidRPr="00E37D1E">
        <w:rPr>
          <w:szCs w:val="24"/>
          <w:lang w:val="uk-UA"/>
        </w:rPr>
        <w:t>було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критерії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АТЕС.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F94881">
      <w:pPr>
        <w:pStyle w:val="1"/>
        <w:rPr>
          <w:lang w:val="uk-UA"/>
        </w:rPr>
      </w:pPr>
      <w:r w:rsidRPr="00E37D1E">
        <w:rPr>
          <w:lang w:val="uk-UA"/>
        </w:rPr>
        <w:t>Основні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цілі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і</w:t>
      </w:r>
      <w:r w:rsidR="00E37D1E" w:rsidRPr="00E37D1E">
        <w:rPr>
          <w:lang w:val="uk-UA"/>
        </w:rPr>
        <w:t xml:space="preserve"> </w:t>
      </w:r>
      <w:r w:rsidRPr="00E37D1E">
        <w:rPr>
          <w:lang w:val="uk-UA"/>
        </w:rPr>
        <w:t>завдання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Створення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сприяти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зростаючій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взаємозалежності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Азіатсько-тихоокеанського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АТР</w:t>
      </w:r>
      <w:r w:rsidR="00E37D1E" w:rsidRPr="00E37D1E">
        <w:rPr>
          <w:szCs w:val="24"/>
          <w:lang w:val="uk-UA"/>
        </w:rPr>
        <w:t xml:space="preserve">)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сфері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послуг,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капіталу,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технологій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зміцненню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відкритої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багатосторонньої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торгової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системи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підвищенню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ступеня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лібералізації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АТР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зміцненню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стимулюванню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розвитку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приватного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сектора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використанню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принципів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вільного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ринку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збільшення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переваг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регіонального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</w:t>
      </w:r>
      <w:r w:rsidR="00E37D1E">
        <w:rPr>
          <w:szCs w:val="24"/>
          <w:lang w:val="uk-UA"/>
        </w:rPr>
        <w:t>. О</w:t>
      </w:r>
      <w:r w:rsidRPr="00E37D1E">
        <w:rPr>
          <w:szCs w:val="24"/>
          <w:lang w:val="uk-UA"/>
        </w:rPr>
        <w:t>сновні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завдання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даної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були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прийняті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нараді,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відбулася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листопаді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1991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3-їм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з’їзді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рівні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міністрів.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завдання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даної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полягають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наступному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зберігати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стабільний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розвиток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зростання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захисту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загальних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інтересів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народів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даного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сприяти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взаємним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економічним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інтересам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членів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даної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також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укріплювати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систему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всесторонньої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понизити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торгівельні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квоти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бар'єри.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F94881">
      <w:pPr>
        <w:pStyle w:val="1"/>
        <w:rPr>
          <w:lang w:val="uk-UA"/>
        </w:rPr>
      </w:pPr>
      <w:r w:rsidRPr="00E37D1E">
        <w:rPr>
          <w:lang w:val="uk-UA"/>
        </w:rPr>
        <w:t>Структура</w:t>
      </w:r>
      <w:r w:rsidR="00E37D1E" w:rsidRPr="00E37D1E">
        <w:rPr>
          <w:lang w:val="uk-UA"/>
        </w:rPr>
        <w:t xml:space="preserve"> </w:t>
      </w:r>
      <w:r w:rsidR="00F94881">
        <w:rPr>
          <w:lang w:val="uk-UA"/>
        </w:rPr>
        <w:t>АТЕС</w:t>
      </w:r>
    </w:p>
    <w:p w:rsidR="00F94881" w:rsidRDefault="00F94881" w:rsidP="00E37D1E">
      <w:pPr>
        <w:tabs>
          <w:tab w:val="left" w:pos="726"/>
        </w:tabs>
        <w:rPr>
          <w:szCs w:val="24"/>
          <w:lang w:val="uk-UA"/>
        </w:rPr>
      </w:pP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Основними</w:t>
      </w:r>
      <w:r w:rsidR="00F94881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Міністерські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Комітет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</w:t>
      </w:r>
      <w:r w:rsidR="00E37D1E">
        <w:rPr>
          <w:szCs w:val="24"/>
          <w:lang w:val="uk-UA"/>
        </w:rPr>
        <w:t>, Т</w:t>
      </w:r>
      <w:r w:rsidRPr="00E37D1E">
        <w:rPr>
          <w:szCs w:val="24"/>
          <w:lang w:val="uk-UA"/>
        </w:rPr>
        <w:t>ихоокеанський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діловий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групи.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щорічних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самітах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глав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урядів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приймаються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ключові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документи,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визначають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додаткову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стратегію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затверджується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обсяг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робіт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фінансування.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міністрів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закордонних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справ,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економіки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засідання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рівні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міністрів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певних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питань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служать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обговорення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актуальних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проблем.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Головний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девіз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>
        <w:rPr>
          <w:szCs w:val="24"/>
          <w:lang w:val="uk-UA"/>
        </w:rPr>
        <w:t xml:space="preserve"> "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значить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справа</w:t>
      </w:r>
      <w:r w:rsidR="00E37D1E">
        <w:rPr>
          <w:szCs w:val="24"/>
          <w:lang w:val="uk-UA"/>
        </w:rPr>
        <w:t xml:space="preserve">" </w:t>
      </w:r>
      <w:r w:rsidR="00E37D1E" w:rsidRPr="00E37D1E">
        <w:rPr>
          <w:szCs w:val="24"/>
          <w:lang w:val="uk-UA"/>
        </w:rPr>
        <w:t xml:space="preserve">- </w:t>
      </w:r>
      <w:r w:rsidRPr="00E37D1E">
        <w:rPr>
          <w:szCs w:val="24"/>
          <w:lang w:val="uk-UA"/>
        </w:rPr>
        <w:t>підтверджується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цілорічної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роботою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численних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підрозділів.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Утворений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1993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Секретаріат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розташований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Сінгапурі</w:t>
      </w:r>
      <w:r w:rsidR="00E37D1E" w:rsidRPr="00E37D1E">
        <w:rPr>
          <w:szCs w:val="24"/>
          <w:lang w:val="uk-UA"/>
        </w:rPr>
        <w:t xml:space="preserve">) </w:t>
      </w:r>
      <w:r w:rsidRPr="00E37D1E">
        <w:rPr>
          <w:szCs w:val="24"/>
          <w:lang w:val="uk-UA"/>
        </w:rPr>
        <w:t>є,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визначено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робочих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документах,</w:t>
      </w:r>
      <w:r w:rsidR="00E37D1E">
        <w:rPr>
          <w:szCs w:val="24"/>
          <w:lang w:val="uk-UA"/>
        </w:rPr>
        <w:t xml:space="preserve"> "</w:t>
      </w:r>
      <w:r w:rsidRPr="00E37D1E">
        <w:rPr>
          <w:szCs w:val="24"/>
          <w:lang w:val="uk-UA"/>
        </w:rPr>
        <w:t>основним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механізмом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підтримки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процесах</w:t>
      </w:r>
      <w:r w:rsidR="00E37D1E">
        <w:rPr>
          <w:szCs w:val="24"/>
          <w:lang w:val="uk-UA"/>
        </w:rPr>
        <w:t>"</w:t>
      </w:r>
      <w:r w:rsidRPr="00E37D1E">
        <w:rPr>
          <w:szCs w:val="24"/>
          <w:lang w:val="uk-UA"/>
        </w:rPr>
        <w:t>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введення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знаходить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консультативне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матеріально-технічне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забезпечення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він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формулює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проекти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відповідає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оцінку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фінансування,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здійснює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координацію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дій,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також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виконує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інформаційні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громадські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функції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імені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Безпосередня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виконанню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Осакс</w:t>
      </w:r>
      <w:r w:rsidR="00F94881">
        <w:rPr>
          <w:szCs w:val="24"/>
          <w:lang w:val="uk-UA"/>
        </w:rPr>
        <w:t>ь</w:t>
      </w:r>
      <w:r w:rsidRPr="00E37D1E">
        <w:rPr>
          <w:szCs w:val="24"/>
          <w:lang w:val="uk-UA"/>
        </w:rPr>
        <w:t>кої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ведеться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вузькоспеціалізованих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робочих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органах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комітети,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підкомітетах,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робочих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групах.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Одна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відмінних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рис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організації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постійний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діалог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між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владними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підприємницькими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колами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країн-членів,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форум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спочатку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заснований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створення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приємної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бізнес-атмосфери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регіоні.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Цей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діалог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підтримується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через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утворений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1995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Діловий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консультативний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рада,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входить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більше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трьох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представників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бізнесу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кожної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країни-члена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Цей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діалог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підтримується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через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утворений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1995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році.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Ділової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консультативної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ради,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входить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більше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трьох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представників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бізнесу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кожної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країни-члена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щорічних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самітах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голів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урядів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учасники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ради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представляють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доповідь,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містить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підсумки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обговорень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конкретних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питань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регіонального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ділового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співробітництва.</w:t>
      </w:r>
      <w:r w:rsidR="00E37D1E" w:rsidRPr="00E37D1E">
        <w:rPr>
          <w:szCs w:val="24"/>
        </w:rPr>
        <w:t xml:space="preserve"> </w:t>
      </w:r>
      <w:r w:rsidRPr="00E37D1E">
        <w:rPr>
          <w:szCs w:val="24"/>
          <w:lang w:val="uk-UA"/>
        </w:rPr>
        <w:t>Головують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АТЕС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позмінно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різні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країни-учасниці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терміном</w:t>
      </w:r>
      <w:r w:rsidR="00E37D1E" w:rsidRPr="00E37D1E">
        <w:rPr>
          <w:szCs w:val="24"/>
          <w:lang w:val="uk-UA"/>
        </w:rPr>
        <w:t xml:space="preserve"> - </w:t>
      </w:r>
      <w:r w:rsidRPr="00E37D1E">
        <w:rPr>
          <w:szCs w:val="24"/>
          <w:lang w:val="uk-UA"/>
        </w:rPr>
        <w:t>один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рік.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голова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відповідальна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організацію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міністерських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зустрічей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самітів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глав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держав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урядів.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За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роки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існування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АТЭС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досягнуті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певні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результати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сформовані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модель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параметри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враховують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інтереси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розвинених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розвиваються,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східні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західні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традиції</w:t>
      </w:r>
      <w:r w:rsidR="00E37D1E" w:rsidRPr="00E37D1E">
        <w:rPr>
          <w:szCs w:val="24"/>
          <w:lang w:val="uk-UA"/>
        </w:rPr>
        <w:t xml:space="preserve">; </w:t>
      </w:r>
      <w:r w:rsidRPr="00E37D1E">
        <w:rPr>
          <w:szCs w:val="24"/>
          <w:lang w:val="uk-UA"/>
        </w:rPr>
        <w:t>досягнуть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консенсус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щодо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строків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формування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системи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вільної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відкритої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торгівлі.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Характеризуючи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АТЭС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глобальну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масштабах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угруповання,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варто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констатувати,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що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вона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перевершує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інші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миру</w:t>
      </w:r>
      <w:r w:rsidR="00E37D1E" w:rsidRPr="00E37D1E">
        <w:rPr>
          <w:szCs w:val="24"/>
          <w:lang w:val="uk-UA"/>
        </w:rPr>
        <w:t xml:space="preserve">: </w:t>
      </w:r>
      <w:r w:rsidRPr="00E37D1E">
        <w:rPr>
          <w:szCs w:val="24"/>
          <w:lang w:val="uk-UA"/>
        </w:rPr>
        <w:t>на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її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частку</w:t>
      </w:r>
      <w:r w:rsidR="00E37D1E">
        <w:rPr>
          <w:szCs w:val="24"/>
          <w:lang w:val="uk-UA"/>
        </w:rPr>
        <w:t xml:space="preserve"> (</w:t>
      </w:r>
      <w:r w:rsidRPr="00E37D1E">
        <w:rPr>
          <w:szCs w:val="24"/>
          <w:lang w:val="uk-UA"/>
        </w:rPr>
        <w:t>разом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НАФТА</w:t>
      </w:r>
      <w:r w:rsidR="00E37D1E" w:rsidRPr="00E37D1E">
        <w:rPr>
          <w:szCs w:val="24"/>
          <w:lang w:val="uk-UA"/>
        </w:rPr>
        <w:t xml:space="preserve">) </w:t>
      </w:r>
      <w:r w:rsidRPr="00E37D1E">
        <w:rPr>
          <w:szCs w:val="24"/>
          <w:lang w:val="uk-UA"/>
        </w:rPr>
        <w:t>доводиться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40%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населення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земної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кулі,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близько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60%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валового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світового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продукту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інвестицій,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більше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40%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світового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експорту.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міру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розширення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АТЭС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буде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грати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все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більшу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роль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світовому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господарстві,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поглиблюючи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удосконалюючи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інтеграційні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процеси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глобальному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масштабі.</w:t>
      </w:r>
    </w:p>
    <w:p w:rsidR="009F42B7" w:rsidRPr="00E37D1E" w:rsidRDefault="009F42B7" w:rsidP="00E37D1E">
      <w:pPr>
        <w:tabs>
          <w:tab w:val="left" w:pos="726"/>
        </w:tabs>
        <w:rPr>
          <w:szCs w:val="24"/>
          <w:lang w:val="uk-UA"/>
        </w:rPr>
      </w:pPr>
      <w:r w:rsidRPr="00E37D1E">
        <w:rPr>
          <w:szCs w:val="24"/>
          <w:lang w:val="uk-UA"/>
        </w:rPr>
        <w:t>Для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Росії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АТЭС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має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принципово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важливе,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стратегічне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значення.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Разом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розвиток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співробітництва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як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регіоном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цілому,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так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і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його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окремими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країнами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відповідає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наявним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потенційним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можливостям.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Про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це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свідчить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частка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регіону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зовнішньоторговельному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обігу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нашої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країни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в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2001</w:t>
      </w:r>
      <w:r w:rsidR="00E37D1E" w:rsidRPr="00E37D1E">
        <w:rPr>
          <w:szCs w:val="24"/>
          <w:lang w:val="uk-UA"/>
        </w:rPr>
        <w:t xml:space="preserve"> </w:t>
      </w:r>
      <w:r w:rsidRPr="00E37D1E">
        <w:rPr>
          <w:szCs w:val="24"/>
          <w:lang w:val="uk-UA"/>
        </w:rPr>
        <w:t>р</w:t>
      </w:r>
      <w:r w:rsidR="00E37D1E">
        <w:rPr>
          <w:szCs w:val="24"/>
          <w:lang w:val="uk-UA"/>
        </w:rPr>
        <w:t xml:space="preserve">. - </w:t>
      </w:r>
      <w:r w:rsidRPr="00E37D1E">
        <w:rPr>
          <w:szCs w:val="24"/>
          <w:lang w:val="uk-UA"/>
        </w:rPr>
        <w:t>16,3%.</w:t>
      </w:r>
      <w:bookmarkStart w:id="0" w:name="_GoBack"/>
      <w:bookmarkEnd w:id="0"/>
    </w:p>
    <w:sectPr w:rsidR="009F42B7" w:rsidRPr="00E37D1E" w:rsidSect="00E37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E5" w:rsidRDefault="008B71E5">
      <w:r>
        <w:separator/>
      </w:r>
    </w:p>
  </w:endnote>
  <w:endnote w:type="continuationSeparator" w:id="0">
    <w:p w:rsidR="008B71E5" w:rsidRDefault="008B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FA1B45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FA1B45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FA1B4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E5" w:rsidRDefault="008B71E5">
      <w:r>
        <w:separator/>
      </w:r>
    </w:p>
  </w:footnote>
  <w:footnote w:type="continuationSeparator" w:id="0">
    <w:p w:rsidR="008B71E5" w:rsidRDefault="008B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FA1B45" w:rsidP="00E37D1E">
    <w:pPr>
      <w:pStyle w:val="a4"/>
      <w:framePr w:wrap="around" w:vAnchor="text" w:hAnchor="margin" w:xAlign="right" w:y="1"/>
      <w:rPr>
        <w:rStyle w:val="ab"/>
      </w:rPr>
    </w:pPr>
  </w:p>
  <w:p w:rsidR="00FA1B45" w:rsidRDefault="00FA1B45" w:rsidP="00E37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E41477" w:rsidP="00E37D1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FA1B45" w:rsidRDefault="00FA1B45" w:rsidP="00E37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45" w:rsidRDefault="00FA1B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3A"/>
    <w:rsid w:val="00082892"/>
    <w:rsid w:val="00237A0F"/>
    <w:rsid w:val="003A113A"/>
    <w:rsid w:val="005E6F3D"/>
    <w:rsid w:val="00674BB7"/>
    <w:rsid w:val="008B71E5"/>
    <w:rsid w:val="00907CFF"/>
    <w:rsid w:val="00936B06"/>
    <w:rsid w:val="00987838"/>
    <w:rsid w:val="009F42B7"/>
    <w:rsid w:val="00A534FF"/>
    <w:rsid w:val="00AD397A"/>
    <w:rsid w:val="00B645A9"/>
    <w:rsid w:val="00DC78A1"/>
    <w:rsid w:val="00DE4BD5"/>
    <w:rsid w:val="00E37D1E"/>
    <w:rsid w:val="00E41477"/>
    <w:rsid w:val="00E84D29"/>
    <w:rsid w:val="00F94881"/>
    <w:rsid w:val="00FA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06700B-7411-474A-B6ED-33CBB9E2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E37D1E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E37D1E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E37D1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E37D1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E37D1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E37D1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E37D1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E37D1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E37D1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E37D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E37D1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E37D1E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E37D1E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E37D1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E37D1E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37D1E"/>
    <w:pPr>
      <w:numPr>
        <w:numId w:val="1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E37D1E"/>
    <w:pPr>
      <w:ind w:firstLine="0"/>
    </w:pPr>
    <w:rPr>
      <w:iCs/>
    </w:rPr>
  </w:style>
  <w:style w:type="character" w:styleId="ab">
    <w:name w:val="page number"/>
    <w:uiPriority w:val="99"/>
    <w:rsid w:val="00E37D1E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E37D1E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E37D1E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E37D1E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E37D1E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E37D1E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1">
    <w:name w:val="содержание"/>
    <w:uiPriority w:val="99"/>
    <w:rsid w:val="00E37D1E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E37D1E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E37D1E"/>
    <w:pPr>
      <w:jc w:val="center"/>
    </w:pPr>
    <w:rPr>
      <w:rFonts w:ascii="Times New Roman" w:hAnsi="Times New Roman"/>
    </w:rPr>
  </w:style>
  <w:style w:type="paragraph" w:customStyle="1" w:styleId="af3">
    <w:name w:val="ТАБЛИЦА"/>
    <w:next w:val="a0"/>
    <w:autoRedefine/>
    <w:uiPriority w:val="99"/>
    <w:rsid w:val="00E37D1E"/>
    <w:pPr>
      <w:spacing w:line="360" w:lineRule="auto"/>
    </w:pPr>
    <w:rPr>
      <w:rFonts w:ascii="Times New Roman" w:hAnsi="Times New Roman"/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E37D1E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E37D1E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E37D1E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E37D1E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E37D1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Азіатсько-Тихоокеанське економічне співробітництво</vt:lpstr>
    </vt:vector>
  </TitlesOfParts>
  <Company>WolfishLair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Азіатсько-Тихоокеанське економічне співробітництво</dc:title>
  <dc:subject/>
  <dc:creator>Admin</dc:creator>
  <cp:keywords/>
  <dc:description/>
  <cp:lastModifiedBy>admin</cp:lastModifiedBy>
  <cp:revision>2</cp:revision>
  <dcterms:created xsi:type="dcterms:W3CDTF">2014-03-13T04:48:00Z</dcterms:created>
  <dcterms:modified xsi:type="dcterms:W3CDTF">2014-03-13T04:48:00Z</dcterms:modified>
</cp:coreProperties>
</file>