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E2" w:rsidRDefault="004306E2">
      <w:pPr>
        <w:widowControl w:val="0"/>
        <w:spacing w:before="120"/>
        <w:jc w:val="center"/>
        <w:rPr>
          <w:b/>
          <w:bCs/>
          <w:color w:val="000000"/>
          <w:sz w:val="32"/>
          <w:szCs w:val="32"/>
        </w:rPr>
      </w:pPr>
      <w:r>
        <w:rPr>
          <w:b/>
          <w:bCs/>
          <w:color w:val="000000"/>
          <w:sz w:val="32"/>
          <w:szCs w:val="32"/>
        </w:rPr>
        <w:t>Применение метода электрофореза при контроле состава питьевых, природных и сточных вод</w:t>
      </w:r>
    </w:p>
    <w:p w:rsidR="004306E2" w:rsidRDefault="004306E2">
      <w:pPr>
        <w:widowControl w:val="0"/>
        <w:spacing w:before="120"/>
        <w:ind w:firstLine="567"/>
        <w:jc w:val="both"/>
        <w:rPr>
          <w:color w:val="000000"/>
          <w:sz w:val="24"/>
          <w:szCs w:val="24"/>
        </w:rPr>
      </w:pPr>
      <w:r>
        <w:rPr>
          <w:color w:val="000000"/>
          <w:sz w:val="24"/>
          <w:szCs w:val="24"/>
        </w:rPr>
        <w:t>Георгий Николаевич Сметанин , М. В. Андреева, А.Н. Атанов, ГУП "Центр исследования и контроля воды", г. Санкт-Петербург</w:t>
      </w:r>
    </w:p>
    <w:p w:rsidR="004306E2" w:rsidRDefault="004306E2">
      <w:pPr>
        <w:widowControl w:val="0"/>
        <w:spacing w:before="120"/>
        <w:ind w:firstLine="567"/>
        <w:jc w:val="both"/>
        <w:rPr>
          <w:color w:val="000000"/>
          <w:sz w:val="24"/>
          <w:szCs w:val="24"/>
        </w:rPr>
      </w:pPr>
      <w:r>
        <w:rPr>
          <w:color w:val="000000"/>
          <w:sz w:val="24"/>
          <w:szCs w:val="24"/>
        </w:rPr>
        <w:t xml:space="preserve">В ГУП "Центр исследования и контроля воды" разработаны и аттестованы электрофоретические методики выполнения измерений массовых концентраций хлорида, нитрита, сульфата, нитрата, фторида, фосфата в пробах питьевых и природных вод и хлорида, сульфата, нитрата, фторида, фосфата в пробах сточных вод. Работы проводились на ионных анализаторах "Quanta 4000E" фирмы "Waters", "Spectra Foresis 1000" фирмы "Thermo Separation Products", "Капель-104" и "Капель-103" фирмы "Люмэкс" (  http://www.lumex.ru ). </w:t>
      </w:r>
    </w:p>
    <w:p w:rsidR="004306E2" w:rsidRDefault="004306E2">
      <w:pPr>
        <w:widowControl w:val="0"/>
        <w:spacing w:before="120"/>
        <w:ind w:firstLine="567"/>
        <w:jc w:val="both"/>
        <w:rPr>
          <w:color w:val="000000"/>
          <w:sz w:val="24"/>
          <w:szCs w:val="24"/>
        </w:rPr>
      </w:pPr>
      <w:r>
        <w:rPr>
          <w:color w:val="000000"/>
          <w:sz w:val="24"/>
          <w:szCs w:val="24"/>
        </w:rPr>
        <w:t>Подсчет трудозатрат при определении анионов по разработанным методикам выполнения измерений показал, что трудозатраты на пробу при серии проб составили 20 минут. При этом один человек на одном приборе в день может проанализировать до 20 проб. Даже при значительной стоимости капиллярного ионного анализатора "Quanta 4000E" фирмы "Waters", себестоимость анализа является приемлемой для потенциальных пользователей. Снижение себестоимости анализа возможно при переходе на использование отечественного ионного анализатора, выпускаемого фирмой "Люмэкс". По своим техническим характеристикам модель "Капель-104" фирмы "Люмэкс" не уступает "Quanta 4000E" фирмы "Waters", а его цена значительно ниже.</w:t>
      </w:r>
    </w:p>
    <w:p w:rsidR="004306E2" w:rsidRDefault="004306E2">
      <w:pPr>
        <w:widowControl w:val="0"/>
        <w:spacing w:before="120"/>
        <w:ind w:firstLine="567"/>
        <w:jc w:val="both"/>
        <w:rPr>
          <w:color w:val="000000"/>
          <w:sz w:val="24"/>
          <w:szCs w:val="24"/>
        </w:rPr>
      </w:pPr>
      <w:r>
        <w:rPr>
          <w:color w:val="000000"/>
          <w:sz w:val="24"/>
          <w:szCs w:val="24"/>
        </w:rPr>
        <w:t xml:space="preserve">В ЦИКВ были проведены испытания капиллярного ионного анализатора "Капель-104" фирмы "Люмэкс". Испытания заключались в опробовании методики выполнения измерений (МВИ) массовых концентраций группы неорганических анионов (хлорида, нитрита, сульфата, нитрата, фторида, фосфата) на модельных растворах и на пробах питьевых и природных вод на анализаторе "Капель 104" и сравнение с этой же МВИ на анализаторе "Quanta 4000E" фирмы "Waters". По этой МВИ проводилось определение сходимости, воспроизводимости и правильности результатов измерения. Воспроизводимость, сходимость и правильность результатов измерения анионов на анализаторе "Капель 104" были на уровне таковых получаемых на анализаторе "Quanta 4000E" и не превышали значений норматива по МВИ. </w:t>
      </w:r>
    </w:p>
    <w:p w:rsidR="004306E2" w:rsidRDefault="004306E2">
      <w:pPr>
        <w:widowControl w:val="0"/>
        <w:spacing w:before="120"/>
        <w:ind w:firstLine="567"/>
        <w:jc w:val="both"/>
        <w:rPr>
          <w:color w:val="000000"/>
          <w:sz w:val="24"/>
          <w:szCs w:val="24"/>
        </w:rPr>
      </w:pPr>
      <w:r>
        <w:rPr>
          <w:color w:val="000000"/>
          <w:sz w:val="24"/>
          <w:szCs w:val="24"/>
        </w:rPr>
        <w:t>Также проводились анализы питьевой и природной воды по разработанной методике выполнения измерений одновременно на анализаторе "Quanta 4000E" фирмы "Waters" и на анализаторе "Капель 104". В таблице 1 приведены результаты анализов питьевой и природной воды полученные по МВИ разработанной в ЦИКВ на капиллярных анализаторах фирмы Waters и фирмы Люмэкс.</w:t>
      </w:r>
    </w:p>
    <w:p w:rsidR="004306E2" w:rsidRDefault="004306E2">
      <w:pPr>
        <w:widowControl w:val="0"/>
        <w:spacing w:before="120"/>
        <w:ind w:firstLine="567"/>
        <w:jc w:val="both"/>
        <w:rPr>
          <w:color w:val="000000"/>
          <w:sz w:val="24"/>
          <w:szCs w:val="24"/>
        </w:rPr>
      </w:pPr>
      <w:r>
        <w:rPr>
          <w:color w:val="000000"/>
          <w:sz w:val="24"/>
          <w:szCs w:val="24"/>
        </w:rPr>
        <w:t>Результаты анализов питьевой и природной воды полученные по МВИ разработанной в ЦИКВ на капиллярных анализаторах фирмы Waters и фирмы Люмэкс.</w:t>
      </w:r>
    </w:p>
    <w:tbl>
      <w:tblPr>
        <w:tblW w:w="4750" w:type="pct"/>
        <w:tblCellSpacing w:w="0" w:type="dxa"/>
        <w:tblInd w:w="90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977"/>
        <w:gridCol w:w="749"/>
        <w:gridCol w:w="938"/>
        <w:gridCol w:w="710"/>
        <w:gridCol w:w="938"/>
        <w:gridCol w:w="938"/>
        <w:gridCol w:w="939"/>
        <w:gridCol w:w="939"/>
        <w:gridCol w:w="1128"/>
      </w:tblGrid>
      <w:tr w:rsidR="004306E2" w:rsidRPr="004306E2">
        <w:trPr>
          <w:cantSplit/>
          <w:tblCellSpacing w:w="0" w:type="dxa"/>
        </w:trPr>
        <w:tc>
          <w:tcPr>
            <w:tcW w:w="1050" w:type="pct"/>
            <w:vMerge w:val="restar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Наименование пробы</w:t>
            </w:r>
          </w:p>
        </w:tc>
        <w:tc>
          <w:tcPr>
            <w:tcW w:w="900" w:type="pct"/>
            <w:gridSpan w:val="2"/>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Cl</w:t>
            </w:r>
            <w:r w:rsidRPr="004306E2">
              <w:rPr>
                <w:color w:val="000000"/>
                <w:sz w:val="24"/>
                <w:szCs w:val="24"/>
                <w:vertAlign w:val="superscript"/>
              </w:rPr>
              <w:t>-</w:t>
            </w:r>
            <w:r w:rsidRPr="004306E2">
              <w:rPr>
                <w:color w:val="000000"/>
                <w:sz w:val="24"/>
                <w:szCs w:val="24"/>
              </w:rPr>
              <w:t>, мг/дм</w:t>
            </w:r>
            <w:r w:rsidRPr="004306E2">
              <w:rPr>
                <w:color w:val="000000"/>
                <w:sz w:val="24"/>
                <w:szCs w:val="24"/>
                <w:vertAlign w:val="superscript"/>
              </w:rPr>
              <w:t>3</w:t>
            </w:r>
          </w:p>
        </w:tc>
        <w:tc>
          <w:tcPr>
            <w:tcW w:w="850" w:type="pct"/>
            <w:gridSpan w:val="2"/>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lang w:val="en-US"/>
              </w:rPr>
              <w:t>SO</w:t>
            </w:r>
            <w:r w:rsidRPr="004306E2">
              <w:rPr>
                <w:color w:val="000000"/>
                <w:sz w:val="24"/>
                <w:szCs w:val="24"/>
                <w:vertAlign w:val="subscript"/>
                <w:lang w:val="en-US"/>
              </w:rPr>
              <w:t>4</w:t>
            </w:r>
            <w:r w:rsidRPr="004306E2">
              <w:rPr>
                <w:color w:val="000000"/>
                <w:sz w:val="24"/>
                <w:szCs w:val="24"/>
                <w:vertAlign w:val="superscript"/>
                <w:lang w:val="en-US"/>
              </w:rPr>
              <w:t>2-</w:t>
            </w:r>
            <w:r w:rsidRPr="004306E2">
              <w:rPr>
                <w:color w:val="000000"/>
                <w:sz w:val="24"/>
                <w:szCs w:val="24"/>
                <w:lang w:val="en-US"/>
              </w:rPr>
              <w:t xml:space="preserve">, </w:t>
            </w:r>
            <w:r w:rsidRPr="004306E2">
              <w:rPr>
                <w:color w:val="000000"/>
                <w:sz w:val="24"/>
                <w:szCs w:val="24"/>
              </w:rPr>
              <w:t>мг</w:t>
            </w:r>
            <w:r w:rsidRPr="004306E2">
              <w:rPr>
                <w:color w:val="000000"/>
                <w:sz w:val="24"/>
                <w:szCs w:val="24"/>
                <w:lang w:val="en-US"/>
              </w:rPr>
              <w:t>/</w:t>
            </w:r>
            <w:r w:rsidRPr="004306E2">
              <w:rPr>
                <w:color w:val="000000"/>
                <w:sz w:val="24"/>
                <w:szCs w:val="24"/>
              </w:rPr>
              <w:t>дм</w:t>
            </w:r>
            <w:r w:rsidRPr="004306E2">
              <w:rPr>
                <w:color w:val="000000"/>
                <w:sz w:val="24"/>
                <w:szCs w:val="24"/>
                <w:vertAlign w:val="superscript"/>
                <w:lang w:val="en-US"/>
              </w:rPr>
              <w:t>3</w:t>
            </w:r>
          </w:p>
        </w:tc>
        <w:tc>
          <w:tcPr>
            <w:tcW w:w="1000" w:type="pct"/>
            <w:gridSpan w:val="2"/>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lang w:val="en-US"/>
              </w:rPr>
              <w:t>NO</w:t>
            </w:r>
            <w:r w:rsidRPr="004306E2">
              <w:rPr>
                <w:color w:val="000000"/>
                <w:sz w:val="24"/>
                <w:szCs w:val="24"/>
                <w:vertAlign w:val="subscript"/>
                <w:lang w:val="en-US"/>
              </w:rPr>
              <w:t>3</w:t>
            </w:r>
            <w:r w:rsidRPr="004306E2">
              <w:rPr>
                <w:color w:val="000000"/>
                <w:sz w:val="24"/>
                <w:szCs w:val="24"/>
                <w:vertAlign w:val="superscript"/>
                <w:lang w:val="en-US"/>
              </w:rPr>
              <w:t>-</w:t>
            </w:r>
            <w:r w:rsidRPr="004306E2">
              <w:rPr>
                <w:color w:val="000000"/>
                <w:sz w:val="24"/>
                <w:szCs w:val="24"/>
                <w:lang w:val="en-US"/>
              </w:rPr>
              <w:t xml:space="preserve">, </w:t>
            </w:r>
            <w:r w:rsidRPr="004306E2">
              <w:rPr>
                <w:color w:val="000000"/>
                <w:sz w:val="24"/>
                <w:szCs w:val="24"/>
              </w:rPr>
              <w:t>мг</w:t>
            </w:r>
            <w:r w:rsidRPr="004306E2">
              <w:rPr>
                <w:color w:val="000000"/>
                <w:sz w:val="24"/>
                <w:szCs w:val="24"/>
                <w:lang w:val="en-US"/>
              </w:rPr>
              <w:t>/</w:t>
            </w:r>
            <w:r w:rsidRPr="004306E2">
              <w:rPr>
                <w:color w:val="000000"/>
                <w:sz w:val="24"/>
                <w:szCs w:val="24"/>
              </w:rPr>
              <w:t>дм</w:t>
            </w:r>
            <w:r w:rsidRPr="004306E2">
              <w:rPr>
                <w:color w:val="000000"/>
                <w:sz w:val="24"/>
                <w:szCs w:val="24"/>
                <w:vertAlign w:val="superscript"/>
                <w:lang w:val="en-US"/>
              </w:rPr>
              <w:t>3</w:t>
            </w:r>
          </w:p>
        </w:tc>
        <w:tc>
          <w:tcPr>
            <w:tcW w:w="1100" w:type="pct"/>
            <w:gridSpan w:val="2"/>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F</w:t>
            </w:r>
            <w:r w:rsidRPr="004306E2">
              <w:rPr>
                <w:color w:val="000000"/>
                <w:sz w:val="24"/>
                <w:szCs w:val="24"/>
                <w:vertAlign w:val="superscript"/>
              </w:rPr>
              <w:t>-</w:t>
            </w:r>
            <w:r w:rsidRPr="004306E2">
              <w:rPr>
                <w:color w:val="000000"/>
                <w:sz w:val="24"/>
                <w:szCs w:val="24"/>
              </w:rPr>
              <w:t>, мг/дм</w:t>
            </w:r>
            <w:r w:rsidRPr="004306E2">
              <w:rPr>
                <w:color w:val="000000"/>
                <w:sz w:val="24"/>
                <w:szCs w:val="24"/>
                <w:vertAlign w:val="superscript"/>
              </w:rPr>
              <w:t>3</w:t>
            </w:r>
          </w:p>
        </w:tc>
      </w:tr>
      <w:tr w:rsidR="004306E2" w:rsidRPr="004306E2">
        <w:trPr>
          <w:cantSplit/>
          <w:tblCellSpacing w:w="0" w:type="dxa"/>
        </w:trPr>
        <w:tc>
          <w:tcPr>
            <w:tcW w:w="0" w:type="auto"/>
            <w:vMerge/>
            <w:tcBorders>
              <w:top w:val="outset" w:sz="6" w:space="0" w:color="000000"/>
              <w:bottom w:val="outset" w:sz="6" w:space="0" w:color="000000"/>
              <w:right w:val="outset" w:sz="6" w:space="0" w:color="000000"/>
            </w:tcBorders>
            <w:vAlign w:val="center"/>
          </w:tcPr>
          <w:p w:rsidR="004306E2" w:rsidRPr="004306E2" w:rsidRDefault="004306E2">
            <w:pPr>
              <w:widowControl w:val="0"/>
              <w:jc w:val="both"/>
              <w:rPr>
                <w:color w:val="000000"/>
                <w:sz w:val="24"/>
                <w:szCs w:val="24"/>
              </w:rPr>
            </w:pP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lang w:val="en-US"/>
              </w:rPr>
              <w:t>Waters</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rPr>
              <w:t>Люмэкс</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lang w:val="en-US"/>
              </w:rPr>
              <w:t>Waters</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rPr>
              <w:t>Люмэкс</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lang w:val="en-US"/>
              </w:rPr>
              <w:t>Waters</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lang w:val="en-US"/>
              </w:rPr>
            </w:pPr>
            <w:r w:rsidRPr="004306E2">
              <w:rPr>
                <w:color w:val="000000"/>
                <w:sz w:val="24"/>
                <w:szCs w:val="24"/>
              </w:rPr>
              <w:t>Люмэкс</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Waters</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Люмэкс</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Зеленогорск, в/з</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1.65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1.76</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9.49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0.75</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0.81</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 xml:space="preserve">Зеленогорск, </w:t>
            </w:r>
          </w:p>
          <w:p w:rsidR="004306E2" w:rsidRPr="004306E2" w:rsidRDefault="004306E2">
            <w:pPr>
              <w:widowControl w:val="0"/>
              <w:jc w:val="both"/>
              <w:rPr>
                <w:color w:val="000000"/>
                <w:sz w:val="24"/>
                <w:szCs w:val="24"/>
              </w:rPr>
            </w:pPr>
            <w:r w:rsidRPr="004306E2">
              <w:rPr>
                <w:color w:val="000000"/>
                <w:sz w:val="24"/>
                <w:szCs w:val="24"/>
              </w:rPr>
              <w:t>2 под.</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5.95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6.02</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10.0</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0.74</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0.82</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Красное Село,</w:t>
            </w:r>
          </w:p>
          <w:p w:rsidR="004306E2" w:rsidRPr="004306E2" w:rsidRDefault="004306E2">
            <w:pPr>
              <w:widowControl w:val="0"/>
              <w:jc w:val="both"/>
              <w:rPr>
                <w:color w:val="000000"/>
                <w:sz w:val="24"/>
                <w:szCs w:val="24"/>
              </w:rPr>
            </w:pPr>
            <w:r w:rsidRPr="004306E2">
              <w:rPr>
                <w:color w:val="000000"/>
                <w:sz w:val="24"/>
                <w:szCs w:val="24"/>
              </w:rPr>
              <w:t>2 под.</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65.4</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68.0</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36.0</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37.5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28.6</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30.0</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0.10</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0.13</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Балтика-1</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7.12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7.46</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28.8</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26.1</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1.62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1.84</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Балтика-2</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79.2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83.4</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42.2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44.5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0.73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0.69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Балтика-3</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12.6</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12.7</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21.0</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1.28</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1.35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Pepsi</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7.38</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7.32</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1.56</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1.57</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0.06</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0.06</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Ломоносов, водов.</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11.1</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10.7</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22.4</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1.98</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1.89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0.07</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0.06</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СВС, в/з</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5.75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5.95</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10.1</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1.64</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1.53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0.10</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0.09</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CВC, 1 м.о.</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6.95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7.09</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1.55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1.65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0.05</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0.09</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ВВС, в/з</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5.69</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6.04</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9.83</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10.6</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1.65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1.70</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0.09</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0.05</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ВВС, 3 м.о</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7.14</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7.66</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20.4</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22.2</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1.67</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1.78</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600" w:type="pct"/>
            <w:tcBorders>
              <w:top w:val="outset" w:sz="6" w:space="0" w:color="000000"/>
              <w:left w:val="outset" w:sz="6" w:space="0" w:color="000000"/>
              <w:bottom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r>
      <w:tr w:rsidR="004306E2" w:rsidRPr="004306E2">
        <w:trPr>
          <w:tblCellSpacing w:w="0" w:type="dxa"/>
        </w:trPr>
        <w:tc>
          <w:tcPr>
            <w:tcW w:w="1050" w:type="pct"/>
            <w:tcBorders>
              <w:top w:val="outset" w:sz="6" w:space="0" w:color="000000"/>
              <w:bottom w:val="outset" w:sz="6" w:space="0" w:color="000000"/>
              <w:right w:val="outset" w:sz="6" w:space="0" w:color="000000"/>
            </w:tcBorders>
            <w:tcMar>
              <w:top w:w="0" w:type="dxa"/>
              <w:left w:w="75" w:type="dxa"/>
              <w:bottom w:w="0" w:type="dxa"/>
              <w:right w:w="0" w:type="dxa"/>
            </w:tcMar>
          </w:tcPr>
          <w:p w:rsidR="004306E2" w:rsidRPr="004306E2" w:rsidRDefault="004306E2">
            <w:pPr>
              <w:widowControl w:val="0"/>
              <w:jc w:val="both"/>
              <w:rPr>
                <w:color w:val="000000"/>
                <w:sz w:val="24"/>
                <w:szCs w:val="24"/>
              </w:rPr>
            </w:pPr>
            <w:r w:rsidRPr="004306E2">
              <w:rPr>
                <w:color w:val="000000"/>
                <w:sz w:val="24"/>
                <w:szCs w:val="24"/>
              </w:rPr>
              <w:t>ВВС, сеть</w:t>
            </w:r>
          </w:p>
        </w:tc>
        <w:tc>
          <w:tcPr>
            <w:tcW w:w="4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7.67</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7.75</w:t>
            </w:r>
          </w:p>
        </w:tc>
        <w:tc>
          <w:tcPr>
            <w:tcW w:w="35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21.3</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4306E2" w:rsidRPr="004306E2" w:rsidRDefault="004306E2">
            <w:pPr>
              <w:widowControl w:val="0"/>
              <w:jc w:val="both"/>
              <w:rPr>
                <w:color w:val="000000"/>
                <w:sz w:val="24"/>
                <w:szCs w:val="24"/>
              </w:rPr>
            </w:pPr>
            <w:r w:rsidRPr="004306E2">
              <w:rPr>
                <w:color w:val="000000"/>
                <w:sz w:val="24"/>
                <w:szCs w:val="24"/>
              </w:rPr>
              <w:t>22.1</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1.81</w:t>
            </w:r>
          </w:p>
        </w:tc>
        <w:tc>
          <w:tcPr>
            <w:tcW w:w="500" w:type="pct"/>
            <w:tcBorders>
              <w:top w:val="outset" w:sz="6" w:space="0" w:color="000000"/>
              <w:left w:val="outset" w:sz="6" w:space="0" w:color="000000"/>
              <w:bottom w:val="outset" w:sz="6" w:space="0" w:color="000000"/>
              <w:right w:val="outset" w:sz="6" w:space="0" w:color="000000"/>
            </w:tcBorders>
            <w:shd w:val="clear" w:color="auto" w:fill="FFFFFF"/>
          </w:tcPr>
          <w:p w:rsidR="004306E2" w:rsidRPr="004306E2" w:rsidRDefault="004306E2">
            <w:pPr>
              <w:widowControl w:val="0"/>
              <w:jc w:val="both"/>
              <w:rPr>
                <w:color w:val="000000"/>
                <w:sz w:val="24"/>
                <w:szCs w:val="24"/>
              </w:rPr>
            </w:pPr>
            <w:r w:rsidRPr="004306E2">
              <w:rPr>
                <w:color w:val="000000"/>
                <w:sz w:val="24"/>
                <w:szCs w:val="24"/>
              </w:rPr>
              <w:t>1.85</w:t>
            </w:r>
          </w:p>
        </w:tc>
        <w:tc>
          <w:tcPr>
            <w:tcW w:w="500" w:type="pct"/>
            <w:tcBorders>
              <w:top w:val="outset" w:sz="6" w:space="0" w:color="000000"/>
              <w:left w:val="outset" w:sz="6" w:space="0" w:color="000000"/>
              <w:bottom w:val="outset" w:sz="6" w:space="0" w:color="000000"/>
              <w:right w:val="outset" w:sz="6" w:space="0" w:color="000000"/>
            </w:tcBorders>
          </w:tcPr>
          <w:p w:rsidR="004306E2" w:rsidRPr="004306E2" w:rsidRDefault="004306E2">
            <w:pPr>
              <w:widowControl w:val="0"/>
              <w:jc w:val="both"/>
              <w:rPr>
                <w:color w:val="000000"/>
                <w:sz w:val="24"/>
                <w:szCs w:val="24"/>
              </w:rPr>
            </w:pPr>
            <w:r w:rsidRPr="004306E2">
              <w:rPr>
                <w:color w:val="000000"/>
                <w:sz w:val="24"/>
                <w:szCs w:val="24"/>
              </w:rPr>
              <w:t>-</w:t>
            </w:r>
          </w:p>
        </w:tc>
        <w:tc>
          <w:tcPr>
            <w:tcW w:w="600" w:type="pct"/>
            <w:tcBorders>
              <w:top w:val="outset" w:sz="6" w:space="0" w:color="000000"/>
              <w:left w:val="outset" w:sz="6" w:space="0" w:color="000000"/>
              <w:bottom w:val="outset" w:sz="6" w:space="0" w:color="000000"/>
            </w:tcBorders>
            <w:shd w:val="clear" w:color="auto" w:fill="FFFFFF"/>
          </w:tcPr>
          <w:p w:rsidR="004306E2" w:rsidRPr="004306E2" w:rsidRDefault="004306E2">
            <w:pPr>
              <w:widowControl w:val="0"/>
              <w:jc w:val="both"/>
              <w:rPr>
                <w:color w:val="000000"/>
                <w:sz w:val="24"/>
                <w:szCs w:val="24"/>
              </w:rPr>
            </w:pPr>
            <w:r w:rsidRPr="004306E2">
              <w:rPr>
                <w:color w:val="000000"/>
                <w:sz w:val="24"/>
                <w:szCs w:val="24"/>
              </w:rPr>
              <w:t>-</w:t>
            </w:r>
          </w:p>
        </w:tc>
      </w:tr>
    </w:tbl>
    <w:p w:rsidR="004306E2" w:rsidRDefault="004306E2">
      <w:pPr>
        <w:widowControl w:val="0"/>
        <w:spacing w:before="120"/>
        <w:ind w:firstLine="567"/>
        <w:jc w:val="both"/>
        <w:rPr>
          <w:color w:val="000000"/>
          <w:sz w:val="24"/>
          <w:szCs w:val="24"/>
        </w:rPr>
      </w:pPr>
      <w:r>
        <w:rPr>
          <w:color w:val="000000"/>
          <w:sz w:val="24"/>
          <w:szCs w:val="24"/>
        </w:rPr>
        <w:t>Переход с химических методов определения анионов на метод капиллярного электрофореза в ЦИКВ позволил сократить трудозатраты и эксплуатационные расходы и получать документированные протоколы измерений, свободные от субъективного фактора.</w:t>
      </w:r>
    </w:p>
    <w:p w:rsidR="004306E2" w:rsidRDefault="004306E2">
      <w:pPr>
        <w:widowControl w:val="0"/>
        <w:spacing w:before="120"/>
        <w:ind w:firstLine="590"/>
        <w:jc w:val="both"/>
        <w:rPr>
          <w:color w:val="000000"/>
          <w:sz w:val="24"/>
          <w:szCs w:val="24"/>
        </w:rPr>
      </w:pPr>
      <w:bookmarkStart w:id="0" w:name="_GoBack"/>
      <w:bookmarkEnd w:id="0"/>
    </w:p>
    <w:sectPr w:rsidR="004306E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A8E"/>
    <w:rsid w:val="004306E2"/>
    <w:rsid w:val="00767A8E"/>
    <w:rsid w:val="00B273E1"/>
    <w:rsid w:val="00CA50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497063-6845-4208-97F3-8AC52D40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Применение метода электрофореза при контроле состава питьевых, природных и сточных вод</vt:lpstr>
    </vt:vector>
  </TitlesOfParts>
  <Company>PERSONAL COMPUTERS</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метода электрофореза при контроле состава питьевых, природных и сточных вод</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