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B5" w:rsidRPr="00F878CE" w:rsidRDefault="00AF18B5" w:rsidP="00AF18B5">
      <w:pPr>
        <w:spacing w:before="120"/>
        <w:jc w:val="center"/>
        <w:rPr>
          <w:b/>
          <w:bCs/>
          <w:sz w:val="32"/>
          <w:szCs w:val="32"/>
        </w:rPr>
      </w:pPr>
      <w:r w:rsidRPr="00F878CE">
        <w:rPr>
          <w:b/>
          <w:bCs/>
          <w:sz w:val="32"/>
          <w:szCs w:val="32"/>
        </w:rPr>
        <w:t>Фауна моногеней эпипелагических сарганообразных рыб и ее происхождение</w:t>
      </w:r>
    </w:p>
    <w:p w:rsidR="00AF18B5" w:rsidRPr="00F878CE" w:rsidRDefault="00AF18B5" w:rsidP="00AF18B5">
      <w:pPr>
        <w:spacing w:before="120"/>
        <w:jc w:val="center"/>
        <w:rPr>
          <w:sz w:val="28"/>
          <w:szCs w:val="28"/>
        </w:rPr>
      </w:pPr>
      <w:r w:rsidRPr="00F878CE">
        <w:rPr>
          <w:sz w:val="28"/>
          <w:szCs w:val="28"/>
        </w:rPr>
        <w:t>Л.А.Гиченок, Кафедра зоологии беспозвоночных Биологического факультета МГУ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 xml:space="preserve">Общеизвестно, что рыбы, населяющие пелагиаль открытых районов Мирового океана, в паразитологическом отношении изучены несравненно слабее, чем рыбы, обитающие в продуктивных районах шельфа. Не требует особых доказальств и то, что отсутствие или недостаточность сведений о паразитологической ситуации в открытом океане может отрицательно сказаться на решении проблемы биологического обоснования крупномасштабного промысла в этих районах Мирового океана. Нами предпринято изучение моногеней - жаберных паразитов слабо или совсем неизученных в паразитологическом отношении сарганообразных рыб, ряд из которых является перспективными объектами промысла.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 xml:space="preserve">Материал и методы. Материалом послужили сборы моногеней от 1578 экз. рыб 8 видов, отловленных на 335 станциях в Индийском и Тихом океанах во время рейсов экспедиционных судов института океанологии РАН и затем любезно предоставленных в наше распоряжение Н.В.Париным (Табл.1).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Таблица 1. Список исследованых видов рыб и зараженность их моногенеями ( Н - неритические; ПО - псевдоокеанические; ГЭ - голоэпипелагичесике)</w:t>
      </w:r>
    </w:p>
    <w:tbl>
      <w:tblPr>
        <w:tblW w:w="5000" w:type="pct"/>
        <w:tblCellSpacing w:w="15" w:type="dxa"/>
        <w:tblInd w:w="-6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5"/>
        <w:gridCol w:w="1784"/>
        <w:gridCol w:w="2467"/>
        <w:gridCol w:w="1892"/>
      </w:tblGrid>
      <w:tr w:rsidR="00AF18B5" w:rsidRPr="00F878CE" w:rsidTr="00AA6BA0">
        <w:trPr>
          <w:tblCellSpacing w:w="15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ВИДЫ РЫБ</w:t>
            </w:r>
          </w:p>
          <w:p w:rsidR="00AF18B5" w:rsidRPr="00F878CE" w:rsidRDefault="00AF18B5" w:rsidP="00AA6BA0">
            <w:r w:rsidRPr="00F878CE">
              <w:t>(в скобках экологическая характеристика)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Число</w:t>
            </w:r>
          </w:p>
          <w:p w:rsidR="00AF18B5" w:rsidRPr="00F878CE" w:rsidRDefault="00AF18B5" w:rsidP="00AA6BA0">
            <w:r w:rsidRPr="00F878CE">
              <w:t>вскрытых</w:t>
            </w:r>
          </w:p>
          <w:p w:rsidR="00AF18B5" w:rsidRPr="00F878CE" w:rsidRDefault="00AF18B5" w:rsidP="00AA6BA0">
            <w:r w:rsidRPr="00F878CE">
              <w:t>рыб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Экстенсивность</w:t>
            </w:r>
          </w:p>
          <w:p w:rsidR="00AF18B5" w:rsidRPr="00F878CE" w:rsidRDefault="00AF18B5" w:rsidP="00AA6BA0">
            <w:r w:rsidRPr="00F878CE">
              <w:t>инвазии</w:t>
            </w:r>
          </w:p>
          <w:p w:rsidR="00AF18B5" w:rsidRPr="00F878CE" w:rsidRDefault="00AF18B5" w:rsidP="00AA6BA0">
            <w:r w:rsidRPr="00F878CE">
              <w:t>моногенеями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Число</w:t>
            </w:r>
          </w:p>
          <w:p w:rsidR="00AF18B5" w:rsidRPr="00F878CE" w:rsidRDefault="00AF18B5" w:rsidP="00AA6BA0">
            <w:r w:rsidRPr="00F878CE">
              <w:t>видов</w:t>
            </w:r>
          </w:p>
          <w:p w:rsidR="00AF18B5" w:rsidRPr="00F878CE" w:rsidRDefault="00AF18B5" w:rsidP="00AA6BA0">
            <w:r w:rsidRPr="00F878CE">
              <w:t>моногеней</w:t>
            </w:r>
          </w:p>
        </w:tc>
      </w:tr>
      <w:tr w:rsidR="00AF18B5" w:rsidRPr="00F878CE" w:rsidTr="00AA6BA0">
        <w:trPr>
          <w:tblCellSpacing w:w="15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Oxyporhamphus c.convexus</w:t>
            </w:r>
            <w:r>
              <w:t xml:space="preserve"> </w:t>
            </w:r>
            <w:r w:rsidRPr="00F878CE">
              <w:t>(Н)</w:t>
            </w:r>
          </w:p>
          <w:p w:rsidR="00AF18B5" w:rsidRPr="00F878CE" w:rsidRDefault="00AF18B5" w:rsidP="00AA6BA0">
            <w:r w:rsidRPr="00F878CE">
              <w:t>Euleptorhamphus viridis</w:t>
            </w:r>
            <w:r>
              <w:t xml:space="preserve"> </w:t>
            </w:r>
            <w:r w:rsidRPr="00F878CE">
              <w:t>(ПО)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Exocoetus monocirrhus</w:t>
            </w:r>
            <w:r>
              <w:rPr>
                <w:lang w:val="en-US"/>
              </w:rPr>
              <w:t xml:space="preserve"> </w:t>
            </w:r>
            <w:r w:rsidRPr="00F878CE">
              <w:rPr>
                <w:lang w:val="en-US"/>
              </w:rPr>
              <w:t>(</w:t>
            </w:r>
            <w:r w:rsidRPr="00F878CE">
              <w:t>ГЭ</w:t>
            </w:r>
            <w:r w:rsidRPr="00F878CE">
              <w:rPr>
                <w:lang w:val="en-US"/>
              </w:rPr>
              <w:t>)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Exocoetus volitans</w:t>
            </w:r>
            <w:r>
              <w:rPr>
                <w:lang w:val="en-US"/>
              </w:rPr>
              <w:t xml:space="preserve"> </w:t>
            </w:r>
            <w:r w:rsidRPr="00F878CE">
              <w:rPr>
                <w:lang w:val="en-US"/>
              </w:rPr>
              <w:t>(</w:t>
            </w:r>
            <w:r w:rsidRPr="00F878CE">
              <w:t>ГЭ</w:t>
            </w:r>
            <w:r w:rsidRPr="00F878CE">
              <w:rPr>
                <w:lang w:val="en-US"/>
              </w:rPr>
              <w:t>)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Oxyporhamphus m.micropterus</w:t>
            </w:r>
            <w:r>
              <w:rPr>
                <w:lang w:val="en-US"/>
              </w:rPr>
              <w:t xml:space="preserve"> </w:t>
            </w:r>
            <w:r w:rsidRPr="00F878CE">
              <w:rPr>
                <w:lang w:val="en-US"/>
              </w:rPr>
              <w:t>(</w:t>
            </w:r>
            <w:r w:rsidRPr="00F878CE">
              <w:t>ГЭ</w:t>
            </w:r>
            <w:r w:rsidRPr="00F878CE">
              <w:rPr>
                <w:lang w:val="en-US"/>
              </w:rPr>
              <w:t>)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Cololabis saira</w:t>
            </w:r>
            <w:r>
              <w:rPr>
                <w:lang w:val="en-US"/>
              </w:rPr>
              <w:t xml:space="preserve"> </w:t>
            </w:r>
            <w:r w:rsidRPr="00F878CE">
              <w:rPr>
                <w:lang w:val="en-US"/>
              </w:rPr>
              <w:t>(</w:t>
            </w:r>
            <w:r w:rsidRPr="00F878CE">
              <w:t>ГЭ</w:t>
            </w:r>
            <w:r w:rsidRPr="00F878CE">
              <w:rPr>
                <w:lang w:val="en-US"/>
              </w:rPr>
              <w:t>)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Cololabis adocetus</w:t>
            </w:r>
            <w:r>
              <w:rPr>
                <w:lang w:val="en-US"/>
              </w:rPr>
              <w:t xml:space="preserve"> </w:t>
            </w:r>
            <w:r w:rsidRPr="00F878CE">
              <w:rPr>
                <w:lang w:val="en-US"/>
              </w:rPr>
              <w:t>(</w:t>
            </w:r>
            <w:r w:rsidRPr="00F878CE">
              <w:t>ГЭ</w:t>
            </w:r>
            <w:r w:rsidRPr="00F878CE">
              <w:rPr>
                <w:lang w:val="en-US"/>
              </w:rPr>
              <w:t>)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Scomberesox saurus</w:t>
            </w:r>
            <w:r>
              <w:rPr>
                <w:lang w:val="en-US"/>
              </w:rPr>
              <w:t xml:space="preserve"> </w:t>
            </w:r>
            <w:r w:rsidRPr="00F878CE">
              <w:rPr>
                <w:lang w:val="en-US"/>
              </w:rPr>
              <w:t>(</w:t>
            </w:r>
            <w:r w:rsidRPr="00F878CE">
              <w:t>ГЭ</w:t>
            </w:r>
            <w:r w:rsidRPr="00F878CE">
              <w:rPr>
                <w:lang w:val="en-US"/>
              </w:rPr>
              <w:t>)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149</w:t>
            </w:r>
          </w:p>
          <w:p w:rsidR="00AF18B5" w:rsidRPr="00F878CE" w:rsidRDefault="00AF18B5" w:rsidP="00AA6BA0">
            <w:r w:rsidRPr="00F878CE">
              <w:t>284</w:t>
            </w:r>
          </w:p>
          <w:p w:rsidR="00AF18B5" w:rsidRPr="00F878CE" w:rsidRDefault="00AF18B5" w:rsidP="00AA6BA0">
            <w:r w:rsidRPr="00F878CE">
              <w:t>208</w:t>
            </w:r>
          </w:p>
          <w:p w:rsidR="00AF18B5" w:rsidRPr="00F878CE" w:rsidRDefault="00AF18B5" w:rsidP="00AA6BA0">
            <w:r w:rsidRPr="00F878CE">
              <w:t>333</w:t>
            </w:r>
          </w:p>
          <w:p w:rsidR="00AF18B5" w:rsidRPr="00F878CE" w:rsidRDefault="00AF18B5" w:rsidP="00AA6BA0">
            <w:r w:rsidRPr="00F878CE">
              <w:t>356</w:t>
            </w:r>
          </w:p>
          <w:p w:rsidR="00AF18B5" w:rsidRPr="00F878CE" w:rsidRDefault="00AF18B5" w:rsidP="00AA6BA0">
            <w:r w:rsidRPr="00F878CE">
              <w:t>190</w:t>
            </w:r>
          </w:p>
          <w:p w:rsidR="00AF18B5" w:rsidRPr="00F878CE" w:rsidRDefault="00AF18B5" w:rsidP="00AA6BA0">
            <w:r w:rsidRPr="00F878CE">
              <w:t>25</w:t>
            </w:r>
          </w:p>
          <w:p w:rsidR="00AF18B5" w:rsidRPr="00F878CE" w:rsidRDefault="00AF18B5" w:rsidP="00AA6BA0">
            <w:r w:rsidRPr="00F878CE">
              <w:t>33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61,9</w:t>
            </w:r>
            <w:r>
              <w:t xml:space="preserve"> </w:t>
            </w:r>
            <w:r w:rsidRPr="00F878CE">
              <w:t>±</w:t>
            </w:r>
            <w:r>
              <w:t xml:space="preserve"> </w:t>
            </w:r>
            <w:r w:rsidRPr="00F878CE">
              <w:t>3,8</w:t>
            </w:r>
          </w:p>
          <w:p w:rsidR="00AF18B5" w:rsidRPr="00F878CE" w:rsidRDefault="00AF18B5" w:rsidP="00AA6BA0">
            <w:r w:rsidRPr="00F878CE">
              <w:t>55,3</w:t>
            </w:r>
            <w:r>
              <w:t xml:space="preserve"> </w:t>
            </w:r>
            <w:r w:rsidRPr="00F878CE">
              <w:t>±</w:t>
            </w:r>
            <w:r>
              <w:t xml:space="preserve"> </w:t>
            </w:r>
            <w:r w:rsidRPr="00F878CE">
              <w:t>3,0</w:t>
            </w:r>
          </w:p>
          <w:p w:rsidR="00AF18B5" w:rsidRPr="00F878CE" w:rsidRDefault="00AF18B5" w:rsidP="00AA6BA0">
            <w:r w:rsidRPr="00F878CE">
              <w:t>42,3</w:t>
            </w:r>
            <w:r>
              <w:t xml:space="preserve"> </w:t>
            </w:r>
            <w:r w:rsidRPr="00F878CE">
              <w:t>±</w:t>
            </w:r>
            <w:r>
              <w:t xml:space="preserve"> </w:t>
            </w:r>
            <w:r w:rsidRPr="00F878CE">
              <w:t>3,4</w:t>
            </w:r>
          </w:p>
          <w:p w:rsidR="00AF18B5" w:rsidRPr="00F878CE" w:rsidRDefault="00AF18B5" w:rsidP="00AA6BA0">
            <w:r w:rsidRPr="00F878CE">
              <w:t>31,2</w:t>
            </w:r>
            <w:r>
              <w:t xml:space="preserve"> </w:t>
            </w:r>
            <w:r w:rsidRPr="00F878CE">
              <w:t>±</w:t>
            </w:r>
            <w:r>
              <w:t xml:space="preserve"> </w:t>
            </w:r>
            <w:r w:rsidRPr="00F878CE">
              <w:t>2,5</w:t>
            </w:r>
          </w:p>
          <w:p w:rsidR="00AF18B5" w:rsidRPr="00F878CE" w:rsidRDefault="00AF18B5" w:rsidP="00AA6BA0">
            <w:r w:rsidRPr="00F878CE">
              <w:t>26,7</w:t>
            </w:r>
            <w:r>
              <w:t xml:space="preserve"> </w:t>
            </w:r>
            <w:r w:rsidRPr="00F878CE">
              <w:t>±</w:t>
            </w:r>
            <w:r>
              <w:t xml:space="preserve"> </w:t>
            </w:r>
            <w:r w:rsidRPr="00F878CE">
              <w:t>2,3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Pr="00F878CE" w:rsidRDefault="00AF18B5" w:rsidP="00AA6BA0">
            <w:r w:rsidRPr="00F878CE">
              <w:t>0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7</w:t>
            </w:r>
          </w:p>
          <w:p w:rsidR="00AF18B5" w:rsidRPr="00F878CE" w:rsidRDefault="00AF18B5" w:rsidP="00AA6BA0">
            <w:r w:rsidRPr="00F878CE">
              <w:t>5</w:t>
            </w:r>
          </w:p>
          <w:p w:rsidR="00AF18B5" w:rsidRPr="00F878CE" w:rsidRDefault="00AF18B5" w:rsidP="00AA6BA0">
            <w:r w:rsidRPr="00F878CE">
              <w:t>5</w:t>
            </w:r>
          </w:p>
          <w:p w:rsidR="00AF18B5" w:rsidRPr="00F878CE" w:rsidRDefault="00AF18B5" w:rsidP="00AA6BA0">
            <w:r w:rsidRPr="00F878CE">
              <w:t>9</w:t>
            </w:r>
          </w:p>
          <w:p w:rsidR="00AF18B5" w:rsidRPr="00F878CE" w:rsidRDefault="00AF18B5" w:rsidP="00AA6BA0">
            <w:r w:rsidRPr="00F878CE">
              <w:t>4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Pr="00F878CE" w:rsidRDefault="00AF18B5" w:rsidP="00AA6BA0">
            <w:r w:rsidRPr="00F878CE">
              <w:t>0</w:t>
            </w:r>
          </w:p>
        </w:tc>
      </w:tr>
    </w:tbl>
    <w:p w:rsidR="00AF18B5" w:rsidRDefault="00AF18B5" w:rsidP="00AF18B5">
      <w:pPr>
        <w:spacing w:before="120"/>
        <w:ind w:firstLine="567"/>
        <w:jc w:val="both"/>
      </w:pPr>
      <w:r w:rsidRPr="00F878CE">
        <w:t>Исследованные виды</w:t>
      </w:r>
      <w:r>
        <w:t xml:space="preserve"> </w:t>
      </w:r>
      <w:r w:rsidRPr="00F878CE">
        <w:t>рыб принадлежат трем семействам (Exocoetidae, Hemirhamphidae и Scomberesocidae)</w:t>
      </w:r>
      <w:r>
        <w:t xml:space="preserve"> </w:t>
      </w:r>
      <w:r w:rsidRPr="00F878CE">
        <w:t>отряда</w:t>
      </w:r>
      <w:r>
        <w:t xml:space="preserve"> </w:t>
      </w:r>
      <w:r w:rsidRPr="00F878CE">
        <w:t>сарганообразных (Beloniformes). Большая их часть входит в состав биоценоза океанской эпипелагиали,</w:t>
      </w:r>
      <w:r>
        <w:t xml:space="preserve"> </w:t>
      </w:r>
      <w:r w:rsidRPr="00F878CE">
        <w:t>представляющей собой</w:t>
      </w:r>
      <w:r>
        <w:t xml:space="preserve"> </w:t>
      </w:r>
      <w:r w:rsidRPr="00F878CE">
        <w:t>верхний</w:t>
      </w:r>
      <w:r>
        <w:t xml:space="preserve"> </w:t>
      </w:r>
      <w:r w:rsidRPr="00F878CE">
        <w:t>изотермический слой открытого океана, нижнюю физическую границу которого образует слой максимальных температурных</w:t>
      </w:r>
      <w:r>
        <w:t xml:space="preserve"> </w:t>
      </w:r>
      <w:r w:rsidRPr="00F878CE">
        <w:t>градиентов</w:t>
      </w:r>
      <w:r>
        <w:t xml:space="preserve"> </w:t>
      </w:r>
      <w:r w:rsidRPr="00F878CE">
        <w:t>(главный</w:t>
      </w:r>
      <w:r>
        <w:t xml:space="preserve"> </w:t>
      </w:r>
      <w:r w:rsidRPr="00F878CE">
        <w:t>термоклин).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</w:t>
      </w:r>
      <w:r>
        <w:t xml:space="preserve"> </w:t>
      </w:r>
      <w:r w:rsidRPr="00F878CE">
        <w:t>то</w:t>
      </w:r>
      <w:r>
        <w:t xml:space="preserve"> </w:t>
      </w:r>
      <w:r w:rsidRPr="00F878CE">
        <w:t>же</w:t>
      </w:r>
      <w:r>
        <w:t xml:space="preserve"> </w:t>
      </w:r>
      <w:r w:rsidRPr="00F878CE">
        <w:t>время</w:t>
      </w:r>
      <w:r>
        <w:t xml:space="preserve"> </w:t>
      </w:r>
      <w:r w:rsidRPr="00F878CE">
        <w:t>исследованные</w:t>
      </w:r>
      <w:r>
        <w:t xml:space="preserve"> </w:t>
      </w:r>
      <w:r w:rsidRPr="00F878CE">
        <w:t>рыбы согласно предложенной Н.В.Париным (1968) классификации принадлежат к различным экологическим группировкам, различающимся степенью приуроченности к эпипелагиали. Шесть видов рыб (долгоперы Exocoetus volitans и</w:t>
      </w:r>
      <w:r>
        <w:t xml:space="preserve"> </w:t>
      </w:r>
      <w:r w:rsidRPr="00F878CE">
        <w:t>E.monocirrhus, океанический полурыл Oxyporhamphus micropterus micropterus, сайра</w:t>
      </w:r>
      <w:r>
        <w:t xml:space="preserve"> </w:t>
      </w:r>
      <w:r w:rsidRPr="00F878CE">
        <w:t>Cololabis</w:t>
      </w:r>
      <w:r>
        <w:t xml:space="preserve"> </w:t>
      </w:r>
      <w:r w:rsidRPr="00F878CE">
        <w:t>saira,</w:t>
      </w:r>
      <w:r>
        <w:t xml:space="preserve"> </w:t>
      </w:r>
      <w:r w:rsidRPr="00F878CE">
        <w:t>карликовая</w:t>
      </w:r>
      <w:r>
        <w:t xml:space="preserve"> </w:t>
      </w:r>
      <w:r w:rsidRPr="00F878CE">
        <w:t>сайра</w:t>
      </w:r>
      <w:r>
        <w:t xml:space="preserve"> </w:t>
      </w:r>
      <w:r w:rsidRPr="00F878CE">
        <w:t>C.adocetus</w:t>
      </w:r>
      <w:r>
        <w:t xml:space="preserve"> </w:t>
      </w:r>
      <w:r w:rsidRPr="00F878CE">
        <w:t>и скумбрещука Scomberesox saurus),</w:t>
      </w:r>
      <w:r>
        <w:t xml:space="preserve"> </w:t>
      </w:r>
      <w:r w:rsidRPr="00F878CE">
        <w:t>являясь постоянными обитателями эпипелагиали на всех стадиях своего жизненного</w:t>
      </w:r>
      <w:r>
        <w:t xml:space="preserve"> </w:t>
      </w:r>
      <w:r w:rsidRPr="00F878CE">
        <w:t>цикла,</w:t>
      </w:r>
      <w:r>
        <w:t xml:space="preserve"> </w:t>
      </w:r>
      <w:r w:rsidRPr="00F878CE">
        <w:t>входят</w:t>
      </w:r>
      <w:r>
        <w:t xml:space="preserve"> </w:t>
      </w:r>
      <w:r w:rsidRPr="00F878CE">
        <w:t>в состав голоэпипелагической группировки.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Летучий полурыл Euleptorhamphus viridis является псевдоокеаническим видом и</w:t>
      </w:r>
      <w:r>
        <w:t xml:space="preserve"> </w:t>
      </w:r>
      <w:r w:rsidRPr="00F878CE">
        <w:t>относится</w:t>
      </w:r>
      <w:r>
        <w:t xml:space="preserve"> </w:t>
      </w:r>
      <w:r w:rsidRPr="00F878CE">
        <w:t>к мероэпипелагической группировке, поскольку встречается в открытом океане только на взрослой стадии,</w:t>
      </w:r>
      <w:r>
        <w:t xml:space="preserve"> </w:t>
      </w:r>
      <w:r w:rsidRPr="00F878CE">
        <w:t>а для размножения</w:t>
      </w:r>
      <w:r>
        <w:t xml:space="preserve"> </w:t>
      </w:r>
      <w:r w:rsidRPr="00F878CE">
        <w:t>подходит</w:t>
      </w:r>
      <w:r>
        <w:t xml:space="preserve"> </w:t>
      </w:r>
      <w:r w:rsidRPr="00F878CE">
        <w:t>к берегам.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И только полурыл Oxyporhamphus convexus convexus, сильно тяготеющий к прибрежным водам на всех стадиях</w:t>
      </w:r>
      <w:r>
        <w:t xml:space="preserve"> </w:t>
      </w:r>
      <w:r w:rsidRPr="00F878CE">
        <w:t>жизненного</w:t>
      </w:r>
      <w:r>
        <w:t xml:space="preserve"> </w:t>
      </w:r>
      <w:r w:rsidRPr="00F878CE">
        <w:t>цикла, входит в состав собственно неритической группировки.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Сбор и</w:t>
      </w:r>
      <w:r>
        <w:t xml:space="preserve"> </w:t>
      </w:r>
      <w:r w:rsidRPr="00F878CE">
        <w:t>обработка моногеней проводились по общепринятым методикам (Быховская-Павловская,</w:t>
      </w:r>
      <w:r>
        <w:t xml:space="preserve"> </w:t>
      </w:r>
      <w:r w:rsidRPr="00F878CE">
        <w:t>1969;</w:t>
      </w:r>
      <w:r>
        <w:t xml:space="preserve"> </w:t>
      </w:r>
      <w:r w:rsidRPr="00F878CE">
        <w:t>Гусев,</w:t>
      </w:r>
      <w:r>
        <w:t xml:space="preserve"> </w:t>
      </w:r>
      <w:r w:rsidRPr="00F878CE">
        <w:t>1983). Полученные результаты</w:t>
      </w:r>
      <w:r>
        <w:t xml:space="preserve"> </w:t>
      </w:r>
      <w:r w:rsidRPr="00F878CE">
        <w:t>подвергались</w:t>
      </w:r>
      <w:r>
        <w:t xml:space="preserve"> </w:t>
      </w:r>
      <w:r w:rsidRPr="00F878CE">
        <w:t>статистической</w:t>
      </w:r>
      <w:r>
        <w:t xml:space="preserve"> </w:t>
      </w:r>
      <w:r w:rsidRPr="00F878CE">
        <w:t>обработке с использованием методов одномерной статистики. При сравнении фаун моногеней разных видов исследованных рыб использован анализ мер включения.</w:t>
      </w:r>
      <w:r>
        <w:t xml:space="preserve"> </w:t>
      </w:r>
      <w:r w:rsidRPr="00F878CE">
        <w:t>Подробное описание метода содержится в разделе "Обсуждение".</w:t>
      </w:r>
    </w:p>
    <w:p w:rsidR="00AF18B5" w:rsidRPr="00F878CE" w:rsidRDefault="00AF18B5" w:rsidP="00AF18B5">
      <w:pPr>
        <w:spacing w:before="120"/>
        <w:jc w:val="center"/>
        <w:rPr>
          <w:b/>
          <w:bCs/>
          <w:sz w:val="28"/>
          <w:szCs w:val="28"/>
        </w:rPr>
      </w:pPr>
      <w:r w:rsidRPr="00F878CE">
        <w:rPr>
          <w:b/>
          <w:bCs/>
          <w:sz w:val="28"/>
          <w:szCs w:val="28"/>
        </w:rPr>
        <w:t>Видовой состав и количественное распределение моногеней у исследованных видов рыб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Моногенеи обнаружены нами у 5 из 8 исследованных</w:t>
      </w:r>
      <w:r>
        <w:t xml:space="preserve"> </w:t>
      </w:r>
      <w:r w:rsidRPr="00F878CE">
        <w:t>видов</w:t>
      </w:r>
      <w:r>
        <w:t xml:space="preserve"> </w:t>
      </w:r>
      <w:r w:rsidRPr="00F878CE">
        <w:t>рыб (табл.1).</w:t>
      </w:r>
      <w:r>
        <w:t xml:space="preserve"> </w:t>
      </w:r>
      <w:r w:rsidRPr="00F878CE">
        <w:t>При этом обращает на себя внимание тот факт,</w:t>
      </w:r>
      <w:r>
        <w:t xml:space="preserve"> </w:t>
      </w:r>
      <w:r w:rsidRPr="00F878CE">
        <w:t>что свободными от моногеней</w:t>
      </w:r>
      <w:r>
        <w:t xml:space="preserve"> </w:t>
      </w:r>
      <w:r w:rsidRPr="00F878CE">
        <w:t>оказались</w:t>
      </w:r>
      <w:r>
        <w:t xml:space="preserve"> </w:t>
      </w:r>
      <w:r w:rsidRPr="00F878CE">
        <w:t>только</w:t>
      </w:r>
      <w:r>
        <w:t xml:space="preserve"> </w:t>
      </w:r>
      <w:r w:rsidRPr="00F878CE">
        <w:t>представители</w:t>
      </w:r>
      <w:r>
        <w:t xml:space="preserve"> </w:t>
      </w:r>
      <w:r w:rsidRPr="00F878CE">
        <w:t>семейства скумбрещуковых.</w:t>
      </w:r>
      <w:r>
        <w:t xml:space="preserve"> </w:t>
      </w:r>
      <w:r w:rsidRPr="00F878CE">
        <w:t>Ниже</w:t>
      </w:r>
      <w:r>
        <w:t xml:space="preserve"> </w:t>
      </w:r>
      <w:r w:rsidRPr="00F878CE">
        <w:t>мы еще вернемся к этому любопытному факту, чтобы найти ему более или</w:t>
      </w:r>
      <w:r>
        <w:t xml:space="preserve"> </w:t>
      </w:r>
      <w:r w:rsidRPr="00F878CE">
        <w:t>менее</w:t>
      </w:r>
      <w:r>
        <w:t xml:space="preserve"> </w:t>
      </w:r>
      <w:r w:rsidRPr="00F878CE">
        <w:t>удовлетворительное</w:t>
      </w:r>
      <w:r>
        <w:t xml:space="preserve"> </w:t>
      </w:r>
      <w:r w:rsidRPr="00F878CE">
        <w:t>объяснение.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Всего</w:t>
      </w:r>
      <w:r>
        <w:t xml:space="preserve"> </w:t>
      </w:r>
      <w:r w:rsidRPr="00F878CE">
        <w:t>зарегистрировано</w:t>
      </w:r>
      <w:r>
        <w:t xml:space="preserve"> </w:t>
      </w:r>
      <w:r w:rsidRPr="00F878CE">
        <w:t xml:space="preserve">15 видов и форм моногеней (табл.2).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Таблица 2.</w:t>
      </w:r>
      <w:r>
        <w:t xml:space="preserve">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Экстенсивность инвазии (Е) исследованных рыб отдельными видами и формами моногенгей (Е±m)</w:t>
      </w:r>
    </w:p>
    <w:tbl>
      <w:tblPr>
        <w:tblW w:w="5000" w:type="pct"/>
        <w:tblCellSpacing w:w="15" w:type="dxa"/>
        <w:tblInd w:w="-6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8"/>
        <w:gridCol w:w="1253"/>
        <w:gridCol w:w="1601"/>
        <w:gridCol w:w="1139"/>
        <w:gridCol w:w="1761"/>
        <w:gridCol w:w="1646"/>
      </w:tblGrid>
      <w:tr w:rsidR="00AF18B5" w:rsidRPr="00F878CE" w:rsidTr="00AA6BA0">
        <w:trPr>
          <w:tblCellSpacing w:w="15" w:type="dxa"/>
        </w:trPr>
        <w:tc>
          <w:tcPr>
            <w:tcW w:w="11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8B5" w:rsidRPr="00F878CE" w:rsidRDefault="00AF18B5" w:rsidP="00AA6BA0">
            <w:r w:rsidRPr="00F878CE">
              <w:t>Виды моногеней</w:t>
            </w:r>
          </w:p>
        </w:tc>
        <w:tc>
          <w:tcPr>
            <w:tcW w:w="379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Виды рыб</w:t>
            </w:r>
          </w:p>
        </w:tc>
      </w:tr>
      <w:tr w:rsidR="00AF18B5" w:rsidRPr="00F878CE" w:rsidTr="00AA6BA0">
        <w:trPr>
          <w:tblCellSpacing w:w="15" w:type="dxa"/>
        </w:trPr>
        <w:tc>
          <w:tcPr>
            <w:tcW w:w="11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/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E.volitans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E.monocirrhus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E.viridis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O.m.micropterus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O.c.convexus</w:t>
            </w:r>
          </w:p>
        </w:tc>
      </w:tr>
      <w:tr w:rsidR="00AF18B5" w:rsidRPr="00F878CE" w:rsidTr="00AA6BA0">
        <w:trPr>
          <w:tblCellSpacing w:w="15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Capsala sp.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Gyrodactylus exocoeti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Axine yamagutii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Axine belones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Axine parini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Diplaxine popovae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Axinoides cola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Monaxininae gen.sp.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Irinaxine miniata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Cypselurobranchitrema spilonotopteri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Quadrivalvula asymmetrica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Gastrocotylidae gen.sp.I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Gastrocotylidae gen.sp.III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Gotocotylidae grn.sp.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>Monogenea gen.sp.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Default="00AF18B5" w:rsidP="00AA6BA0">
            <w:r w:rsidRPr="00F878CE">
              <w:rPr>
                <w:lang w:val="en-US"/>
              </w:rPr>
              <w:t xml:space="preserve"> </w:t>
            </w:r>
            <w:r w:rsidRPr="00F878CE">
              <w:t>0,3</w:t>
            </w:r>
            <w:r w:rsidRPr="00F878CE">
              <w:sym w:font="Courier New" w:char="00B1"/>
            </w:r>
            <w:r w:rsidRPr="00F878CE">
              <w:t xml:space="preserve"> 0,3</w:t>
            </w:r>
          </w:p>
          <w:p w:rsidR="00AF18B5" w:rsidRDefault="00AF18B5" w:rsidP="00AA6BA0">
            <w:r w:rsidRPr="00F878CE">
              <w:t>0,6</w:t>
            </w:r>
            <w:r w:rsidRPr="00F878CE">
              <w:sym w:font="Courier New" w:char="00B1"/>
            </w:r>
            <w:r w:rsidRPr="00F878CE">
              <w:t xml:space="preserve"> 0,4</w:t>
            </w:r>
          </w:p>
          <w:p w:rsidR="00AF18B5" w:rsidRDefault="00AF18B5" w:rsidP="00AA6BA0">
            <w:r w:rsidRPr="00F878CE">
              <w:t>0,3</w:t>
            </w:r>
            <w:r w:rsidRPr="00F878CE">
              <w:sym w:font="Courier New" w:char="00B1"/>
            </w:r>
            <w:r w:rsidRPr="00F878CE">
              <w:t xml:space="preserve"> 0,3</w:t>
            </w:r>
          </w:p>
          <w:p w:rsidR="00AF18B5" w:rsidRDefault="00AF18B5" w:rsidP="00AA6BA0">
            <w:r w:rsidRPr="00F878CE">
              <w:t>1,5</w:t>
            </w:r>
            <w:r w:rsidRPr="00F878CE">
              <w:sym w:font="Courier New" w:char="00B1"/>
            </w:r>
            <w:r w:rsidRPr="00F878CE">
              <w:t xml:space="preserve"> 0,7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0,3</w:t>
            </w:r>
            <w:r w:rsidRPr="00F878CE">
              <w:sym w:font="Courier New" w:char="00B1"/>
            </w:r>
            <w:r w:rsidRPr="00F878CE">
              <w:t xml:space="preserve"> 0,3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0,3±0,3 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10,5</w:t>
            </w:r>
            <w:r w:rsidRPr="00F878CE">
              <w:sym w:font="Courier New" w:char="00B1"/>
            </w:r>
            <w:r w:rsidRPr="00F878CE">
              <w:t xml:space="preserve"> 1,7</w:t>
            </w:r>
          </w:p>
          <w:p w:rsidR="00AF18B5" w:rsidRPr="00F878CE" w:rsidRDefault="00AF18B5" w:rsidP="00AA6BA0">
            <w:r w:rsidRPr="00F878CE">
              <w:t>1,2</w:t>
            </w:r>
            <w:r w:rsidRPr="00F878CE">
              <w:sym w:font="Courier New" w:char="00B1"/>
            </w:r>
            <w:r w:rsidRPr="00F878CE">
              <w:t xml:space="preserve"> 0,6</w:t>
            </w:r>
          </w:p>
          <w:p w:rsidR="00AF18B5" w:rsidRDefault="00AF18B5" w:rsidP="00AA6BA0">
            <w:r w:rsidRPr="00F878CE">
              <w:t>23,1</w:t>
            </w:r>
            <w:r w:rsidRPr="00F878CE">
              <w:sym w:font="Courier New" w:char="00B1"/>
            </w:r>
            <w:r w:rsidRPr="00F878CE">
              <w:t xml:space="preserve"> 2,3</w:t>
            </w:r>
          </w:p>
          <w:p w:rsidR="00AF18B5" w:rsidRPr="00F878CE" w:rsidRDefault="00AF18B5" w:rsidP="00AA6BA0">
            <w:r w:rsidRPr="00F878CE">
              <w:t>0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Default="00AF18B5" w:rsidP="00AA6BA0">
            <w:r>
              <w:t xml:space="preserve"> </w:t>
            </w:r>
            <w:r w:rsidRPr="00F878CE">
              <w:t xml:space="preserve">0 </w:t>
            </w:r>
          </w:p>
          <w:p w:rsidR="00AF18B5" w:rsidRDefault="00AF18B5" w:rsidP="00AA6BA0">
            <w:r w:rsidRPr="00F878CE">
              <w:t>7,2</w:t>
            </w:r>
            <w:r w:rsidRPr="00F878CE">
              <w:sym w:font="Courier New" w:char="00B1"/>
            </w:r>
            <w:r w:rsidRPr="00F878CE">
              <w:t xml:space="preserve"> 1,8 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>0,5</w:t>
            </w:r>
            <w:r w:rsidRPr="00F878CE">
              <w:sym w:font="Courier New" w:char="00B1"/>
            </w:r>
            <w:r w:rsidRPr="00F878CE">
              <w:t xml:space="preserve">0,5 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22,1</w:t>
            </w:r>
            <w:r w:rsidRPr="00F878CE">
              <w:sym w:font="Courier New" w:char="00B1"/>
            </w:r>
            <w:r w:rsidRPr="00F878CE">
              <w:t xml:space="preserve"> 2,9 </w:t>
            </w:r>
          </w:p>
          <w:p w:rsidR="00AF18B5" w:rsidRPr="00F878CE" w:rsidRDefault="00AF18B5" w:rsidP="00AA6BA0">
            <w:r w:rsidRPr="00F878CE">
              <w:t>3,8</w:t>
            </w:r>
            <w:r w:rsidRPr="00F878CE">
              <w:sym w:font="Courier New" w:char="00B1"/>
            </w:r>
            <w:r w:rsidRPr="00F878CE">
              <w:t xml:space="preserve"> 1,3 </w:t>
            </w:r>
          </w:p>
          <w:p w:rsidR="00AF18B5" w:rsidRDefault="00AF18B5" w:rsidP="00AA6BA0">
            <w:r w:rsidRPr="00F878CE">
              <w:t>24,0</w:t>
            </w:r>
            <w:r w:rsidRPr="00F878CE">
              <w:sym w:font="Courier New" w:char="00B1"/>
            </w:r>
            <w:r w:rsidRPr="00F878CE">
              <w:t xml:space="preserve"> 3,0 </w:t>
            </w:r>
          </w:p>
          <w:p w:rsidR="00AF18B5" w:rsidRPr="00F878CE" w:rsidRDefault="00AF18B5" w:rsidP="00AA6BA0">
            <w:r w:rsidRPr="00F878CE">
              <w:t>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Default="00AF18B5" w:rsidP="00AA6BA0">
            <w:r>
              <w:t xml:space="preserve"> </w:t>
            </w:r>
            <w:r w:rsidRPr="00F878CE">
              <w:t xml:space="preserve">0 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41,5</w:t>
            </w:r>
            <w:r w:rsidRPr="00F878CE">
              <w:sym w:font="Courier New" w:char="00B1"/>
            </w:r>
            <w:r w:rsidRPr="00F878CE">
              <w:t xml:space="preserve"> 2,3 </w:t>
            </w:r>
          </w:p>
          <w:p w:rsidR="00AF18B5" w:rsidRDefault="00AF18B5" w:rsidP="00AA6BA0">
            <w:r w:rsidRPr="00F878CE">
              <w:t>0,7</w:t>
            </w:r>
            <w:r w:rsidRPr="00F878CE">
              <w:sym w:font="Courier New" w:char="00B1"/>
            </w:r>
            <w:r w:rsidRPr="00F878CE">
              <w:t xml:space="preserve"> 0,5 </w:t>
            </w:r>
          </w:p>
          <w:p w:rsidR="00AF18B5" w:rsidRDefault="00AF18B5" w:rsidP="00AA6BA0">
            <w:r w:rsidRPr="00F878CE">
              <w:t>1,4</w:t>
            </w:r>
            <w:r w:rsidRPr="00F878CE">
              <w:sym w:font="Courier New" w:char="00B1"/>
            </w:r>
            <w:r w:rsidRPr="00F878CE">
              <w:t xml:space="preserve"> 0,7 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27,5</w:t>
            </w:r>
            <w:r w:rsidRPr="00F878CE">
              <w:sym w:font="Courier New" w:char="00B1"/>
            </w:r>
            <w:r w:rsidRPr="00F878CE">
              <w:t xml:space="preserve"> 2,6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>4,9</w:t>
            </w:r>
            <w:r w:rsidRPr="00F878CE">
              <w:sym w:font="Courier New" w:char="00B1"/>
            </w:r>
            <w:r w:rsidRPr="00F878CE">
              <w:t xml:space="preserve"> 1,3 </w:t>
            </w:r>
          </w:p>
          <w:p w:rsidR="00AF18B5" w:rsidRPr="00F878CE" w:rsidRDefault="00AF18B5" w:rsidP="00AA6BA0">
            <w:r w:rsidRPr="00F878CE">
              <w:t>0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Default="00AF18B5" w:rsidP="00AA6BA0">
            <w:r>
              <w:t xml:space="preserve"> </w:t>
            </w:r>
            <w:r w:rsidRPr="00F878CE">
              <w:t xml:space="preserve">0 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>1,4</w:t>
            </w:r>
            <w:r w:rsidRPr="00F878CE">
              <w:sym w:font="Courier New" w:char="00B1"/>
            </w:r>
            <w:r w:rsidRPr="00F878CE">
              <w:t xml:space="preserve"> 0,6 </w:t>
            </w:r>
          </w:p>
          <w:p w:rsidR="00AF18B5" w:rsidRDefault="00AF18B5" w:rsidP="00AA6BA0">
            <w:r w:rsidRPr="00F878CE">
              <w:t>7,0</w:t>
            </w:r>
            <w:r w:rsidRPr="00F878CE">
              <w:sym w:font="Courier New" w:char="00B1"/>
            </w:r>
            <w:r w:rsidRPr="00F878CE">
              <w:t xml:space="preserve"> 1,3 </w:t>
            </w:r>
          </w:p>
          <w:p w:rsidR="00AF18B5" w:rsidRPr="00F878CE" w:rsidRDefault="00AF18B5" w:rsidP="00AA6BA0">
            <w:r w:rsidRPr="00F878CE">
              <w:t>0,8</w:t>
            </w:r>
            <w:r w:rsidRPr="00F878CE">
              <w:sym w:font="Courier New" w:char="00B1"/>
            </w:r>
            <w:r w:rsidRPr="00F878CE">
              <w:t xml:space="preserve"> 0,5 </w:t>
            </w:r>
          </w:p>
          <w:p w:rsidR="00AF18B5" w:rsidRDefault="00AF18B5" w:rsidP="00AA6BA0">
            <w:r w:rsidRPr="00F878CE">
              <w:t>23,6</w:t>
            </w:r>
            <w:r w:rsidRPr="00F878CE">
              <w:sym w:font="Courier New" w:char="00B1"/>
            </w:r>
            <w:r w:rsidRPr="00F878CE">
              <w:t xml:space="preserve"> 2,2 </w:t>
            </w:r>
          </w:p>
          <w:p w:rsidR="00AF18B5" w:rsidRPr="00F878CE" w:rsidRDefault="00AF18B5" w:rsidP="00AA6BA0">
            <w:r w:rsidRPr="00F878CE">
              <w:t>0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Default="00AF18B5" w:rsidP="00AA6BA0">
            <w:r>
              <w:t xml:space="preserve"> </w:t>
            </w:r>
            <w:r w:rsidRPr="00F878CE">
              <w:t xml:space="preserve">0 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0</w:t>
            </w:r>
          </w:p>
          <w:p w:rsidR="00AF18B5" w:rsidRDefault="00AF18B5" w:rsidP="00AA6BA0">
            <w:r w:rsidRPr="00F878CE">
              <w:t>9,4</w:t>
            </w:r>
            <w:r w:rsidRPr="00F878CE">
              <w:sym w:font="Courier New" w:char="00B1"/>
            </w:r>
            <w:r w:rsidRPr="00F878CE">
              <w:t xml:space="preserve"> 2,4</w:t>
            </w:r>
            <w:r>
              <w:t xml:space="preserve">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>6,0</w:t>
            </w:r>
            <w:r w:rsidRPr="00F878CE">
              <w:sym w:font="Courier New" w:char="00B1"/>
            </w:r>
            <w:r w:rsidRPr="00F878CE">
              <w:t xml:space="preserve"> 1,9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>20,1</w:t>
            </w:r>
            <w:r w:rsidRPr="00F878CE">
              <w:sym w:font="Courier New" w:char="00B1"/>
            </w:r>
            <w:r w:rsidRPr="00F878CE">
              <w:t xml:space="preserve"> 3,3 </w:t>
            </w:r>
          </w:p>
          <w:p w:rsidR="00AF18B5" w:rsidRPr="00F878CE" w:rsidRDefault="00AF18B5" w:rsidP="00AA6BA0">
            <w:r w:rsidRPr="00F878CE">
              <w:t>52,7</w:t>
            </w:r>
            <w:r w:rsidRPr="00F878CE">
              <w:sym w:font="Courier New" w:char="00B1"/>
            </w:r>
            <w:r w:rsidRPr="00F878CE">
              <w:t xml:space="preserve"> 4,1 </w:t>
            </w:r>
          </w:p>
          <w:p w:rsidR="00AF18B5" w:rsidRPr="00F878CE" w:rsidRDefault="00AF18B5" w:rsidP="00AA6BA0">
            <w:r w:rsidRPr="00F878CE">
              <w:t>17,5</w:t>
            </w:r>
            <w:r w:rsidRPr="00F878CE">
              <w:sym w:font="Courier New" w:char="00B1"/>
            </w:r>
            <w:r w:rsidRPr="00F878CE">
              <w:t xml:space="preserve"> 3,1 </w:t>
            </w:r>
          </w:p>
          <w:p w:rsidR="00AF18B5" w:rsidRDefault="00AF18B5" w:rsidP="00AA6BA0">
            <w:r w:rsidRPr="00F878CE">
              <w:t>11,4</w:t>
            </w:r>
            <w:r w:rsidRPr="00F878CE">
              <w:sym w:font="Courier New" w:char="00B1"/>
            </w:r>
            <w:r w:rsidRPr="00F878CE">
              <w:t xml:space="preserve"> 2,6 </w:t>
            </w:r>
          </w:p>
          <w:p w:rsidR="00AF18B5" w:rsidRPr="00F878CE" w:rsidRDefault="00AF18B5" w:rsidP="00AA6BA0">
            <w:r w:rsidRPr="00F878CE">
              <w:t>4,0</w:t>
            </w:r>
            <w:r w:rsidRPr="00F878CE">
              <w:sym w:font="Courier New" w:char="00B1"/>
            </w:r>
            <w:r w:rsidRPr="00F878CE">
              <w:t xml:space="preserve"> 1,6</w:t>
            </w:r>
          </w:p>
        </w:tc>
      </w:tr>
      <w:tr w:rsidR="00AF18B5" w:rsidRPr="00F878CE" w:rsidTr="00AA6BA0">
        <w:trPr>
          <w:tblCellSpacing w:w="15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Общая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31,2± 2,5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42,3± 3,4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55,3± 3,0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26,7± 2,3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69,1± 3,8</w:t>
            </w:r>
          </w:p>
        </w:tc>
      </w:tr>
    </w:tbl>
    <w:p w:rsidR="00AF18B5" w:rsidRDefault="00AF18B5" w:rsidP="00AF18B5">
      <w:pPr>
        <w:spacing w:before="120"/>
        <w:ind w:firstLine="567"/>
        <w:jc w:val="both"/>
      </w:pPr>
      <w:r>
        <w:t xml:space="preserve"> </w:t>
      </w:r>
      <w:r w:rsidRPr="00F878CE">
        <w:t>Все обнаруженные виды моногеней,</w:t>
      </w:r>
      <w:r>
        <w:t xml:space="preserve"> </w:t>
      </w:r>
      <w:r w:rsidRPr="00F878CE">
        <w:t>кроме</w:t>
      </w:r>
      <w:r>
        <w:t xml:space="preserve"> </w:t>
      </w:r>
      <w:r w:rsidRPr="00F878CE">
        <w:t>Axine</w:t>
      </w:r>
      <w:r>
        <w:t xml:space="preserve"> </w:t>
      </w:r>
      <w:r w:rsidRPr="00F878CE">
        <w:t>belones</w:t>
      </w:r>
      <w:r>
        <w:t xml:space="preserve"> </w:t>
      </w:r>
      <w:r w:rsidRPr="00F878CE">
        <w:t>у</w:t>
      </w:r>
      <w:r>
        <w:t xml:space="preserve"> </w:t>
      </w:r>
      <w:r w:rsidRPr="00F878CE">
        <w:t>E.volitans</w:t>
      </w:r>
      <w:r>
        <w:t xml:space="preserve"> </w:t>
      </w:r>
      <w:r w:rsidRPr="00F878CE">
        <w:t>(Parona, 1902; Palombi, 1949) для исследованных рыб отмечены нами впервые. Пять видов моногеней оказались новыми для науки,</w:t>
      </w:r>
      <w:r>
        <w:t xml:space="preserve"> </w:t>
      </w:r>
      <w:r w:rsidRPr="00F878CE">
        <w:t xml:space="preserve">три из них - представители новых родов (Гиченок, 1974; 1975; 1977; 1979; 1980).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Из 15 обнаруженных видов и форм моногеней 6 представлены только личиночными или ювенильными формами.</w:t>
      </w:r>
      <w:r>
        <w:t xml:space="preserve"> </w:t>
      </w:r>
      <w:r w:rsidRPr="00F878CE">
        <w:t>Относительно по меньшей мере двух личиночных форм (Gastocotylidae</w:t>
      </w:r>
      <w:r>
        <w:t xml:space="preserve"> </w:t>
      </w:r>
      <w:r w:rsidRPr="00F878CE">
        <w:t>gen.sp.I</w:t>
      </w:r>
      <w:r>
        <w:t xml:space="preserve"> </w:t>
      </w:r>
      <w:r w:rsidRPr="00F878CE">
        <w:t>и</w:t>
      </w:r>
      <w:r>
        <w:t xml:space="preserve"> </w:t>
      </w:r>
      <w:r w:rsidRPr="00F878CE">
        <w:t>Gotocotylidae</w:t>
      </w:r>
      <w:r>
        <w:t xml:space="preserve"> </w:t>
      </w:r>
      <w:r w:rsidRPr="00F878CE">
        <w:t>gen.sp.) имеются</w:t>
      </w:r>
      <w:r>
        <w:t xml:space="preserve"> </w:t>
      </w:r>
      <w:r w:rsidRPr="00F878CE">
        <w:t>серьезные основания считать,</w:t>
      </w:r>
      <w:r>
        <w:t xml:space="preserve"> </w:t>
      </w:r>
      <w:r w:rsidRPr="00F878CE">
        <w:t>что на исследованных видах рыб они никогда не достигают половой зрелости.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Анализ зараженности исследованных рыб (табл.2,3) приводит к выводу об относительной бедности</w:t>
      </w:r>
      <w:r>
        <w:t xml:space="preserve"> </w:t>
      </w:r>
      <w:r w:rsidRPr="00F878CE">
        <w:t>населения*</w:t>
      </w:r>
      <w:r>
        <w:t xml:space="preserve"> </w:t>
      </w:r>
      <w:r w:rsidRPr="00F878CE">
        <w:t>моногеней</w:t>
      </w:r>
      <w:r>
        <w:t xml:space="preserve"> </w:t>
      </w:r>
      <w:r w:rsidRPr="00F878CE">
        <w:t>у</w:t>
      </w:r>
      <w:r>
        <w:t xml:space="preserve"> </w:t>
      </w:r>
      <w:r w:rsidRPr="00F878CE">
        <w:t>рыб,</w:t>
      </w:r>
      <w:r>
        <w:t xml:space="preserve"> </w:t>
      </w:r>
      <w:r w:rsidRPr="00F878CE">
        <w:t>принадлежащих</w:t>
      </w:r>
      <w:r>
        <w:t xml:space="preserve"> </w:t>
      </w:r>
      <w:r w:rsidRPr="00F878CE">
        <w:t>к голоэпипелагической группировке. (* Вслед за В.Н.Беклемишевым</w:t>
      </w:r>
      <w:r>
        <w:t xml:space="preserve"> </w:t>
      </w:r>
      <w:r w:rsidRPr="00F878CE">
        <w:t>(1970)</w:t>
      </w:r>
      <w:r>
        <w:t xml:space="preserve"> </w:t>
      </w:r>
      <w:r w:rsidRPr="00F878CE">
        <w:t>под</w:t>
      </w:r>
      <w:r>
        <w:t xml:space="preserve"> </w:t>
      </w:r>
      <w:r w:rsidRPr="00F878CE">
        <w:t>фауной</w:t>
      </w:r>
      <w:r>
        <w:t xml:space="preserve"> </w:t>
      </w:r>
      <w:r w:rsidRPr="00F878CE">
        <w:t>какой-либо единицы среды мы подразумеваем "... просто список видов животных, населяющих эту единицу среды...",</w:t>
      </w:r>
      <w:r>
        <w:t xml:space="preserve"> </w:t>
      </w:r>
      <w:r w:rsidRPr="00F878CE">
        <w:t>а под населением</w:t>
      </w:r>
      <w:r>
        <w:t xml:space="preserve"> </w:t>
      </w:r>
      <w:r w:rsidRPr="00F878CE">
        <w:t>"... реальную совокупность всех находящихся там животных..." При этом население</w:t>
      </w:r>
      <w:r>
        <w:t xml:space="preserve"> </w:t>
      </w:r>
      <w:r w:rsidRPr="00F878CE">
        <w:t>будет определяться "...</w:t>
      </w:r>
      <w:r>
        <w:t xml:space="preserve"> </w:t>
      </w:r>
      <w:r w:rsidRPr="00F878CE">
        <w:t>не только списком видов, входящих в состав этого населения,</w:t>
      </w:r>
      <w:r>
        <w:t xml:space="preserve"> </w:t>
      </w:r>
      <w:r w:rsidRPr="00F878CE">
        <w:t>но также численностью всех составляющих его видовых популяций.")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 значительно</w:t>
      </w:r>
      <w:r>
        <w:t xml:space="preserve"> </w:t>
      </w:r>
      <w:r w:rsidRPr="00F878CE">
        <w:t>меньшей степени это относится к псевдоокеаническому E.viridis</w:t>
      </w:r>
      <w:r>
        <w:t xml:space="preserve"> </w:t>
      </w:r>
      <w:r w:rsidRPr="00F878CE">
        <w:t>и</w:t>
      </w:r>
      <w:r>
        <w:t xml:space="preserve"> </w:t>
      </w:r>
      <w:r w:rsidRPr="00F878CE">
        <w:t>в еще меньшей к неритическому O.c.convexus.</w:t>
      </w:r>
      <w:r>
        <w:t xml:space="preserve"> </w:t>
      </w:r>
      <w:r w:rsidRPr="00F878CE">
        <w:t>Как уже отмечалось,</w:t>
      </w:r>
      <w:r>
        <w:t xml:space="preserve"> </w:t>
      </w:r>
      <w:r w:rsidRPr="00F878CE">
        <w:t>у 3 голоэпипелагических видов скумбрещуковых моногенеи вообще не</w:t>
      </w:r>
      <w:r>
        <w:t xml:space="preserve"> </w:t>
      </w:r>
      <w:r w:rsidRPr="00F878CE">
        <w:t xml:space="preserve">обнаружены.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Кроме</w:t>
      </w:r>
      <w:r>
        <w:t xml:space="preserve"> </w:t>
      </w:r>
      <w:r w:rsidRPr="00F878CE">
        <w:t>того,</w:t>
      </w:r>
      <w:r>
        <w:t xml:space="preserve"> </w:t>
      </w:r>
      <w:r w:rsidRPr="00F878CE">
        <w:t>несмотря</w:t>
      </w:r>
      <w:r>
        <w:t xml:space="preserve"> </w:t>
      </w:r>
      <w:r w:rsidRPr="00F878CE">
        <w:t>на казалось бы значительное число видов и форм моногеней, обнаруженных у зараженных голоэпипелагических</w:t>
      </w:r>
      <w:r>
        <w:t xml:space="preserve"> </w:t>
      </w:r>
      <w:r w:rsidRPr="00F878CE">
        <w:t>рыб (4 у O.m.micropterus,</w:t>
      </w:r>
      <w:r>
        <w:t xml:space="preserve"> </w:t>
      </w:r>
      <w:r w:rsidRPr="00F878CE">
        <w:t>5 у E.monocirrhus,</w:t>
      </w:r>
      <w:r>
        <w:t xml:space="preserve"> </w:t>
      </w:r>
      <w:r w:rsidRPr="00F878CE">
        <w:t>9 у</w:t>
      </w:r>
      <w:r>
        <w:t xml:space="preserve"> </w:t>
      </w:r>
      <w:r w:rsidRPr="00F878CE">
        <w:t>E.volitans) среди них нет ни одного, для которого эти рыбы являлись бы основными хозяевами. В самом деле, у перечисленных видов рыб наиболее массовыми являются личиночные формы моногеней, неспособные</w:t>
      </w:r>
      <w:r>
        <w:t xml:space="preserve"> </w:t>
      </w:r>
      <w:r w:rsidRPr="00F878CE">
        <w:t>завершать на этих рыбах свое развитие.</w:t>
      </w:r>
      <w:r>
        <w:t xml:space="preserve"> </w:t>
      </w:r>
      <w:r w:rsidRPr="00F878CE">
        <w:t>Остальные виды моногеней представлены либо единичными находками,</w:t>
      </w:r>
      <w:r>
        <w:t xml:space="preserve"> </w:t>
      </w:r>
      <w:r w:rsidRPr="00F878CE">
        <w:t>либо их</w:t>
      </w:r>
      <w:r>
        <w:t xml:space="preserve"> </w:t>
      </w:r>
      <w:r w:rsidRPr="00F878CE">
        <w:t>экстенсивность</w:t>
      </w:r>
      <w:r>
        <w:t xml:space="preserve"> </w:t>
      </w:r>
      <w:r w:rsidRPr="00F878CE">
        <w:t>инвазии</w:t>
      </w:r>
      <w:r>
        <w:t xml:space="preserve"> </w:t>
      </w:r>
      <w:r w:rsidRPr="00F878CE">
        <w:t>не</w:t>
      </w:r>
      <w:r>
        <w:t xml:space="preserve"> </w:t>
      </w:r>
      <w:r w:rsidRPr="00F878CE">
        <w:t>превышает</w:t>
      </w:r>
      <w:r>
        <w:t xml:space="preserve"> </w:t>
      </w:r>
      <w:r w:rsidRPr="00F878CE">
        <w:t>2%</w:t>
      </w:r>
      <w:r>
        <w:t xml:space="preserve"> </w:t>
      </w:r>
      <w:r w:rsidRPr="00F878CE">
        <w:t>(только</w:t>
      </w:r>
      <w:r>
        <w:t xml:space="preserve"> </w:t>
      </w:r>
      <w:r w:rsidRPr="00F878CE">
        <w:t>встречаемость Gyrodactylus exocoeti на E.monocirrhus достигает 7,2%).</w:t>
      </w:r>
      <w:r>
        <w:t xml:space="preserve"> </w:t>
      </w:r>
      <w:r w:rsidRPr="00F878CE">
        <w:t>Вероятнее</w:t>
      </w:r>
      <w:r>
        <w:t xml:space="preserve"> </w:t>
      </w:r>
      <w:r w:rsidRPr="00F878CE">
        <w:t>всего</w:t>
      </w:r>
      <w:r>
        <w:t xml:space="preserve"> </w:t>
      </w:r>
      <w:r w:rsidRPr="00F878CE">
        <w:t>они</w:t>
      </w:r>
      <w:r>
        <w:t xml:space="preserve"> </w:t>
      </w:r>
      <w:r w:rsidRPr="00F878CE">
        <w:t>являются</w:t>
      </w:r>
      <w:r>
        <w:t xml:space="preserve"> </w:t>
      </w:r>
      <w:r w:rsidRPr="00F878CE">
        <w:t>для данных хозяев случайными или,</w:t>
      </w:r>
      <w:r>
        <w:t xml:space="preserve"> </w:t>
      </w:r>
      <w:r w:rsidRPr="00F878CE">
        <w:t>по крайней мере, редкими видами паразитов.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Индексы обилия обнаруженных у этих рыб видов и форм моногеней столь незначительны (табл.3),</w:t>
      </w:r>
      <w:r>
        <w:t xml:space="preserve"> </w:t>
      </w:r>
      <w:r w:rsidRPr="00F878CE">
        <w:t>а сами хозяева настолько рассредоточены в</w:t>
      </w:r>
      <w:r>
        <w:t xml:space="preserve"> </w:t>
      </w:r>
      <w:r w:rsidRPr="00F878CE">
        <w:t>пелагиали</w:t>
      </w:r>
      <w:r>
        <w:t xml:space="preserve"> </w:t>
      </w:r>
      <w:r w:rsidRPr="00F878CE">
        <w:t>открытого океана,</w:t>
      </w:r>
      <w:r>
        <w:t xml:space="preserve"> </w:t>
      </w:r>
      <w:r w:rsidRPr="00F878CE">
        <w:t>что возможность самовоспроизводства, достаточного для сохранения конкретного вида моногеней только за счет этих хозяев кажется весьма сомнительной.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 xml:space="preserve">Таблица 3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Индексы обилия отдельных видов и форм моногеней у исследованных видов рыб (экз.)</w:t>
      </w:r>
    </w:p>
    <w:tbl>
      <w:tblPr>
        <w:tblW w:w="5000" w:type="pct"/>
        <w:tblCellSpacing w:w="15" w:type="dxa"/>
        <w:tblInd w:w="-6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8"/>
        <w:gridCol w:w="573"/>
        <w:gridCol w:w="838"/>
        <w:gridCol w:w="631"/>
        <w:gridCol w:w="879"/>
        <w:gridCol w:w="493"/>
        <w:gridCol w:w="839"/>
        <w:gridCol w:w="717"/>
        <w:gridCol w:w="1000"/>
        <w:gridCol w:w="576"/>
        <w:gridCol w:w="854"/>
      </w:tblGrid>
      <w:tr w:rsidR="00AF18B5" w:rsidRPr="00F878CE" w:rsidTr="00AA6BA0">
        <w:trPr>
          <w:tblCellSpacing w:w="15" w:type="dxa"/>
        </w:trPr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Виды рыб</w:t>
            </w:r>
          </w:p>
        </w:tc>
        <w:tc>
          <w:tcPr>
            <w:tcW w:w="7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E.volitans </w:t>
            </w: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E.monocirrhus</w:t>
            </w:r>
          </w:p>
        </w:tc>
        <w:tc>
          <w:tcPr>
            <w:tcW w:w="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E.viridis</w:t>
            </w:r>
            <w:r>
              <w:t xml:space="preserve"> </w:t>
            </w:r>
          </w:p>
        </w:tc>
        <w:tc>
          <w:tcPr>
            <w:tcW w:w="8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>O.m.micropterus</w:t>
            </w:r>
            <w:r>
              <w:t xml:space="preserve"> </w:t>
            </w:r>
          </w:p>
        </w:tc>
        <w:tc>
          <w:tcPr>
            <w:tcW w:w="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O.c.convexus </w:t>
            </w:r>
          </w:p>
        </w:tc>
      </w:tr>
      <w:tr w:rsidR="00AF18B5" w:rsidRPr="00F878CE" w:rsidTr="00AA6BA0">
        <w:trPr>
          <w:tblCellSpacing w:w="15" w:type="dxa"/>
        </w:trPr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Виды моногеней 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B5" w:rsidRPr="00F878CE" w:rsidRDefault="00AF18B5" w:rsidP="00AA6BA0">
            <w:r w:rsidRPr="00F878CE">
              <w:t xml:space="preserve"> </w:t>
            </w:r>
          </w:p>
        </w:tc>
      </w:tr>
      <w:tr w:rsidR="00AF18B5" w:rsidRPr="00F878CE" w:rsidTr="00AA6BA0">
        <w:trPr>
          <w:tblCellSpacing w:w="15" w:type="dxa"/>
        </w:trPr>
        <w:tc>
          <w:tcPr>
            <w:tcW w:w="1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Capsala sp.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Gyrodactylus exocoeti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Axine yamaguti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Axine belones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Axine parini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Diplaxine popovae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Axinoides cola0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Monaxininae gen sp.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Irinaxine miniata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Cypselurobranchitrema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spilonotopteri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Quadrivalvula asymmetrica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Gastrocotylidae gen.sp.I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Gastrocotylidae gen.sp.III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Gotocotylidae gen.sp. </w:t>
            </w:r>
          </w:p>
          <w:p w:rsidR="00AF18B5" w:rsidRPr="00F878CE" w:rsidRDefault="00AF18B5" w:rsidP="00AA6BA0">
            <w:pPr>
              <w:rPr>
                <w:lang w:val="en-US"/>
              </w:rPr>
            </w:pPr>
            <w:r w:rsidRPr="00F878CE">
              <w:rPr>
                <w:lang w:val="en-US"/>
              </w:rPr>
              <w:t xml:space="preserve">Monogenea gen.sp. 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0-4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0-6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0-27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0-94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0,003 </w:t>
            </w:r>
          </w:p>
          <w:p w:rsidR="00AF18B5" w:rsidRPr="00F878CE" w:rsidRDefault="00AF18B5" w:rsidP="00AA6BA0">
            <w:r w:rsidRPr="00F878CE">
              <w:t xml:space="preserve">0,015 </w:t>
            </w:r>
          </w:p>
          <w:p w:rsidR="00AF18B5" w:rsidRPr="00F878CE" w:rsidRDefault="00AF18B5" w:rsidP="00AA6BA0">
            <w:r w:rsidRPr="00F878CE">
              <w:t xml:space="preserve">0,003 </w:t>
            </w:r>
          </w:p>
          <w:p w:rsidR="00AF18B5" w:rsidRPr="00F878CE" w:rsidRDefault="00AF18B5" w:rsidP="00AA6BA0">
            <w:r w:rsidRPr="00F878CE">
              <w:t xml:space="preserve">0,050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0,003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0,003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0,390 </w:t>
            </w:r>
          </w:p>
          <w:p w:rsidR="00AF18B5" w:rsidRPr="00F878CE" w:rsidRDefault="00AF18B5" w:rsidP="00AA6BA0">
            <w:r w:rsidRPr="00F878CE">
              <w:t xml:space="preserve">0,010 </w:t>
            </w:r>
          </w:p>
          <w:p w:rsidR="00AF18B5" w:rsidRPr="00F878CE" w:rsidRDefault="00AF18B5" w:rsidP="00AA6BA0">
            <w:r w:rsidRPr="00F878CE">
              <w:t xml:space="preserve">0,830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>
              <w:t xml:space="preserve"> </w:t>
            </w:r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0-397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0-55 </w:t>
            </w:r>
          </w:p>
          <w:p w:rsidR="00AF18B5" w:rsidRPr="00F878CE" w:rsidRDefault="00AF18B5" w:rsidP="00AA6BA0">
            <w:r w:rsidRPr="00F878CE">
              <w:t xml:space="preserve">0-3 </w:t>
            </w:r>
          </w:p>
          <w:p w:rsidR="00AF18B5" w:rsidRPr="00F878CE" w:rsidRDefault="00AF18B5" w:rsidP="00AA6BA0">
            <w:r w:rsidRPr="00F878CE">
              <w:t xml:space="preserve">0-23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4,22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0,005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1,530 </w:t>
            </w:r>
          </w:p>
          <w:p w:rsidR="00AF18B5" w:rsidRPr="00F878CE" w:rsidRDefault="00AF18B5" w:rsidP="00AA6BA0">
            <w:r w:rsidRPr="00F878CE">
              <w:t xml:space="preserve">0,060 </w:t>
            </w:r>
          </w:p>
          <w:p w:rsidR="00AF18B5" w:rsidRPr="00F878CE" w:rsidRDefault="00AF18B5" w:rsidP="00AA6BA0">
            <w:r w:rsidRPr="00F878CE">
              <w:t xml:space="preserve">0,810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0-16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0-73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0-13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1,180 </w:t>
            </w:r>
          </w:p>
          <w:p w:rsidR="00AF18B5" w:rsidRPr="00F878CE" w:rsidRDefault="00AF18B5" w:rsidP="00AA6BA0">
            <w:r w:rsidRPr="00F878CE">
              <w:t xml:space="preserve">0,007 </w:t>
            </w:r>
          </w:p>
          <w:p w:rsidR="00AF18B5" w:rsidRPr="00F878CE" w:rsidRDefault="00AF18B5" w:rsidP="00AA6BA0">
            <w:r w:rsidRPr="00F878CE">
              <w:t xml:space="preserve">0,140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1,303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0,130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0-2 </w:t>
            </w:r>
          </w:p>
          <w:p w:rsidR="00AF18B5" w:rsidRPr="00F878CE" w:rsidRDefault="00AF18B5" w:rsidP="00AA6BA0">
            <w:r w:rsidRPr="00F878CE">
              <w:t xml:space="preserve">0-54 </w:t>
            </w:r>
          </w:p>
          <w:p w:rsidR="00AF18B5" w:rsidRPr="00F878CE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0-22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0,0170 </w:t>
            </w:r>
          </w:p>
          <w:p w:rsidR="00AF18B5" w:rsidRPr="00F878CE" w:rsidRDefault="00AF18B5" w:rsidP="00AA6BA0">
            <w:r w:rsidRPr="00F878CE">
              <w:t xml:space="preserve">0,340 </w:t>
            </w:r>
          </w:p>
          <w:p w:rsidR="00AF18B5" w:rsidRPr="00F878CE" w:rsidRDefault="00AF18B5" w:rsidP="00AA6BA0">
            <w:r w:rsidRPr="00F878CE">
              <w:t xml:space="preserve">0,008 </w:t>
            </w:r>
          </w:p>
          <w:p w:rsidR="00AF18B5" w:rsidRPr="00F878CE" w:rsidRDefault="00AF18B5" w:rsidP="00AA6BA0">
            <w:r w:rsidRPr="00F878CE">
              <w:t xml:space="preserve">1,630 </w:t>
            </w:r>
          </w:p>
          <w:p w:rsidR="00AF18B5" w:rsidRPr="00F878CE" w:rsidRDefault="00AF18B5" w:rsidP="00AA6BA0">
            <w:r w:rsidRPr="00F878CE">
              <w:t xml:space="preserve">0 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0-6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0-1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0-5 </w:t>
            </w:r>
          </w:p>
          <w:p w:rsidR="00AF18B5" w:rsidRPr="00F878CE" w:rsidRDefault="00AF18B5" w:rsidP="00AA6BA0">
            <w:r w:rsidRPr="00F878CE">
              <w:t xml:space="preserve">0-208 </w:t>
            </w:r>
          </w:p>
          <w:p w:rsidR="00AF18B5" w:rsidRPr="00F878CE" w:rsidRDefault="00AF18B5" w:rsidP="00AA6BA0">
            <w:r w:rsidRPr="00F878CE">
              <w:t xml:space="preserve">0-36 </w:t>
            </w:r>
          </w:p>
          <w:p w:rsidR="00AF18B5" w:rsidRPr="00F878CE" w:rsidRDefault="00AF18B5" w:rsidP="00AA6BA0">
            <w:r w:rsidRPr="00F878CE">
              <w:t xml:space="preserve">0-4 </w:t>
            </w:r>
          </w:p>
          <w:p w:rsidR="00AF18B5" w:rsidRPr="00F878CE" w:rsidRDefault="00AF18B5" w:rsidP="00AA6BA0">
            <w:r w:rsidRPr="00F878CE">
              <w:t xml:space="preserve">0-3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0,14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Default="00AF18B5" w:rsidP="00AA6BA0">
            <w:r w:rsidRPr="00F878CE">
              <w:t xml:space="preserve">0,060 </w:t>
            </w:r>
          </w:p>
          <w:p w:rsidR="00AF18B5" w:rsidRPr="00F878CE" w:rsidRDefault="00AF18B5" w:rsidP="00AA6BA0">
            <w:r w:rsidRPr="00F878CE">
              <w:t xml:space="preserve">0 </w:t>
            </w:r>
          </w:p>
          <w:p w:rsidR="00AF18B5" w:rsidRPr="00F878CE" w:rsidRDefault="00AF18B5" w:rsidP="00AA6BA0">
            <w:r w:rsidRPr="00F878CE">
              <w:t xml:space="preserve">0,340 </w:t>
            </w:r>
          </w:p>
          <w:p w:rsidR="00AF18B5" w:rsidRPr="00F878CE" w:rsidRDefault="00AF18B5" w:rsidP="00AA6BA0">
            <w:r w:rsidRPr="00F878CE">
              <w:t xml:space="preserve">7,980 </w:t>
            </w:r>
          </w:p>
          <w:p w:rsidR="00AF18B5" w:rsidRPr="00F878CE" w:rsidRDefault="00AF18B5" w:rsidP="00AA6BA0">
            <w:r w:rsidRPr="00F878CE">
              <w:t xml:space="preserve">0,650 </w:t>
            </w:r>
          </w:p>
          <w:p w:rsidR="00AF18B5" w:rsidRPr="00F878CE" w:rsidRDefault="00AF18B5" w:rsidP="00AA6BA0">
            <w:r w:rsidRPr="00F878CE">
              <w:t xml:space="preserve">0,170 </w:t>
            </w:r>
          </w:p>
          <w:p w:rsidR="00AF18B5" w:rsidRPr="00F878CE" w:rsidRDefault="00AF18B5" w:rsidP="00AA6BA0">
            <w:r w:rsidRPr="00F878CE">
              <w:t xml:space="preserve">0,080 </w:t>
            </w:r>
          </w:p>
        </w:tc>
      </w:tr>
    </w:tbl>
    <w:p w:rsidR="00AF18B5" w:rsidRDefault="00AF18B5" w:rsidP="00AF18B5">
      <w:pPr>
        <w:spacing w:before="120"/>
        <w:ind w:firstLine="567"/>
        <w:jc w:val="both"/>
      </w:pPr>
      <w:r w:rsidRPr="00F878CE">
        <w:t>Что касается</w:t>
      </w:r>
      <w:r>
        <w:t xml:space="preserve"> </w:t>
      </w:r>
      <w:r w:rsidRPr="00F878CE">
        <w:t>псевдоокеанических и</w:t>
      </w:r>
      <w:r>
        <w:t xml:space="preserve"> </w:t>
      </w:r>
      <w:r w:rsidRPr="00F878CE">
        <w:t>неритических</w:t>
      </w:r>
      <w:r>
        <w:t xml:space="preserve"> </w:t>
      </w:r>
      <w:r w:rsidRPr="00F878CE">
        <w:t>видов</w:t>
      </w:r>
      <w:r>
        <w:t xml:space="preserve"> </w:t>
      </w:r>
      <w:r w:rsidRPr="00F878CE">
        <w:t>рыб (E.viridis и O.c.convexus),</w:t>
      </w:r>
      <w:r>
        <w:t xml:space="preserve"> </w:t>
      </w:r>
      <w:r w:rsidRPr="00F878CE">
        <w:t>то кроме личиночных форм и более или менее редких видов каждый из них имеет хотя бы по одному виду моногеней,</w:t>
      </w:r>
      <w:r>
        <w:t xml:space="preserve"> </w:t>
      </w:r>
      <w:r w:rsidRPr="00F878CE">
        <w:t>достигающему</w:t>
      </w:r>
      <w:r>
        <w:t xml:space="preserve"> </w:t>
      </w:r>
      <w:r w:rsidRPr="00F878CE">
        <w:t>на</w:t>
      </w:r>
      <w:r>
        <w:t xml:space="preserve"> </w:t>
      </w:r>
      <w:r w:rsidRPr="00F878CE">
        <w:t>них половой зрелости при значительной численности. Так например, экстенсивность инвазии E.viridis моногенеей A.parini достигает 41,5%</w:t>
      </w:r>
      <w:r>
        <w:t xml:space="preserve"> </w:t>
      </w:r>
      <w:r w:rsidRPr="00F878CE">
        <w:t>(индекс обилия 1,18);</w:t>
      </w:r>
      <w:r>
        <w:t xml:space="preserve"> </w:t>
      </w:r>
      <w:r w:rsidRPr="00F878CE">
        <w:t>встречаемость Q.asymmetrica на O.c.convexus составляет 20,1% (индекс обилия - 0,34).</w:t>
      </w:r>
    </w:p>
    <w:p w:rsidR="00AF18B5" w:rsidRPr="00F878CE" w:rsidRDefault="00AF18B5" w:rsidP="00AF18B5">
      <w:pPr>
        <w:spacing w:before="120"/>
        <w:jc w:val="center"/>
        <w:rPr>
          <w:b/>
          <w:bCs/>
          <w:sz w:val="28"/>
          <w:szCs w:val="28"/>
        </w:rPr>
      </w:pPr>
      <w:r w:rsidRPr="00F878CE">
        <w:rPr>
          <w:b/>
          <w:bCs/>
          <w:sz w:val="28"/>
          <w:szCs w:val="28"/>
        </w:rPr>
        <w:t>Гипотеза о происхождении эпипелагической фауны мононгеней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Приведенные выше данные</w:t>
      </w:r>
      <w:r>
        <w:t xml:space="preserve"> </w:t>
      </w:r>
      <w:r w:rsidRPr="00F878CE">
        <w:t>позволяют</w:t>
      </w:r>
      <w:r>
        <w:t xml:space="preserve"> </w:t>
      </w:r>
      <w:r w:rsidRPr="00F878CE">
        <w:t>заключить,</w:t>
      </w:r>
      <w:r>
        <w:t xml:space="preserve"> </w:t>
      </w:r>
      <w:r w:rsidRPr="00F878CE">
        <w:t>что</w:t>
      </w:r>
      <w:r>
        <w:t xml:space="preserve"> </w:t>
      </w:r>
      <w:r w:rsidRPr="00F878CE">
        <w:t>океанические (голоэпипелагические) рыбы в отличие от псевдоокеанических и</w:t>
      </w:r>
      <w:r>
        <w:t xml:space="preserve"> </w:t>
      </w:r>
      <w:r w:rsidRPr="00F878CE">
        <w:t>неритических практически не имеют моногеней, для которых они служили бы основными хозяевами.</w:t>
      </w:r>
      <w:r>
        <w:t xml:space="preserve"> </w:t>
      </w:r>
      <w:r w:rsidRPr="00F878CE">
        <w:t xml:space="preserve">Такое положение не может быть случайным, и объяснение ему , по-видимому, надо искать в истории формирования фауны моногеней океанской эпипелагиали в целом.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Согласно представлениям Б.Е.Быховского</w:t>
      </w:r>
      <w:r>
        <w:t xml:space="preserve"> </w:t>
      </w:r>
      <w:r w:rsidRPr="00F878CE">
        <w:t>(1957)</w:t>
      </w:r>
      <w:r>
        <w:t xml:space="preserve"> </w:t>
      </w:r>
      <w:r w:rsidRPr="00F878CE">
        <w:t>"колыбелью" моногеней</w:t>
      </w:r>
      <w:r>
        <w:t xml:space="preserve"> </w:t>
      </w:r>
      <w:r w:rsidRPr="00F878CE">
        <w:t>следует считать континентальные водоемы.</w:t>
      </w:r>
      <w:r>
        <w:t xml:space="preserve"> </w:t>
      </w:r>
      <w:r w:rsidRPr="00F878CE">
        <w:t>Возможен ли был переход предков мононегенй к паразитизму,</w:t>
      </w:r>
      <w:r>
        <w:t xml:space="preserve"> </w:t>
      </w:r>
      <w:r w:rsidRPr="00F878CE">
        <w:t>а значит,</w:t>
      </w:r>
      <w:r>
        <w:t xml:space="preserve"> </w:t>
      </w:r>
      <w:r w:rsidRPr="00F878CE">
        <w:t>и становление</w:t>
      </w:r>
      <w:r>
        <w:t xml:space="preserve"> </w:t>
      </w:r>
      <w:r w:rsidRPr="00F878CE">
        <w:t>моногеней как группы,</w:t>
      </w:r>
      <w:r>
        <w:t xml:space="preserve"> </w:t>
      </w:r>
      <w:r w:rsidRPr="00F878CE">
        <w:t>не только в пресноводных континентальных водоемах,</w:t>
      </w:r>
      <w:r>
        <w:t xml:space="preserve"> </w:t>
      </w:r>
      <w:r w:rsidRPr="00F878CE">
        <w:t>но и в море?</w:t>
      </w:r>
      <w:r>
        <w:t xml:space="preserve"> </w:t>
      </w:r>
      <w:r w:rsidRPr="00F878CE">
        <w:t>Или моногенеи,</w:t>
      </w:r>
      <w:r>
        <w:t xml:space="preserve"> </w:t>
      </w:r>
      <w:r w:rsidRPr="00F878CE">
        <w:t>возникнув</w:t>
      </w:r>
      <w:r>
        <w:t xml:space="preserve"> </w:t>
      </w:r>
      <w:r w:rsidRPr="00F878CE">
        <w:t>в</w:t>
      </w:r>
      <w:r>
        <w:t xml:space="preserve"> </w:t>
      </w:r>
      <w:r w:rsidRPr="00F878CE">
        <w:t>пресноводных водоемах,</w:t>
      </w:r>
      <w:r>
        <w:t xml:space="preserve"> </w:t>
      </w:r>
      <w:r w:rsidRPr="00F878CE">
        <w:t>лишь потом перешли в морскую среду?</w:t>
      </w:r>
      <w:r>
        <w:t xml:space="preserve"> </w:t>
      </w:r>
      <w:r w:rsidRPr="00F878CE">
        <w:t>Однозначно ответить на эти вопросы сейчас не</w:t>
      </w:r>
      <w:r>
        <w:t xml:space="preserve"> </w:t>
      </w:r>
      <w:r w:rsidRPr="00F878CE">
        <w:t>представляется</w:t>
      </w:r>
      <w:r>
        <w:t xml:space="preserve"> </w:t>
      </w:r>
      <w:r w:rsidRPr="00F878CE">
        <w:t>возможным, в частности потому, что неизвестно, могли ли далиеллидообразные</w:t>
      </w:r>
      <w:r>
        <w:t xml:space="preserve"> </w:t>
      </w:r>
      <w:r w:rsidRPr="00F878CE">
        <w:t>предки</w:t>
      </w:r>
      <w:r>
        <w:t xml:space="preserve"> </w:t>
      </w:r>
      <w:r w:rsidRPr="00F878CE">
        <w:t>моногеней</w:t>
      </w:r>
      <w:r>
        <w:t xml:space="preserve"> </w:t>
      </w:r>
      <w:r w:rsidRPr="00F878CE">
        <w:t>обитать</w:t>
      </w:r>
      <w:r>
        <w:t xml:space="preserve"> </w:t>
      </w:r>
      <w:r w:rsidRPr="00F878CE">
        <w:t>в</w:t>
      </w:r>
      <w:r>
        <w:t xml:space="preserve"> </w:t>
      </w:r>
      <w:r w:rsidRPr="00F878CE">
        <w:t>море.</w:t>
      </w:r>
      <w:r>
        <w:t xml:space="preserve"> </w:t>
      </w:r>
      <w:r w:rsidRPr="00F878CE">
        <w:t>Современные Dalyellidae почти исключительно пресноводные формы, что, однако, нельзя считать бесспорным свидетельством невозможности</w:t>
      </w:r>
      <w:r>
        <w:t xml:space="preserve"> </w:t>
      </w:r>
      <w:r w:rsidRPr="00F878CE">
        <w:t>обитания их предков в море. Во всяком случае, категорически отрицать саму возможность возникновения моногеней в море,</w:t>
      </w:r>
      <w:r>
        <w:t xml:space="preserve"> </w:t>
      </w:r>
      <w:r w:rsidRPr="00F878CE">
        <w:t>по-видимому нельзя.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Бесспорным кажется одно: возникновение моногеней было невозможно в океанской эпипелагиали.</w:t>
      </w:r>
      <w:r>
        <w:t xml:space="preserve"> </w:t>
      </w:r>
      <w:r w:rsidRPr="00F878CE">
        <w:t>Если оно и имело место в</w:t>
      </w:r>
      <w:r>
        <w:t xml:space="preserve"> </w:t>
      </w:r>
      <w:r w:rsidRPr="00F878CE">
        <w:t>океане,</w:t>
      </w:r>
      <w:r>
        <w:t xml:space="preserve"> </w:t>
      </w:r>
      <w:r w:rsidRPr="00F878CE">
        <w:t>то происходило,</w:t>
      </w:r>
      <w:r>
        <w:t xml:space="preserve"> </w:t>
      </w:r>
      <w:r w:rsidRPr="00F878CE">
        <w:t>несомненно, в неритической зоне вблизи дна. Только в этом случае был возможен необходимый для</w:t>
      </w:r>
      <w:r>
        <w:t xml:space="preserve"> </w:t>
      </w:r>
      <w:r w:rsidRPr="00F878CE">
        <w:t>возникновения</w:t>
      </w:r>
      <w:r>
        <w:t xml:space="preserve"> </w:t>
      </w:r>
      <w:r w:rsidRPr="00F878CE">
        <w:t>новой биоценотической</w:t>
      </w:r>
      <w:r>
        <w:t xml:space="preserve"> </w:t>
      </w:r>
      <w:r w:rsidRPr="00F878CE">
        <w:t>пары контакт между донными предками моногеней и их будущими хозяевами - рыбами.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Если даже</w:t>
      </w:r>
      <w:r>
        <w:t xml:space="preserve"> </w:t>
      </w:r>
      <w:r w:rsidRPr="00F878CE">
        <w:t>моногенеи как обособленная группа сформировались</w:t>
      </w:r>
      <w:r>
        <w:t xml:space="preserve"> </w:t>
      </w:r>
      <w:r w:rsidRPr="00F878CE">
        <w:t>в пресноводных континентальных водоемах, и морская среда для них вторична,</w:t>
      </w:r>
      <w:r>
        <w:t xml:space="preserve"> </w:t>
      </w:r>
      <w:r w:rsidRPr="00F878CE">
        <w:t>ее освоение моногенеи могли начать только с опресненных районов неритической зоны.</w:t>
      </w:r>
      <w:r>
        <w:t xml:space="preserve"> </w:t>
      </w:r>
      <w:r w:rsidRPr="00F878CE">
        <w:t>В любом случае</w:t>
      </w:r>
      <w:r>
        <w:t xml:space="preserve"> </w:t>
      </w:r>
      <w:r w:rsidRPr="00F878CE">
        <w:t>исходной</w:t>
      </w:r>
      <w:r>
        <w:t xml:space="preserve"> </w:t>
      </w:r>
      <w:r w:rsidRPr="00F878CE">
        <w:t>средой обитания моногеней в океане, по-видимому, является неритическая зона. В океанскую эпипелагиаль они могли вселиться лишь позднее и</w:t>
      </w:r>
      <w:r>
        <w:t xml:space="preserve"> </w:t>
      </w:r>
      <w:r w:rsidRPr="00F878CE">
        <w:t>только</w:t>
      </w:r>
      <w:r>
        <w:t xml:space="preserve"> </w:t>
      </w:r>
      <w:r w:rsidRPr="00F878CE">
        <w:t>со своими хозяевами.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Согласно существующим представлениям (Быховский, 1957) исторически первыми хозяевами моногеней были какие-то</w:t>
      </w:r>
      <w:r>
        <w:t xml:space="preserve"> </w:t>
      </w:r>
      <w:r w:rsidRPr="00F878CE">
        <w:t>древние</w:t>
      </w:r>
      <w:r>
        <w:t xml:space="preserve"> </w:t>
      </w:r>
      <w:r w:rsidRPr="00F878CE">
        <w:t>рыбы, скорее всего</w:t>
      </w:r>
      <w:r>
        <w:t xml:space="preserve"> </w:t>
      </w:r>
      <w:r w:rsidRPr="00F878CE">
        <w:t>относящиеся</w:t>
      </w:r>
      <w:r>
        <w:t xml:space="preserve"> </w:t>
      </w:r>
      <w:r w:rsidRPr="00F878CE">
        <w:t>к группе селахий.</w:t>
      </w:r>
      <w:r>
        <w:t xml:space="preserve"> </w:t>
      </w:r>
      <w:r w:rsidRPr="00F878CE">
        <w:t>Так как подавляющее большинство современных моногеней паразитирует только</w:t>
      </w:r>
      <w:r>
        <w:t xml:space="preserve"> </w:t>
      </w:r>
      <w:r w:rsidRPr="00F878CE">
        <w:t>на</w:t>
      </w:r>
      <w:r>
        <w:t xml:space="preserve"> </w:t>
      </w:r>
      <w:r w:rsidRPr="00F878CE">
        <w:t>рыбах, вряд ли будет преувеличением полагать, что не только историческое возникновение ,</w:t>
      </w:r>
      <w:r>
        <w:t xml:space="preserve"> </w:t>
      </w:r>
      <w:r w:rsidRPr="00F878CE">
        <w:t>но и вся дальнейшая эволюция</w:t>
      </w:r>
      <w:r>
        <w:t xml:space="preserve"> </w:t>
      </w:r>
      <w:r w:rsidRPr="00F878CE">
        <w:t>моногеней</w:t>
      </w:r>
      <w:r>
        <w:t xml:space="preserve"> </w:t>
      </w:r>
      <w:r w:rsidRPr="00F878CE">
        <w:t>связана почти исключительно с рыбами.</w:t>
      </w:r>
      <w:r>
        <w:t xml:space="preserve"> </w:t>
      </w:r>
      <w:r w:rsidRPr="00F878CE">
        <w:t>Следовательно, формирование эпипелагического комплекса моногеней</w:t>
      </w:r>
      <w:r>
        <w:t xml:space="preserve"> </w:t>
      </w:r>
      <w:r w:rsidRPr="00F878CE">
        <w:t>должно</w:t>
      </w:r>
      <w:r>
        <w:t xml:space="preserve"> </w:t>
      </w:r>
      <w:r w:rsidRPr="00F878CE">
        <w:t>быть</w:t>
      </w:r>
      <w:r>
        <w:t xml:space="preserve"> </w:t>
      </w:r>
      <w:r w:rsidRPr="00F878CE">
        <w:t>теснейшим</w:t>
      </w:r>
      <w:r>
        <w:t xml:space="preserve"> </w:t>
      </w:r>
      <w:r w:rsidRPr="00F878CE">
        <w:t>образом связано с формированием ихтиофауны океанской эпипелагиали.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По мнению Н.В.Парина (1968) современная эпипелагическая фауна рыб имеет в основном неритическое происхождение. Заселение пелагиали открытого океана исходно неритическими рыбами происходило неоднократно: на</w:t>
      </w:r>
      <w:r>
        <w:t xml:space="preserve"> </w:t>
      </w:r>
      <w:r w:rsidRPr="00F878CE">
        <w:t>протяжении геологической истории океана существовало по меньшей мере три волны вселенцев.</w:t>
      </w:r>
      <w:r>
        <w:t xml:space="preserve"> </w:t>
      </w:r>
      <w:r w:rsidRPr="00F878CE">
        <w:t>Первыми</w:t>
      </w:r>
      <w:r>
        <w:t xml:space="preserve"> </w:t>
      </w:r>
      <w:r w:rsidRPr="00F878CE">
        <w:t>в</w:t>
      </w:r>
      <w:r>
        <w:t xml:space="preserve"> </w:t>
      </w:r>
      <w:r w:rsidRPr="00F878CE">
        <w:t>открытый океан вышли древние хрящевые рыбы,</w:t>
      </w:r>
      <w:r>
        <w:t xml:space="preserve"> </w:t>
      </w:r>
      <w:r w:rsidRPr="00F878CE">
        <w:t>затем низшие Teleostei и, наконец, более высокоорганизованные колючеперые.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Все сказанное позволяет предполагать,</w:t>
      </w:r>
      <w:r>
        <w:t xml:space="preserve"> </w:t>
      </w:r>
      <w:r w:rsidRPr="00F878CE">
        <w:t>что современная эпипелагическая фауна моногеней имеет неритическое происхождение и, что на ее формирование существенное влияние должно было</w:t>
      </w:r>
      <w:r>
        <w:t xml:space="preserve"> </w:t>
      </w:r>
      <w:r w:rsidRPr="00F878CE">
        <w:t>оказать периодическое заселение эпипелагиали разными группами рыб, вместе с которыми фауна моногеней этой зоны пополнялась новыми</w:t>
      </w:r>
      <w:r>
        <w:t xml:space="preserve"> </w:t>
      </w:r>
      <w:r w:rsidRPr="00F878CE">
        <w:t>элементами.</w:t>
      </w:r>
      <w:r>
        <w:t xml:space="preserve"> </w:t>
      </w:r>
      <w:r w:rsidRPr="00F878CE">
        <w:t>Таким образом, эпипелагическая фауна моногеней, представляя собой дериват неритической, значительно моложе последней.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Кроме того известно, что эпипелагиаль характеризуется значительной однородностью условий , в силу чего по разнообразию экологических</w:t>
      </w:r>
      <w:r>
        <w:t xml:space="preserve"> </w:t>
      </w:r>
      <w:r w:rsidRPr="00F878CE">
        <w:t>ниш</w:t>
      </w:r>
      <w:r>
        <w:t xml:space="preserve"> </w:t>
      </w:r>
      <w:r w:rsidRPr="00F878CE">
        <w:t>она</w:t>
      </w:r>
      <w:r>
        <w:t xml:space="preserve"> </w:t>
      </w:r>
      <w:r w:rsidRPr="00F878CE">
        <w:t>сильно</w:t>
      </w:r>
      <w:r>
        <w:t xml:space="preserve"> </w:t>
      </w:r>
      <w:r w:rsidRPr="00F878CE">
        <w:t>уступает неритическим биотопам.</w:t>
      </w:r>
      <w:r>
        <w:t xml:space="preserve"> </w:t>
      </w:r>
      <w:r w:rsidRPr="00F878CE">
        <w:t>Можно предполагать поэтому, что эпипелагическая фауна моногеней должна характеризоваться</w:t>
      </w:r>
      <w:r>
        <w:t xml:space="preserve"> </w:t>
      </w:r>
      <w:r w:rsidRPr="00F878CE">
        <w:t>невысоким</w:t>
      </w:r>
      <w:r>
        <w:t xml:space="preserve"> </w:t>
      </w:r>
      <w:r w:rsidRPr="00F878CE">
        <w:t>уровнем таксономической обособленности и незначительной видовой и родовой радиацией.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 xml:space="preserve">Некоторые доказательства неритического происхождения эпипелагической фауны моногеней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Изложенное выше - лишь гипотетические предположения, которые в более</w:t>
      </w:r>
      <w:r>
        <w:t xml:space="preserve"> </w:t>
      </w:r>
      <w:r w:rsidRPr="00F878CE">
        <w:t>развернутом</w:t>
      </w:r>
      <w:r>
        <w:t xml:space="preserve"> </w:t>
      </w:r>
      <w:r w:rsidRPr="00F878CE">
        <w:t>виде</w:t>
      </w:r>
      <w:r>
        <w:t xml:space="preserve"> </w:t>
      </w:r>
      <w:r w:rsidRPr="00F878CE">
        <w:t>высказывались</w:t>
      </w:r>
      <w:r>
        <w:t xml:space="preserve"> </w:t>
      </w:r>
      <w:r w:rsidRPr="00F878CE">
        <w:t>нами</w:t>
      </w:r>
      <w:r>
        <w:t xml:space="preserve"> </w:t>
      </w:r>
      <w:r w:rsidRPr="00F878CE">
        <w:t>и</w:t>
      </w:r>
      <w:r>
        <w:t xml:space="preserve"> </w:t>
      </w:r>
      <w:r w:rsidRPr="00F878CE">
        <w:t>ранее</w:t>
      </w:r>
      <w:r>
        <w:t xml:space="preserve"> </w:t>
      </w:r>
      <w:r w:rsidRPr="00F878CE">
        <w:t>(Гиченок, 1977а). Надежно подтвердить эти предположения сейчас не представляется возможным,</w:t>
      </w:r>
      <w:r>
        <w:t xml:space="preserve"> </w:t>
      </w:r>
      <w:r w:rsidRPr="00F878CE">
        <w:t>в частности,</w:t>
      </w:r>
      <w:r>
        <w:t xml:space="preserve"> </w:t>
      </w:r>
      <w:r w:rsidRPr="00F878CE">
        <w:t>из-за</w:t>
      </w:r>
      <w:r>
        <w:t xml:space="preserve"> </w:t>
      </w:r>
      <w:r w:rsidRPr="00F878CE">
        <w:t>далеко неудовлетворительной</w:t>
      </w:r>
      <w:r>
        <w:t xml:space="preserve"> </w:t>
      </w:r>
      <w:r w:rsidRPr="00F878CE">
        <w:t>изученности</w:t>
      </w:r>
      <w:r>
        <w:t xml:space="preserve"> </w:t>
      </w:r>
      <w:r w:rsidRPr="00F878CE">
        <w:t>морских</w:t>
      </w:r>
      <w:r>
        <w:t xml:space="preserve"> </w:t>
      </w:r>
      <w:r w:rsidRPr="00F878CE">
        <w:t>моногеней и особенно моногеней открытого океана.</w:t>
      </w:r>
      <w:r>
        <w:t xml:space="preserve"> </w:t>
      </w:r>
      <w:r w:rsidRPr="00F878CE">
        <w:t>Тем не менее, результаты наших исследований,</w:t>
      </w:r>
      <w:r>
        <w:t xml:space="preserve"> </w:t>
      </w:r>
      <w:r w:rsidRPr="00F878CE">
        <w:t>изложенные выше, вполне согласуются с высказанными предположениями и, поэтому,</w:t>
      </w:r>
      <w:r>
        <w:t xml:space="preserve"> </w:t>
      </w:r>
      <w:r w:rsidRPr="00F878CE">
        <w:t>их можно считать аргументами в пользу предложенной гипотезы.</w:t>
      </w:r>
      <w:r>
        <w:t xml:space="preserve">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Для большей убедительности мы</w:t>
      </w:r>
      <w:r>
        <w:t xml:space="preserve"> </w:t>
      </w:r>
      <w:r w:rsidRPr="00F878CE">
        <w:t>проанализировали отношения "банальности" и "экзотичности" между фаунами моногеней исследованных видов рыб с</w:t>
      </w:r>
      <w:r>
        <w:t xml:space="preserve"> </w:t>
      </w:r>
      <w:r w:rsidRPr="00F878CE">
        <w:t>использованием мер включения.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Еще в 1943 г. Симпсон при сравнении фаун континентов измерял включение списка видов одного региона</w:t>
      </w:r>
      <w:r>
        <w:t xml:space="preserve"> </w:t>
      </w:r>
      <w:r w:rsidRPr="00F878CE">
        <w:t>в</w:t>
      </w:r>
      <w:r>
        <w:t xml:space="preserve"> </w:t>
      </w:r>
      <w:r w:rsidRPr="00F878CE">
        <w:t>списке</w:t>
      </w:r>
      <w:r>
        <w:t xml:space="preserve"> </w:t>
      </w:r>
      <w:r w:rsidRPr="00F878CE">
        <w:t>видов</w:t>
      </w:r>
      <w:r>
        <w:t xml:space="preserve"> </w:t>
      </w:r>
      <w:r w:rsidRPr="00F878CE">
        <w:t>другого. Включение измерялось отношением числа общих видов к числу видов в одном из регионов.</w:t>
      </w:r>
      <w:r>
        <w:t xml:space="preserve"> </w:t>
      </w:r>
      <w:r w:rsidRPr="00F878CE">
        <w:t>Интерпретация</w:t>
      </w:r>
      <w:r>
        <w:t xml:space="preserve"> </w:t>
      </w:r>
      <w:r w:rsidRPr="00F878CE">
        <w:t>этого</w:t>
      </w:r>
      <w:r>
        <w:t xml:space="preserve"> </w:t>
      </w:r>
      <w:r w:rsidRPr="00F878CE">
        <w:t>показателя</w:t>
      </w:r>
      <w:r>
        <w:t xml:space="preserve"> </w:t>
      </w:r>
      <w:r w:rsidRPr="00F878CE">
        <w:t>чрезвычайно проста: если фауна одного региона полностью входит в фауну другого, то ее "включение" будет стопроцентным.</w:t>
      </w:r>
      <w:r>
        <w:t xml:space="preserve"> </w:t>
      </w:r>
      <w:r w:rsidRPr="00F878CE">
        <w:t>В более общем</w:t>
      </w:r>
      <w:r>
        <w:t xml:space="preserve"> </w:t>
      </w:r>
      <w:r w:rsidRPr="00F878CE">
        <w:t>случае процент включения может быть различным для каждой из сравниваемых фаун, и тогда можно говорить,</w:t>
      </w:r>
      <w:r>
        <w:t xml:space="preserve"> </w:t>
      </w:r>
      <w:r w:rsidRPr="00F878CE">
        <w:t>что одна из них более</w:t>
      </w:r>
      <w:r>
        <w:t xml:space="preserve"> </w:t>
      </w:r>
      <w:r w:rsidRPr="00F878CE">
        <w:t>"оригинальна", "экзотична" или "специфична",</w:t>
      </w:r>
      <w:r>
        <w:t xml:space="preserve"> </w:t>
      </w:r>
      <w:r w:rsidRPr="00F878CE">
        <w:t>чем другая.</w:t>
      </w:r>
      <w:r>
        <w:t xml:space="preserve"> </w:t>
      </w:r>
      <w:r w:rsidRPr="00F878CE">
        <w:t>Сопоставляя меры включения всех попарных сочетаний сравниваемых фаун,</w:t>
      </w:r>
      <w:r>
        <w:t xml:space="preserve"> </w:t>
      </w:r>
      <w:r w:rsidRPr="00F878CE">
        <w:t>можно выяснить некоторые закономерности,</w:t>
      </w:r>
      <w:r>
        <w:t xml:space="preserve"> </w:t>
      </w:r>
      <w:r w:rsidRPr="00F878CE">
        <w:t>отражающие определенные отношения между фаунами (Андреев, 1980).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Расчет конкретных</w:t>
      </w:r>
      <w:r>
        <w:t xml:space="preserve"> </w:t>
      </w:r>
      <w:r w:rsidRPr="00F878CE">
        <w:t>мер включения основан на определении меры включения множества N в множестве M как частного от</w:t>
      </w:r>
      <w:r>
        <w:t xml:space="preserve"> </w:t>
      </w:r>
      <w:r w:rsidRPr="00F878CE">
        <w:t>деления</w:t>
      </w:r>
      <w:r>
        <w:t xml:space="preserve"> </w:t>
      </w:r>
      <w:r w:rsidRPr="00F878CE">
        <w:t>мер пересечения: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m(M∩N)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W (M,N) = ¾¾¾¾¾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m(N)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где: m(N); m(M) - число видов фауны N и M соответственно;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m(M∩N) - число видов, общих для фаун N и M.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Личиночные формы моногеней, представленные в нашем материале единственным экземпляром (Capsala sp.</w:t>
      </w:r>
      <w:r>
        <w:t xml:space="preserve"> </w:t>
      </w:r>
      <w:r w:rsidRPr="00F878CE">
        <w:t>и</w:t>
      </w:r>
      <w:r>
        <w:t xml:space="preserve"> </w:t>
      </w:r>
      <w:r w:rsidRPr="00F878CE">
        <w:t>Monaxininae</w:t>
      </w:r>
      <w:r>
        <w:t xml:space="preserve"> </w:t>
      </w:r>
      <w:r w:rsidRPr="00F878CE">
        <w:t>gen.sp.</w:t>
      </w:r>
      <w:r>
        <w:t xml:space="preserve"> </w:t>
      </w:r>
      <w:r w:rsidRPr="00F878CE">
        <w:t>у Exocoetus volitans) в анализе не учитывали, полагая, что для данного хозяина они</w:t>
      </w:r>
      <w:r>
        <w:t xml:space="preserve"> </w:t>
      </w:r>
      <w:r w:rsidRPr="00F878CE">
        <w:t>являются</w:t>
      </w:r>
      <w:r>
        <w:t xml:space="preserve"> </w:t>
      </w:r>
      <w:r w:rsidRPr="00F878CE">
        <w:t>случайными.</w:t>
      </w:r>
      <w:r>
        <w:t xml:space="preserve"> </w:t>
      </w:r>
      <w:r w:rsidRPr="00F878CE">
        <w:t>Результаты</w:t>
      </w:r>
      <w:r>
        <w:t xml:space="preserve"> </w:t>
      </w:r>
      <w:r w:rsidRPr="00F878CE">
        <w:t>расчета</w:t>
      </w:r>
      <w:r>
        <w:t xml:space="preserve"> </w:t>
      </w:r>
      <w:r w:rsidRPr="00F878CE">
        <w:t>мер включения</w:t>
      </w:r>
      <w:r>
        <w:t xml:space="preserve"> </w:t>
      </w:r>
      <w:r w:rsidRPr="00F878CE">
        <w:t>для</w:t>
      </w:r>
      <w:r>
        <w:t xml:space="preserve"> </w:t>
      </w:r>
      <w:r w:rsidRPr="00F878CE">
        <w:t>сравниваемых</w:t>
      </w:r>
      <w:r>
        <w:t xml:space="preserve"> </w:t>
      </w:r>
      <w:r w:rsidRPr="00F878CE">
        <w:t>фаун</w:t>
      </w:r>
      <w:r>
        <w:t xml:space="preserve"> </w:t>
      </w:r>
      <w:r w:rsidRPr="00F878CE">
        <w:t>моногеней представлены в виде матрицы (рис.1). Меры включения являются несимметричными, т.е. в общем виде включение фауны M в фауне N не равно включению фауны N в фауне M (W (M,N) ¹ W(N,M)).</w:t>
      </w:r>
      <w:r>
        <w:t xml:space="preserve"> </w:t>
      </w:r>
      <w:r w:rsidRPr="00F878CE">
        <w:t>Поэтому и верхний, и нижний (относительно</w:t>
      </w:r>
      <w:r>
        <w:t xml:space="preserve"> </w:t>
      </w:r>
      <w:r w:rsidRPr="00F878CE">
        <w:t>главной</w:t>
      </w:r>
      <w:r>
        <w:t xml:space="preserve"> </w:t>
      </w:r>
      <w:r w:rsidRPr="00F878CE">
        <w:t>диагонали) треугольники матрицы будут заполнены, поскольку их соответствующие элементы не равны между собой.</w:t>
      </w:r>
      <w:r>
        <w:t xml:space="preserve"> </w:t>
      </w:r>
      <w:r w:rsidRPr="00F878CE">
        <w:t>Так, число 28 (третья строка и первый столбец) соответствуют включению фауны моногеней E.volitans в фауне моногеней E.viridis,</w:t>
      </w:r>
      <w:r>
        <w:t xml:space="preserve"> </w:t>
      </w:r>
      <w:r w:rsidRPr="00F878CE">
        <w:t>а</w:t>
      </w:r>
      <w:r>
        <w:t xml:space="preserve"> </w:t>
      </w:r>
      <w:r w:rsidRPr="00F878CE">
        <w:t>число 40 (первая</w:t>
      </w:r>
      <w:r>
        <w:t xml:space="preserve"> </w:t>
      </w:r>
      <w:r w:rsidRPr="00F878CE">
        <w:t>строка</w:t>
      </w:r>
      <w:r>
        <w:t xml:space="preserve"> </w:t>
      </w:r>
      <w:r w:rsidRPr="00F878CE">
        <w:t>и третий столбец) - включению фауны моногеней E.viridis в фауне E.volitans.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Данные матрицы мер включения, а также графическое изображение их с помощью орграфов (Уилсон,</w:t>
      </w:r>
      <w:r>
        <w:t xml:space="preserve"> </w:t>
      </w:r>
      <w:r w:rsidRPr="00F878CE">
        <w:t>1977) используем далее для анализа отношений "банальности" между фаунами</w:t>
      </w:r>
      <w:r>
        <w:t xml:space="preserve"> </w:t>
      </w:r>
      <w:r w:rsidRPr="00F878CE">
        <w:t>моногеней</w:t>
      </w:r>
      <w:r>
        <w:t xml:space="preserve"> </w:t>
      </w:r>
      <w:r w:rsidRPr="00F878CE">
        <w:t>отдельных</w:t>
      </w:r>
      <w:r>
        <w:t xml:space="preserve"> </w:t>
      </w:r>
      <w:r w:rsidRPr="00F878CE">
        <w:t>видов исследованных</w:t>
      </w:r>
      <w:r>
        <w:t xml:space="preserve"> </w:t>
      </w:r>
      <w:r w:rsidRPr="00F878CE">
        <w:t>рыб.</w:t>
      </w:r>
      <w:r>
        <w:t xml:space="preserve"> </w:t>
      </w:r>
      <w:r w:rsidRPr="00F878CE">
        <w:t>В</w:t>
      </w:r>
      <w:r>
        <w:t xml:space="preserve"> </w:t>
      </w:r>
      <w:r w:rsidRPr="00F878CE">
        <w:t>качестве порога "банальности" (D) выберем 60%</w:t>
      </w:r>
      <w:r>
        <w:t xml:space="preserve"> </w:t>
      </w:r>
      <w:r w:rsidRPr="00F878CE">
        <w:t>и 50%.</w:t>
      </w:r>
      <w:r>
        <w:t xml:space="preserve"> </w:t>
      </w:r>
      <w:r w:rsidRPr="00F878CE">
        <w:t>В результате получим 2 орграфа (рис.2),</w:t>
      </w:r>
      <w:r>
        <w:t xml:space="preserve"> </w:t>
      </w:r>
      <w:r w:rsidRPr="00F878CE">
        <w:t>соответствующих двум выбранным порогам банальности. Вершины этих орграфов соответствуют фаунам моногеней</w:t>
      </w:r>
      <w:r>
        <w:t xml:space="preserve"> </w:t>
      </w:r>
      <w:r w:rsidRPr="00F878CE">
        <w:t>различных</w:t>
      </w:r>
      <w:r>
        <w:t xml:space="preserve"> </w:t>
      </w:r>
      <w:r w:rsidRPr="00F878CE">
        <w:t>видов</w:t>
      </w:r>
      <w:r>
        <w:t xml:space="preserve"> </w:t>
      </w:r>
      <w:r w:rsidRPr="00F878CE">
        <w:t>рыб:</w:t>
      </w:r>
      <w:r>
        <w:t xml:space="preserve"> </w:t>
      </w:r>
      <w:r w:rsidRPr="00F878CE">
        <w:t>I</w:t>
      </w:r>
      <w:r>
        <w:t xml:space="preserve"> </w:t>
      </w:r>
      <w:r w:rsidRPr="00F878CE">
        <w:t>-</w:t>
      </w:r>
      <w:r>
        <w:t xml:space="preserve"> </w:t>
      </w:r>
      <w:r w:rsidRPr="00F878CE">
        <w:t>E.volitans;</w:t>
      </w:r>
      <w:r>
        <w:t xml:space="preserve"> </w:t>
      </w:r>
      <w:r w:rsidRPr="00F878CE">
        <w:t>II</w:t>
      </w:r>
      <w:r>
        <w:t xml:space="preserve"> </w:t>
      </w:r>
      <w:r w:rsidRPr="00F878CE">
        <w:t>- E.monocirrhus;</w:t>
      </w:r>
      <w:r>
        <w:t xml:space="preserve"> </w:t>
      </w:r>
      <w:r w:rsidRPr="00F878CE">
        <w:t>III</w:t>
      </w:r>
      <w:r>
        <w:t xml:space="preserve"> </w:t>
      </w:r>
      <w:r w:rsidRPr="00F878CE">
        <w:t>-</w:t>
      </w:r>
      <w:r>
        <w:t xml:space="preserve"> </w:t>
      </w:r>
      <w:r w:rsidRPr="00F878CE">
        <w:t>E.viridis;</w:t>
      </w:r>
      <w:r>
        <w:t xml:space="preserve"> </w:t>
      </w:r>
      <w:r w:rsidRPr="00F878CE">
        <w:t>IV</w:t>
      </w:r>
      <w:r>
        <w:t xml:space="preserve"> </w:t>
      </w:r>
      <w:r w:rsidRPr="00F878CE">
        <w:t>-</w:t>
      </w:r>
      <w:r>
        <w:t xml:space="preserve"> </w:t>
      </w:r>
      <w:r w:rsidRPr="00F878CE">
        <w:t>O.m.micropterus</w:t>
      </w:r>
      <w:r>
        <w:t xml:space="preserve"> </w:t>
      </w:r>
      <w:r w:rsidRPr="00F878CE">
        <w:t>и</w:t>
      </w:r>
      <w:r>
        <w:t xml:space="preserve"> </w:t>
      </w:r>
      <w:r w:rsidRPr="00F878CE">
        <w:t>V - O.c.convexus.</w:t>
      </w:r>
      <w:r>
        <w:t xml:space="preserve"> </w:t>
      </w:r>
      <w:r w:rsidRPr="00F878CE">
        <w:t>Вершины соединены дугами так,</w:t>
      </w:r>
      <w:r>
        <w:t xml:space="preserve"> </w:t>
      </w:r>
      <w:r w:rsidRPr="00F878CE">
        <w:t>что направление</w:t>
      </w:r>
      <w:r>
        <w:t xml:space="preserve"> </w:t>
      </w:r>
      <w:r w:rsidRPr="00F878CE">
        <w:t>дуг отвечает</w:t>
      </w:r>
      <w:r>
        <w:t xml:space="preserve"> </w:t>
      </w:r>
      <w:r w:rsidRPr="00F878CE">
        <w:t>отношениям "банальности" между соответствующими вершинам фаунами моногеней.</w:t>
      </w:r>
      <w:r>
        <w:t xml:space="preserve">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Например, для</w:t>
      </w:r>
      <w:r>
        <w:t xml:space="preserve"> </w:t>
      </w:r>
      <w:r w:rsidRPr="00F878CE">
        <w:t>D= 60% проведена дуга из вершины II в вершину I, поскольку фауна моногеней E.monocirrhus включена в фауну E.volitans не менее, чем на 60% (100%).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Анализируя орграф 60%-ной банальности, следует отметить, что самую высокую</w:t>
      </w:r>
      <w:r>
        <w:t xml:space="preserve"> </w:t>
      </w:r>
      <w:r w:rsidRPr="00F878CE">
        <w:t>полустепень захода* (3) имеет вершина V,</w:t>
      </w:r>
      <w:r>
        <w:t xml:space="preserve"> </w:t>
      </w:r>
      <w:r w:rsidRPr="00F878CE">
        <w:t>при этом ее полустепень исхода**</w:t>
      </w:r>
      <w:r>
        <w:t xml:space="preserve"> </w:t>
      </w:r>
      <w:r w:rsidRPr="00F878CE">
        <w:t>равна нулю</w:t>
      </w:r>
    </w:p>
    <w:p w:rsidR="00AF18B5" w:rsidRDefault="00AF18B5" w:rsidP="00AF18B5">
      <w:pPr>
        <w:spacing w:before="120"/>
        <w:ind w:firstLine="567"/>
        <w:jc w:val="both"/>
      </w:pPr>
      <w:r w:rsidRPr="00F878CE">
        <w:t xml:space="preserve">( * полустепень захода - число входящих в вершину дуг; ** полустепень исхода - число выходящих из вершины дуг (Уилсон, 1977).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Это значит, что соответствующая этой</w:t>
      </w:r>
      <w:r>
        <w:t xml:space="preserve"> </w:t>
      </w:r>
      <w:r w:rsidRPr="00F878CE">
        <w:t>вершине</w:t>
      </w:r>
      <w:r>
        <w:t xml:space="preserve"> </w:t>
      </w:r>
      <w:r w:rsidRPr="00F878CE">
        <w:t>фауна моногеней O.c.convexus является наименее банальной или наиболее специфичной среди всех прочих.</w:t>
      </w:r>
      <w:r>
        <w:t xml:space="preserve"> </w:t>
      </w:r>
      <w:r w:rsidRPr="00F878CE">
        <w:t>На</w:t>
      </w:r>
      <w:r>
        <w:t xml:space="preserve"> </w:t>
      </w:r>
      <w:r w:rsidRPr="00F878CE">
        <w:t>втором месте по</w:t>
      </w:r>
      <w:r>
        <w:t xml:space="preserve"> </w:t>
      </w:r>
      <w:r w:rsidRPr="00F878CE">
        <w:t>специфичности</w:t>
      </w:r>
      <w:r>
        <w:t xml:space="preserve"> </w:t>
      </w:r>
      <w:r w:rsidRPr="00F878CE">
        <w:t>оказывается</w:t>
      </w:r>
      <w:r>
        <w:t xml:space="preserve"> </w:t>
      </w:r>
      <w:r w:rsidRPr="00F878CE">
        <w:t>фауна моногеней E.volitans: соответствующая ей I вершина имеет полустепень захода 2 и</w:t>
      </w:r>
      <w:r>
        <w:t xml:space="preserve"> </w:t>
      </w:r>
      <w:r w:rsidRPr="00F878CE">
        <w:t>полустепень исхода</w:t>
      </w:r>
      <w:r>
        <w:t xml:space="preserve"> </w:t>
      </w:r>
      <w:r w:rsidRPr="00F878CE">
        <w:t>- 1.</w:t>
      </w:r>
      <w:r>
        <w:t xml:space="preserve"> </w:t>
      </w:r>
      <w:r w:rsidRPr="00F878CE">
        <w:t>Наиболее банальной фауной моногеней обладает O.m.micropterus: полустепень захода и исхода равны соответственно 1 и</w:t>
      </w:r>
      <w:r>
        <w:t xml:space="preserve"> </w:t>
      </w:r>
      <w:r w:rsidRPr="00F878CE">
        <w:t>3.</w:t>
      </w:r>
      <w:r>
        <w:t xml:space="preserve"> </w:t>
      </w:r>
      <w:r w:rsidRPr="00F878CE">
        <w:t>Обоюдная</w:t>
      </w:r>
      <w:r>
        <w:t xml:space="preserve"> </w:t>
      </w:r>
      <w:r w:rsidRPr="00F878CE">
        <w:t>направленность дуг между вершинами II и IV,</w:t>
      </w:r>
      <w:r>
        <w:t xml:space="preserve"> </w:t>
      </w:r>
      <w:r w:rsidRPr="00F878CE">
        <w:t>а также между I и II свидетельствует о большом</w:t>
      </w:r>
      <w:r>
        <w:t xml:space="preserve"> </w:t>
      </w:r>
      <w:r w:rsidRPr="00F878CE">
        <w:t>сходстве</w:t>
      </w:r>
      <w:r>
        <w:t xml:space="preserve"> </w:t>
      </w:r>
      <w:r w:rsidRPr="00F878CE">
        <w:t>соответствующих им фаун моногеней.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При пороге</w:t>
      </w:r>
      <w:r>
        <w:t xml:space="preserve"> </w:t>
      </w:r>
      <w:r w:rsidRPr="00F878CE">
        <w:t>"банальности"</w:t>
      </w:r>
      <w:r>
        <w:t xml:space="preserve"> </w:t>
      </w:r>
      <w:r w:rsidRPr="00F878CE">
        <w:t>в 50%</w:t>
      </w:r>
      <w:r>
        <w:t xml:space="preserve"> </w:t>
      </w:r>
      <w:r w:rsidRPr="00F878CE">
        <w:t>появляются некоторые новые связи, не отраженные на орграфе 60%-ной</w:t>
      </w:r>
      <w:r>
        <w:t xml:space="preserve"> </w:t>
      </w:r>
      <w:r w:rsidRPr="00F878CE">
        <w:t>"банальности".</w:t>
      </w:r>
      <w:r>
        <w:t xml:space="preserve"> </w:t>
      </w:r>
      <w:r w:rsidRPr="00F878CE">
        <w:t>Наиболее существенной из</w:t>
      </w:r>
      <w:r>
        <w:t xml:space="preserve"> </w:t>
      </w:r>
      <w:r w:rsidRPr="00F878CE">
        <w:t>них является,</w:t>
      </w:r>
      <w:r>
        <w:t xml:space="preserve"> </w:t>
      </w:r>
      <w:r w:rsidRPr="00F878CE">
        <w:t>пожалуй,</w:t>
      </w:r>
      <w:r>
        <w:t xml:space="preserve"> </w:t>
      </w:r>
      <w:r w:rsidRPr="00F878CE">
        <w:t>обоюдная направленность дуг между V и IV вершинами,</w:t>
      </w:r>
      <w:r>
        <w:t xml:space="preserve"> </w:t>
      </w:r>
      <w:r w:rsidRPr="00F878CE">
        <w:t>свидетельствующая о некотором сходстве фаун моногеней у O.m.micropterus и O.c.convexus,</w:t>
      </w:r>
      <w:r>
        <w:t xml:space="preserve"> </w:t>
      </w:r>
      <w:r w:rsidRPr="00F878CE">
        <w:t>которые будучи представителями одного рода, являются ближайшими родственниками. В</w:t>
      </w:r>
      <w:r>
        <w:t xml:space="preserve"> </w:t>
      </w:r>
      <w:r w:rsidRPr="00F878CE">
        <w:t>остальном все отмеченные выше особенности остаются справедливыми и при</w:t>
      </w:r>
      <w:r>
        <w:t xml:space="preserve"> </w:t>
      </w:r>
      <w:r w:rsidRPr="00F878CE">
        <w:t>D = 50%.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 порядке</w:t>
      </w:r>
      <w:r>
        <w:t xml:space="preserve"> </w:t>
      </w:r>
      <w:r w:rsidRPr="00F878CE">
        <w:t>нарастания специфичности фауны моногеней исследованные рыбы</w:t>
      </w:r>
      <w:r>
        <w:t xml:space="preserve"> </w:t>
      </w:r>
      <w:r w:rsidRPr="00F878CE">
        <w:t>располагаются</w:t>
      </w:r>
      <w:r>
        <w:t xml:space="preserve"> </w:t>
      </w:r>
      <w:r w:rsidRPr="00F878CE">
        <w:t>следующим</w:t>
      </w:r>
      <w:r>
        <w:t xml:space="preserve"> </w:t>
      </w:r>
      <w:r w:rsidRPr="00F878CE">
        <w:t>образом:</w:t>
      </w:r>
      <w:r>
        <w:t xml:space="preserve"> </w:t>
      </w:r>
      <w:r w:rsidRPr="00F878CE">
        <w:t>O.m.micropterus, E.monocirrhus, E.viridis,</w:t>
      </w:r>
      <w:r>
        <w:t xml:space="preserve"> </w:t>
      </w:r>
      <w:r w:rsidRPr="00F878CE">
        <w:t>E.volitans,</w:t>
      </w:r>
      <w:r>
        <w:t xml:space="preserve"> </w:t>
      </w:r>
      <w:r w:rsidRPr="00F878CE">
        <w:t>O.c.convexus. Таким образом, анализ отношений "банальности" позволил установить, что наиболее специфичной фауной моногеней обладает неритический O.c.convexus, а наименее специфичной - голоэпипелагические O.m.micropterus и E.monocirrhus.</w:t>
      </w:r>
      <w:r>
        <w:t xml:space="preserve"> </w:t>
      </w:r>
      <w:r w:rsidRPr="00F878CE">
        <w:t>Это вполне согласуется с нашими представлениями о формировании фауны моногеней эпипелагиали открытого океана за счет элементов неритического происхождения.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Статистический анализ общей экстенсивности инвазии моногенеями</w:t>
      </w:r>
      <w:r>
        <w:t xml:space="preserve"> </w:t>
      </w:r>
      <w:r w:rsidRPr="00F878CE">
        <w:t>исследованных</w:t>
      </w:r>
      <w:r>
        <w:t xml:space="preserve"> </w:t>
      </w:r>
      <w:r w:rsidRPr="00F878CE">
        <w:t>рыб</w:t>
      </w:r>
      <w:r>
        <w:t xml:space="preserve"> </w:t>
      </w:r>
      <w:r w:rsidRPr="00F878CE">
        <w:t>показал</w:t>
      </w:r>
      <w:r>
        <w:t xml:space="preserve"> </w:t>
      </w:r>
      <w:r w:rsidRPr="00F878CE">
        <w:t>достоверное ее снижение по мере возрастания приуроченности рыб к открытому океану,</w:t>
      </w:r>
      <w:r>
        <w:t xml:space="preserve"> </w:t>
      </w:r>
      <w:r w:rsidRPr="00F878CE">
        <w:t>что также может</w:t>
      </w:r>
      <w:r>
        <w:t xml:space="preserve"> </w:t>
      </w:r>
      <w:r w:rsidRPr="00F878CE">
        <w:t>свидетельствовать об общей тенденции к обеднению фауны и населения моногеней океанской</w:t>
      </w:r>
      <w:r>
        <w:t xml:space="preserve"> </w:t>
      </w:r>
      <w:r w:rsidRPr="00F878CE">
        <w:t>эпипелагиали.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Существенная</w:t>
      </w:r>
      <w:r>
        <w:t xml:space="preserve"> </w:t>
      </w:r>
      <w:r w:rsidRPr="00F878CE">
        <w:t>роль</w:t>
      </w:r>
      <w:r>
        <w:t xml:space="preserve"> </w:t>
      </w:r>
      <w:r w:rsidRPr="00F878CE">
        <w:t>в этой тенденции</w:t>
      </w:r>
      <w:r>
        <w:t xml:space="preserve"> </w:t>
      </w:r>
      <w:r w:rsidRPr="00F878CE">
        <w:t>принадлежит</w:t>
      </w:r>
      <w:r>
        <w:t xml:space="preserve"> </w:t>
      </w:r>
      <w:r w:rsidRPr="00F878CE">
        <w:t>вторичному характеру эпипелагической фауны моногеней. В процессе освоения открытого океана исходно неритические рыбы могли частично утрачивать свойственных им моногеней. Последние,</w:t>
      </w:r>
      <w:r>
        <w:t xml:space="preserve"> </w:t>
      </w:r>
      <w:r w:rsidRPr="00F878CE">
        <w:t>как известно, имеют</w:t>
      </w:r>
      <w:r>
        <w:t xml:space="preserve"> </w:t>
      </w:r>
      <w:r w:rsidRPr="00F878CE">
        <w:t>непосредственный контакт не только с</w:t>
      </w:r>
      <w:r>
        <w:t xml:space="preserve"> </w:t>
      </w:r>
      <w:r w:rsidRPr="00F878CE">
        <w:t>организмом хозяина,</w:t>
      </w:r>
      <w:r>
        <w:t xml:space="preserve"> </w:t>
      </w:r>
      <w:r w:rsidRPr="00F878CE">
        <w:t>но и с внешней средой.</w:t>
      </w:r>
      <w:r>
        <w:t xml:space="preserve"> </w:t>
      </w:r>
      <w:r w:rsidRPr="00F878CE">
        <w:t>Вследствие этого новые абиотические условия, в которые попадал хозяин, могли</w:t>
      </w:r>
      <w:r>
        <w:t xml:space="preserve"> </w:t>
      </w:r>
      <w:r w:rsidRPr="00F878CE">
        <w:t>оказаться не подходящими для выживания ряда моногеней. Немаловажную роль,</w:t>
      </w:r>
      <w:r>
        <w:t xml:space="preserve"> </w:t>
      </w:r>
      <w:r w:rsidRPr="00F878CE">
        <w:t>по-видимому,</w:t>
      </w:r>
      <w:r>
        <w:t xml:space="preserve"> </w:t>
      </w:r>
      <w:r w:rsidRPr="00F878CE">
        <w:t>играли и особенности распределения рыб в условиях океанской эпипелагиали.</w:t>
      </w:r>
      <w:r>
        <w:t xml:space="preserve"> </w:t>
      </w:r>
      <w:r w:rsidRPr="00F878CE">
        <w:t>Известно,</w:t>
      </w:r>
      <w:r>
        <w:t xml:space="preserve"> </w:t>
      </w:r>
      <w:r w:rsidRPr="00F878CE">
        <w:t>что в сообществах со сбалансированными трофическими циклами, к числу которых принадлежат тропические океанические биоценозы,</w:t>
      </w:r>
      <w:r>
        <w:t xml:space="preserve"> </w:t>
      </w:r>
      <w:r w:rsidRPr="00F878CE">
        <w:t>все пелагические</w:t>
      </w:r>
      <w:r>
        <w:t xml:space="preserve"> </w:t>
      </w:r>
      <w:r w:rsidRPr="00F878CE">
        <w:t>животные,</w:t>
      </w:r>
      <w:r>
        <w:t xml:space="preserve"> </w:t>
      </w:r>
      <w:r w:rsidRPr="00F878CE">
        <w:t>в том числе и рыбы, распределены более или менее равномерно и не образуют крупных</w:t>
      </w:r>
      <w:r>
        <w:t xml:space="preserve"> </w:t>
      </w:r>
      <w:r w:rsidRPr="00F878CE">
        <w:t>нагульных</w:t>
      </w:r>
      <w:r>
        <w:t xml:space="preserve"> </w:t>
      </w:r>
      <w:r w:rsidRPr="00F878CE">
        <w:t>скоплений.</w:t>
      </w:r>
      <w:r>
        <w:t xml:space="preserve">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Весьма</w:t>
      </w:r>
      <w:r>
        <w:t xml:space="preserve"> </w:t>
      </w:r>
      <w:r w:rsidRPr="00F878CE">
        <w:t>характерно, например,</w:t>
      </w:r>
      <w:r>
        <w:t xml:space="preserve"> </w:t>
      </w:r>
      <w:r w:rsidRPr="00F878CE">
        <w:t>пространственное</w:t>
      </w:r>
      <w:r>
        <w:t xml:space="preserve"> </w:t>
      </w:r>
      <w:r w:rsidRPr="00F878CE">
        <w:t>распределение</w:t>
      </w:r>
      <w:r>
        <w:t xml:space="preserve"> </w:t>
      </w:r>
      <w:r w:rsidRPr="00F878CE">
        <w:t>океанических</w:t>
      </w:r>
      <w:r>
        <w:t xml:space="preserve"> </w:t>
      </w:r>
      <w:r w:rsidRPr="00F878CE">
        <w:t>летучих</w:t>
      </w:r>
      <w:r>
        <w:t xml:space="preserve"> </w:t>
      </w:r>
      <w:r w:rsidRPr="00F878CE">
        <w:t>рыб. Они всегда держатся поодиночке или небольшими стайками, в то время</w:t>
      </w:r>
      <w:r>
        <w:t xml:space="preserve"> </w:t>
      </w:r>
      <w:r w:rsidRPr="00F878CE">
        <w:t>как близкие виды в неритической зоне нередко образуют достаточно крупные и плотные косяки (Парин, 1967).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Вполне вероятно, что низкая плотность популяции у рыб открытого океана, обусловленная сильно рассредоточенным распределением их по большим акваториям,</w:t>
      </w:r>
      <w:r>
        <w:t xml:space="preserve"> </w:t>
      </w:r>
      <w:r w:rsidRPr="00F878CE">
        <w:t>явилась одним из препятствий для выживания на них некоторых видов моногеней.</w:t>
      </w:r>
      <w:r>
        <w:t xml:space="preserve"> </w:t>
      </w:r>
      <w:r w:rsidRPr="00F878CE">
        <w:t>Каждый паразит для обеспечения своего выживания,</w:t>
      </w:r>
      <w:r>
        <w:t xml:space="preserve"> </w:t>
      </w:r>
      <w:r w:rsidRPr="00F878CE">
        <w:t>по-видимому,</w:t>
      </w:r>
      <w:r>
        <w:t xml:space="preserve"> </w:t>
      </w:r>
      <w:r w:rsidRPr="00F878CE">
        <w:t>нуждается в определенной плотности популяции хозяина.</w:t>
      </w:r>
      <w:r>
        <w:t xml:space="preserve"> </w:t>
      </w:r>
      <w:r w:rsidRPr="00F878CE">
        <w:t>Чем ниже эта плотность, тем труднее паразиту сохранить себя в природе за счет этого хозяина.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 силу перечисленных причин (и ряда других,</w:t>
      </w:r>
      <w:r>
        <w:t xml:space="preserve"> </w:t>
      </w:r>
      <w:r w:rsidRPr="00F878CE">
        <w:t>о которых мы еще</w:t>
      </w:r>
      <w:r>
        <w:t xml:space="preserve"> </w:t>
      </w:r>
      <w:r w:rsidRPr="00F878CE">
        <w:t>не знаем) исследованные голоэпипелагические рыбы в процессе освоения открытого океана,</w:t>
      </w:r>
      <w:r>
        <w:t xml:space="preserve"> </w:t>
      </w:r>
      <w:r w:rsidRPr="00F878CE">
        <w:t>вероятно, утратили специфическую фауну моногеней. В настоящее время они заражаются лишь случайными и более или менее редкими для них видами и формами моногеней. Поэтому, а также из-за сильно рассредоточенного</w:t>
      </w:r>
      <w:r>
        <w:t xml:space="preserve"> </w:t>
      </w:r>
      <w:r w:rsidRPr="00F878CE">
        <w:t>распределения этих</w:t>
      </w:r>
      <w:r>
        <w:t xml:space="preserve"> </w:t>
      </w:r>
      <w:r w:rsidRPr="00F878CE">
        <w:t>рыб, общая экстенсивность инвазии</w:t>
      </w:r>
      <w:r>
        <w:t xml:space="preserve"> </w:t>
      </w:r>
      <w:r w:rsidRPr="00F878CE">
        <w:t>их</w:t>
      </w:r>
      <w:r>
        <w:t xml:space="preserve"> </w:t>
      </w:r>
      <w:r w:rsidRPr="00F878CE">
        <w:t>моногенеями</w:t>
      </w:r>
      <w:r>
        <w:t xml:space="preserve"> </w:t>
      </w:r>
      <w:r w:rsidRPr="00F878CE">
        <w:t>оказывается незначительной. Неритические и псевдоокеанические рыбы</w:t>
      </w:r>
      <w:r>
        <w:t xml:space="preserve"> </w:t>
      </w:r>
      <w:r w:rsidRPr="00F878CE">
        <w:t>имеют</w:t>
      </w:r>
      <w:r>
        <w:t xml:space="preserve"> </w:t>
      </w:r>
      <w:r w:rsidRPr="00F878CE">
        <w:t>специфическую</w:t>
      </w:r>
      <w:r>
        <w:t xml:space="preserve"> </w:t>
      </w:r>
      <w:r w:rsidRPr="00F878CE">
        <w:t>фауну моногеней, а также способны образовывать достаточно крупные скопления, что обусловливает более</w:t>
      </w:r>
      <w:r>
        <w:t xml:space="preserve"> </w:t>
      </w:r>
      <w:r w:rsidRPr="00F878CE">
        <w:t>высокую</w:t>
      </w:r>
      <w:r>
        <w:t xml:space="preserve"> </w:t>
      </w:r>
      <w:r w:rsidRPr="00F878CE">
        <w:t>общую</w:t>
      </w:r>
      <w:r>
        <w:t xml:space="preserve"> </w:t>
      </w:r>
      <w:r w:rsidRPr="00F878CE">
        <w:t>экстенсивость инвазии их моногенеями.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 xml:space="preserve">Почему скумбрещуковые рыбы лишены моногеней.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Обеднение фауны моногеней достигает своего крайнего</w:t>
      </w:r>
      <w:r>
        <w:t xml:space="preserve"> </w:t>
      </w:r>
      <w:r w:rsidRPr="00F878CE">
        <w:t>выражения у</w:t>
      </w:r>
      <w:r>
        <w:t xml:space="preserve"> </w:t>
      </w:r>
      <w:r w:rsidRPr="00F878CE">
        <w:t>Scomberesocidae,</w:t>
      </w:r>
      <w:r>
        <w:t xml:space="preserve"> </w:t>
      </w:r>
      <w:r w:rsidRPr="00F878CE">
        <w:t>у которых,</w:t>
      </w:r>
      <w:r>
        <w:t xml:space="preserve"> </w:t>
      </w:r>
      <w:r w:rsidRPr="00F878CE">
        <w:t>судя по нашим и литературным данным, моногенеи вообще отсутствуют. Можно предполагать, однако, что неритические</w:t>
      </w:r>
      <w:r>
        <w:t xml:space="preserve"> </w:t>
      </w:r>
      <w:r w:rsidRPr="00F878CE">
        <w:t>предки скумбрещуковых имели специфическую фауну моногеней, но утратили ее в процессе освоения</w:t>
      </w:r>
      <w:r>
        <w:t xml:space="preserve"> </w:t>
      </w:r>
      <w:r w:rsidRPr="00F878CE">
        <w:t>открытого</w:t>
      </w:r>
      <w:r>
        <w:t xml:space="preserve"> </w:t>
      </w:r>
      <w:r w:rsidRPr="00F878CE">
        <w:t>океана.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Все современные Scomberesocidae,</w:t>
      </w:r>
      <w:r>
        <w:t xml:space="preserve"> </w:t>
      </w:r>
      <w:r w:rsidRPr="00F878CE">
        <w:t>как известно, являются голоэпипелагическими рыбами. Кажется возможным предположить, что историческое становление</w:t>
      </w:r>
      <w:r>
        <w:t xml:space="preserve"> </w:t>
      </w:r>
      <w:r w:rsidRPr="00F878CE">
        <w:t>скумбрещуковых</w:t>
      </w:r>
      <w:r>
        <w:t xml:space="preserve"> </w:t>
      </w:r>
      <w:r w:rsidRPr="00F878CE">
        <w:t>как</w:t>
      </w:r>
      <w:r>
        <w:t xml:space="preserve"> </w:t>
      </w:r>
      <w:r w:rsidRPr="00F878CE">
        <w:t>голоэпипелагических</w:t>
      </w:r>
      <w:r>
        <w:t xml:space="preserve"> </w:t>
      </w:r>
      <w:r w:rsidRPr="00F878CE">
        <w:t>рыб могло иметь место лишь в тропической зоне океана,</w:t>
      </w:r>
      <w:r>
        <w:t xml:space="preserve"> </w:t>
      </w:r>
      <w:r w:rsidRPr="00F878CE">
        <w:t>где эпипелагиаль, как самостоятельная зона жизни,</w:t>
      </w:r>
      <w:r>
        <w:t xml:space="preserve"> </w:t>
      </w:r>
      <w:r w:rsidRPr="00F878CE">
        <w:t>существует постоянно.</w:t>
      </w:r>
      <w:r>
        <w:t xml:space="preserve"> </w:t>
      </w:r>
      <w:r w:rsidRPr="00F878CE">
        <w:t>Этот процесс был вряд ли возможен в более высоких широтах,</w:t>
      </w:r>
      <w:r>
        <w:t xml:space="preserve"> </w:t>
      </w:r>
      <w:r w:rsidRPr="00F878CE">
        <w:t>где эпипелагиаль формируется только летом,</w:t>
      </w:r>
      <w:r>
        <w:t xml:space="preserve"> </w:t>
      </w:r>
      <w:r w:rsidRPr="00F878CE">
        <w:t>а зимой вообще отсутствует.</w:t>
      </w:r>
      <w:r>
        <w:t xml:space="preserve"> </w:t>
      </w:r>
      <w:r w:rsidRPr="00F878CE">
        <w:t>В пользу такого предположения,</w:t>
      </w:r>
      <w:r>
        <w:t xml:space="preserve"> </w:t>
      </w:r>
      <w:r w:rsidRPr="00F878CE">
        <w:t>вероятно,</w:t>
      </w:r>
      <w:r>
        <w:t xml:space="preserve"> </w:t>
      </w:r>
      <w:r w:rsidRPr="00F878CE">
        <w:t>может</w:t>
      </w:r>
      <w:r>
        <w:t xml:space="preserve"> </w:t>
      </w:r>
      <w:r w:rsidRPr="00F878CE">
        <w:t>свидетельствовать также тот</w:t>
      </w:r>
      <w:r>
        <w:t xml:space="preserve"> </w:t>
      </w:r>
      <w:r w:rsidRPr="00F878CE">
        <w:t>факт,</w:t>
      </w:r>
      <w:r>
        <w:t xml:space="preserve"> </w:t>
      </w:r>
      <w:r w:rsidRPr="00F878CE">
        <w:t>что</w:t>
      </w:r>
      <w:r>
        <w:t xml:space="preserve"> </w:t>
      </w:r>
      <w:r w:rsidRPr="00F878CE">
        <w:t>нерест скумбрещуквых происходит в наиболее тепловодных частях их ареалов.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Освоение тропической эпипелагиали в качестве постоянной среды обитания,</w:t>
      </w:r>
      <w:r>
        <w:t xml:space="preserve"> </w:t>
      </w:r>
      <w:r w:rsidRPr="00F878CE">
        <w:t>по-видимому, привело к утрате скумбрещуковыми части той фауны</w:t>
      </w:r>
      <w:r>
        <w:t xml:space="preserve"> </w:t>
      </w:r>
      <w:r w:rsidRPr="00F878CE">
        <w:t>моногеней,</w:t>
      </w:r>
      <w:r>
        <w:t xml:space="preserve"> </w:t>
      </w:r>
      <w:r w:rsidRPr="00F878CE">
        <w:t>которая</w:t>
      </w:r>
      <w:r>
        <w:t xml:space="preserve"> </w:t>
      </w:r>
      <w:r w:rsidRPr="00F878CE">
        <w:t>была</w:t>
      </w:r>
      <w:r>
        <w:t xml:space="preserve"> </w:t>
      </w:r>
      <w:r w:rsidRPr="00F878CE">
        <w:t>свойственна их неритическим предкам. Можно предположить также,</w:t>
      </w:r>
      <w:r>
        <w:t xml:space="preserve"> </w:t>
      </w:r>
      <w:r w:rsidRPr="00F878CE">
        <w:t>что лишь позднее скумбрещуковые, в</w:t>
      </w:r>
      <w:r>
        <w:t xml:space="preserve"> </w:t>
      </w:r>
      <w:r w:rsidRPr="00F878CE">
        <w:t>отличие</w:t>
      </w:r>
      <w:r>
        <w:t xml:space="preserve"> </w:t>
      </w:r>
      <w:r w:rsidRPr="00F878CE">
        <w:t>от всех остальных голоэпипелагических рыб,</w:t>
      </w:r>
      <w:r>
        <w:t xml:space="preserve"> </w:t>
      </w:r>
      <w:r w:rsidRPr="00F878CE">
        <w:t xml:space="preserve">были вытеснены из тропиков в более высокие широты.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Обитание в субтропических и умеренных водах,</w:t>
      </w:r>
      <w:r>
        <w:t xml:space="preserve"> </w:t>
      </w:r>
      <w:r w:rsidRPr="00F878CE">
        <w:t>вероятно, привело к тому, что современные скумбрещуковые, оставаясь голоэпипелагическими рыбами, вынуждены были</w:t>
      </w:r>
      <w:r>
        <w:t xml:space="preserve"> </w:t>
      </w:r>
      <w:r w:rsidRPr="00F878CE">
        <w:t>приобрести новые для них экологические особенности. Важнейшими из этих особенностей следует считать</w:t>
      </w:r>
      <w:r>
        <w:t xml:space="preserve"> </w:t>
      </w:r>
      <w:r w:rsidRPr="00F878CE">
        <w:t>характерные</w:t>
      </w:r>
      <w:r>
        <w:t xml:space="preserve"> </w:t>
      </w:r>
      <w:r w:rsidRPr="00F878CE">
        <w:t>для скумбрещуковых сезонные</w:t>
      </w:r>
      <w:r>
        <w:t xml:space="preserve"> </w:t>
      </w:r>
      <w:r w:rsidRPr="00F878CE">
        <w:t>нерестовые и нагульные миграции,</w:t>
      </w:r>
      <w:r>
        <w:t xml:space="preserve"> </w:t>
      </w:r>
      <w:r w:rsidRPr="00F878CE">
        <w:t>пространственная разобщенность молоди и взрослых рыб и ряд других. Возможно в силу этих экологических изменений,</w:t>
      </w:r>
      <w:r>
        <w:t xml:space="preserve"> </w:t>
      </w:r>
      <w:r w:rsidRPr="00F878CE">
        <w:t>а также</w:t>
      </w:r>
      <w:r>
        <w:t xml:space="preserve"> </w:t>
      </w:r>
      <w:r w:rsidRPr="00F878CE">
        <w:t>из-за особенностей гидрологических условий новой среды обитания (в частности, более низкая температура воды, ее сезонные колебания и др.) современные скумбрещуковые полностью утратили тех моногеней, которые обитали на них в тот период,</w:t>
      </w:r>
      <w:r>
        <w:t xml:space="preserve"> </w:t>
      </w:r>
      <w:r w:rsidRPr="00F878CE">
        <w:t>когда они еще не были</w:t>
      </w:r>
      <w:r>
        <w:t xml:space="preserve"> </w:t>
      </w:r>
      <w:r w:rsidRPr="00F878CE">
        <w:t>вытеснены из тропической эпипелагиали. Приобрести новую фауну моногеней взамен утраченной Scomberesocidae не смогли,</w:t>
      </w:r>
      <w:r>
        <w:t xml:space="preserve"> </w:t>
      </w:r>
      <w:r w:rsidRPr="00F878CE">
        <w:t>верояно,</w:t>
      </w:r>
      <w:r>
        <w:t xml:space="preserve"> </w:t>
      </w:r>
      <w:r w:rsidRPr="00F878CE">
        <w:t>потому, что в</w:t>
      </w:r>
      <w:r>
        <w:t xml:space="preserve"> </w:t>
      </w:r>
      <w:r w:rsidRPr="00F878CE">
        <w:t>новой среде обитания отсутствовали и отсутствуют до сих пор другие голоэпипелагические рыбы,</w:t>
      </w:r>
      <w:r>
        <w:t xml:space="preserve"> </w:t>
      </w:r>
      <w:r w:rsidRPr="00F878CE">
        <w:t>которые могли бы послужить для них</w:t>
      </w:r>
      <w:r>
        <w:t xml:space="preserve"> </w:t>
      </w:r>
      <w:r w:rsidRPr="00F878CE">
        <w:t>потенциальным источником заражения новыми моногенеями.</w:t>
      </w:r>
    </w:p>
    <w:p w:rsidR="00AF18B5" w:rsidRPr="0018109A" w:rsidRDefault="00AF18B5" w:rsidP="00AF18B5">
      <w:pPr>
        <w:spacing w:before="120"/>
        <w:jc w:val="center"/>
        <w:rPr>
          <w:b/>
          <w:bCs/>
          <w:sz w:val="28"/>
          <w:szCs w:val="28"/>
        </w:rPr>
      </w:pPr>
      <w:bookmarkStart w:id="0" w:name="ЛИТЕРАТУРА"/>
      <w:r w:rsidRPr="0018109A">
        <w:rPr>
          <w:b/>
          <w:bCs/>
          <w:sz w:val="28"/>
          <w:szCs w:val="28"/>
        </w:rPr>
        <w:t>Список литературы</w:t>
      </w:r>
    </w:p>
    <w:bookmarkEnd w:id="0"/>
    <w:p w:rsidR="00AF18B5" w:rsidRPr="00F878CE" w:rsidRDefault="00AF18B5" w:rsidP="00AF18B5">
      <w:pPr>
        <w:spacing w:before="120"/>
        <w:ind w:firstLine="567"/>
        <w:jc w:val="both"/>
      </w:pPr>
      <w:r w:rsidRPr="00F878CE">
        <w:t xml:space="preserve">Андреев В.Л., 1980. Классификационные построения в экологии и систематике. М.: Наука. С. 1-141.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Беклемишев В.Н.,</w:t>
      </w:r>
      <w:r>
        <w:t xml:space="preserve"> </w:t>
      </w:r>
      <w:r w:rsidRPr="00F878CE">
        <w:t>1970.</w:t>
      </w:r>
      <w:r>
        <w:t xml:space="preserve"> </w:t>
      </w:r>
      <w:r w:rsidRPr="00F878CE">
        <w:t>Термины и понятия,</w:t>
      </w:r>
      <w:r>
        <w:t xml:space="preserve"> </w:t>
      </w:r>
      <w:r w:rsidRPr="00F878CE">
        <w:t>необходимые при количественном изучении популяций эктопаразитов и нидиколов//Биоценологические основы</w:t>
      </w:r>
      <w:r>
        <w:t xml:space="preserve"> </w:t>
      </w:r>
      <w:r w:rsidRPr="00F878CE">
        <w:t>сравнительной</w:t>
      </w:r>
      <w:r>
        <w:t xml:space="preserve"> </w:t>
      </w:r>
      <w:r w:rsidRPr="00F878CE">
        <w:t xml:space="preserve">паразитологии. М.: Наука. С. 143-154.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Быховский Б.Е.,</w:t>
      </w:r>
      <w:r>
        <w:t xml:space="preserve"> </w:t>
      </w:r>
      <w:r w:rsidRPr="00F878CE">
        <w:t>1957.</w:t>
      </w:r>
      <w:r>
        <w:t xml:space="preserve"> </w:t>
      </w:r>
      <w:r w:rsidRPr="00F878CE">
        <w:t>Моногенетические сосальщики,</w:t>
      </w:r>
      <w:r>
        <w:t xml:space="preserve"> </w:t>
      </w:r>
      <w:r w:rsidRPr="00F878CE">
        <w:t xml:space="preserve">их система и филогения. М.-Л.: Изд-во АН СССР. С. 1-509.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Быховская-Павловская И.Е.,</w:t>
      </w:r>
      <w:r>
        <w:t xml:space="preserve"> </w:t>
      </w:r>
      <w:r w:rsidRPr="00F878CE">
        <w:t>1969.</w:t>
      </w:r>
      <w:r>
        <w:t xml:space="preserve"> </w:t>
      </w:r>
      <w:r w:rsidRPr="00F878CE">
        <w:t xml:space="preserve">Паразитологическое исследование рыб. Л.: Наука. С. 1-108.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Гиченок Л.А., 1974.</w:t>
      </w:r>
      <w:r>
        <w:t xml:space="preserve"> </w:t>
      </w:r>
      <w:r w:rsidRPr="00F878CE">
        <w:t>Axine parini</w:t>
      </w:r>
      <w:r>
        <w:t xml:space="preserve"> </w:t>
      </w:r>
      <w:r w:rsidRPr="00F878CE">
        <w:t>sp.nov (Monogenoidea) - паразит Euleptorhamphus viridis (van Hass.) //Зоол. журн. Т. 53. N 5. С. 787-791.</w:t>
      </w:r>
      <w:r>
        <w:t xml:space="preserve"> </w:t>
      </w:r>
      <w:r w:rsidRPr="00F878CE">
        <w:t>- 1975.</w:t>
      </w:r>
      <w:r>
        <w:t xml:space="preserve">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 xml:space="preserve">Diplaxine popovae gen. et sp.n. - новый представитель семейства Axinidae Unnithan,1957 (Monogenoidea) // Паразитозитология. Т. 9. N4. С. 315-320. - 1977.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Моногенеи двух</w:t>
      </w:r>
      <w:r>
        <w:t xml:space="preserve"> </w:t>
      </w:r>
      <w:r w:rsidRPr="00F878CE">
        <w:t>видов рыб отряда сарганообразных (Beloniformes) из</w:t>
      </w:r>
      <w:r>
        <w:t xml:space="preserve"> </w:t>
      </w:r>
      <w:r w:rsidRPr="00F878CE">
        <w:t>Индийского</w:t>
      </w:r>
      <w:r>
        <w:t xml:space="preserve"> </w:t>
      </w:r>
      <w:r w:rsidRPr="00F878CE">
        <w:t>и</w:t>
      </w:r>
      <w:r>
        <w:t xml:space="preserve"> </w:t>
      </w:r>
      <w:r w:rsidRPr="00F878CE">
        <w:t>Тихого</w:t>
      </w:r>
      <w:r>
        <w:t xml:space="preserve"> </w:t>
      </w:r>
      <w:r w:rsidRPr="00F878CE">
        <w:t>океанов // Паразитология. Т. 11. N 4. С. 301-308.</w:t>
      </w:r>
      <w:r>
        <w:t xml:space="preserve"> </w:t>
      </w:r>
      <w:r w:rsidRPr="00F878CE">
        <w:t xml:space="preserve">- 1977а. 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О происхождении эпипелагического комплекса моногеней</w:t>
      </w:r>
      <w:r>
        <w:t xml:space="preserve"> </w:t>
      </w:r>
      <w:r w:rsidRPr="00F878CE">
        <w:t>в связи с происхождением ихтиофауны океанской эпипелагиали // Исследование моногеней в СССР.</w:t>
      </w:r>
      <w:r>
        <w:t xml:space="preserve"> </w:t>
      </w:r>
      <w:r w:rsidRPr="00F878CE">
        <w:t>Тезисы докл. Л. С. 116-120. - 1979.</w:t>
      </w:r>
    </w:p>
    <w:p w:rsidR="00AF18B5" w:rsidRDefault="00AF18B5" w:rsidP="00AF18B5">
      <w:pPr>
        <w:spacing w:before="120"/>
        <w:ind w:firstLine="567"/>
        <w:jc w:val="both"/>
      </w:pPr>
      <w:r w:rsidRPr="00F878CE">
        <w:t>Моногенеи летучих рыб рода Exocoetus (Beloniformes) из Индийского и тихого океанов//Зоол. журн. Т. 58. N 7. С. 958-968. - 1980.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Описание двух новых родов</w:t>
      </w:r>
      <w:r>
        <w:t xml:space="preserve"> </w:t>
      </w:r>
      <w:r w:rsidRPr="00F878CE">
        <w:t>моногеней и обсуждение гомологии частей клапана</w:t>
      </w:r>
      <w:r>
        <w:t xml:space="preserve"> </w:t>
      </w:r>
      <w:r w:rsidRPr="00F878CE">
        <w:t xml:space="preserve">в подсемействе Gastrocotylinae//Зоол. журн. Т. 59. N 3. С. 349-357.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 xml:space="preserve">Гусев А.В., 1983. Методика сбора и обработки материалов по моногенеям, паразитирующим у рыб. Л.: Наука. С. 1-47.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t>Парин Н.В.,</w:t>
      </w:r>
      <w:r>
        <w:t xml:space="preserve"> </w:t>
      </w:r>
      <w:r w:rsidRPr="00F878CE">
        <w:t>1968. Ихтиофауна</w:t>
      </w:r>
      <w:r>
        <w:t xml:space="preserve"> </w:t>
      </w:r>
      <w:r w:rsidRPr="00F878CE">
        <w:t>океанской</w:t>
      </w:r>
      <w:r>
        <w:t xml:space="preserve"> </w:t>
      </w:r>
      <w:r w:rsidRPr="00F878CE">
        <w:t>эпипелагиали. М.: Наука</w:t>
      </w:r>
      <w:r>
        <w:t xml:space="preserve"> </w:t>
      </w:r>
      <w:r w:rsidRPr="00F878CE">
        <w:t xml:space="preserve">С. 1-186. </w:t>
      </w:r>
    </w:p>
    <w:p w:rsidR="00AF18B5" w:rsidRPr="00AF18B5" w:rsidRDefault="00AF18B5" w:rsidP="00AF18B5">
      <w:pPr>
        <w:spacing w:before="120"/>
        <w:ind w:firstLine="567"/>
        <w:jc w:val="both"/>
      </w:pPr>
      <w:r w:rsidRPr="00F878CE">
        <w:t>Уилсон Р., 1977. Введение в теорию графов. М</w:t>
      </w:r>
      <w:r w:rsidRPr="00AF18B5">
        <w:t xml:space="preserve">.: </w:t>
      </w:r>
      <w:r w:rsidRPr="00F878CE">
        <w:t>Мир</w:t>
      </w:r>
      <w:r w:rsidRPr="00AF18B5">
        <w:t xml:space="preserve">. </w:t>
      </w:r>
      <w:r w:rsidRPr="00F878CE">
        <w:t>С</w:t>
      </w:r>
      <w:r w:rsidRPr="00AF18B5">
        <w:t xml:space="preserve">. 1-207. </w:t>
      </w:r>
    </w:p>
    <w:p w:rsidR="00AF18B5" w:rsidRPr="00F878CE" w:rsidRDefault="00AF18B5" w:rsidP="00AF18B5">
      <w:pPr>
        <w:spacing w:before="120"/>
        <w:ind w:firstLine="567"/>
        <w:jc w:val="both"/>
        <w:rPr>
          <w:lang w:val="en-US"/>
        </w:rPr>
      </w:pPr>
      <w:r w:rsidRPr="00F878CE">
        <w:rPr>
          <w:lang w:val="en-US"/>
        </w:rPr>
        <w:t xml:space="preserve">Palombi H.B., 1949. Trematodi d Italia. Part I. Trematode monogenetici.// Arch. Zool. Ital. N 34. P. 203-408. </w:t>
      </w:r>
    </w:p>
    <w:p w:rsidR="00AF18B5" w:rsidRPr="00F878CE" w:rsidRDefault="00AF18B5" w:rsidP="00AF18B5">
      <w:pPr>
        <w:spacing w:before="120"/>
        <w:ind w:firstLine="567"/>
        <w:jc w:val="both"/>
      </w:pPr>
      <w:r w:rsidRPr="00F878CE">
        <w:rPr>
          <w:lang w:val="en-US"/>
        </w:rPr>
        <w:t xml:space="preserve">Parona C., 1902. Catalogo di elminti reccolti in vertebrati dell-isola d 5, 0Elba (seconda nota). // Boll. Mus. </w:t>
      </w:r>
      <w:r w:rsidRPr="00F878CE">
        <w:t xml:space="preserve">Zool. Anat. comp. Genova. N 113. P. 1-20.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563"/>
    <w:multiLevelType w:val="multilevel"/>
    <w:tmpl w:val="AB00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5733F"/>
    <w:multiLevelType w:val="hybridMultilevel"/>
    <w:tmpl w:val="149E3BA2"/>
    <w:lvl w:ilvl="0" w:tplc="1FDC9B9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525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C42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89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0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4E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884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27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E1A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076CB"/>
    <w:multiLevelType w:val="multilevel"/>
    <w:tmpl w:val="385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B7C1F5E"/>
    <w:multiLevelType w:val="multilevel"/>
    <w:tmpl w:val="4718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C6A379A"/>
    <w:multiLevelType w:val="multilevel"/>
    <w:tmpl w:val="92D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09E2D28"/>
    <w:multiLevelType w:val="multilevel"/>
    <w:tmpl w:val="0AB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1DC4CFE"/>
    <w:multiLevelType w:val="multilevel"/>
    <w:tmpl w:val="F7F4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203780"/>
    <w:multiLevelType w:val="multilevel"/>
    <w:tmpl w:val="C1C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8B5"/>
    <w:rsid w:val="00051FB8"/>
    <w:rsid w:val="00095BA6"/>
    <w:rsid w:val="000F1FE8"/>
    <w:rsid w:val="0018109A"/>
    <w:rsid w:val="00210DB3"/>
    <w:rsid w:val="0031418A"/>
    <w:rsid w:val="00350B15"/>
    <w:rsid w:val="00377A3D"/>
    <w:rsid w:val="0052086C"/>
    <w:rsid w:val="005A2562"/>
    <w:rsid w:val="00755964"/>
    <w:rsid w:val="008C19D7"/>
    <w:rsid w:val="00A44D32"/>
    <w:rsid w:val="00AA6BA0"/>
    <w:rsid w:val="00AF18B5"/>
    <w:rsid w:val="00DB1E90"/>
    <w:rsid w:val="00E12572"/>
    <w:rsid w:val="00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A2E8FA-5CCA-42EC-B752-FD57153C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8B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18B5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F18B5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 w:cs="Journ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18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F18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F18B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AF18B5"/>
    <w:rPr>
      <w:color w:val="0000FF"/>
      <w:u w:val="single"/>
    </w:rPr>
  </w:style>
  <w:style w:type="paragraph" w:styleId="a4">
    <w:name w:val="Normal (Web)"/>
    <w:basedOn w:val="a"/>
    <w:uiPriority w:val="99"/>
    <w:rsid w:val="00AF18B5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AF18B5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AF18B5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AF18B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AF18B5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AF18B5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AF18B5"/>
    <w:rPr>
      <w:sz w:val="20"/>
      <w:szCs w:val="20"/>
      <w:vertAlign w:val="superscript"/>
    </w:rPr>
  </w:style>
  <w:style w:type="paragraph" w:styleId="af">
    <w:name w:val="Title"/>
    <w:basedOn w:val="a"/>
    <w:link w:val="af0"/>
    <w:uiPriority w:val="99"/>
    <w:qFormat/>
    <w:rsid w:val="00AF18B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AF18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AF18B5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AF18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AF18B5"/>
    <w:rPr>
      <w:i/>
      <w:iCs/>
    </w:rPr>
  </w:style>
  <w:style w:type="character" w:styleId="HTML">
    <w:name w:val="HTML Cite"/>
    <w:basedOn w:val="a0"/>
    <w:uiPriority w:val="99"/>
    <w:rsid w:val="00AF18B5"/>
    <w:rPr>
      <w:i/>
      <w:iCs/>
    </w:rPr>
  </w:style>
  <w:style w:type="character" w:styleId="af4">
    <w:name w:val="Strong"/>
    <w:basedOn w:val="a0"/>
    <w:uiPriority w:val="99"/>
    <w:qFormat/>
    <w:rsid w:val="00AF18B5"/>
    <w:rPr>
      <w:b/>
      <w:bCs/>
    </w:rPr>
  </w:style>
  <w:style w:type="character" w:styleId="HTML0">
    <w:name w:val="HTML Sample"/>
    <w:basedOn w:val="a0"/>
    <w:uiPriority w:val="99"/>
    <w:rsid w:val="00AF18B5"/>
    <w:rPr>
      <w:rFonts w:ascii="Courier New" w:eastAsia="Times New Roman" w:hAnsi="Courier New" w:cs="Courier New"/>
    </w:rPr>
  </w:style>
  <w:style w:type="character" w:customStyle="1" w:styleId="headsub11">
    <w:name w:val="head_sub11"/>
    <w:basedOn w:val="a0"/>
    <w:uiPriority w:val="99"/>
    <w:rsid w:val="00AF18B5"/>
    <w:rPr>
      <w:b/>
      <w:bCs/>
      <w:color w:val="auto"/>
      <w:sz w:val="20"/>
      <w:szCs w:val="20"/>
    </w:rPr>
  </w:style>
  <w:style w:type="character" w:customStyle="1" w:styleId="text1">
    <w:name w:val="text1"/>
    <w:basedOn w:val="a0"/>
    <w:uiPriority w:val="99"/>
    <w:rsid w:val="00AF18B5"/>
    <w:rPr>
      <w:sz w:val="20"/>
      <w:szCs w:val="20"/>
    </w:rPr>
  </w:style>
  <w:style w:type="character" w:styleId="af5">
    <w:name w:val="annotation reference"/>
    <w:basedOn w:val="a0"/>
    <w:uiPriority w:val="99"/>
    <w:semiHidden/>
    <w:rsid w:val="00AF18B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F18B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F18B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AF18B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style11">
    <w:name w:val="style11"/>
    <w:basedOn w:val="a0"/>
    <w:uiPriority w:val="99"/>
    <w:rsid w:val="00AF18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3676</Words>
  <Characters>20957</Characters>
  <Application>Microsoft Office Word</Application>
  <DocSecurity>0</DocSecurity>
  <Lines>174</Lines>
  <Paragraphs>49</Paragraphs>
  <ScaleCrop>false</ScaleCrop>
  <Company>Home</Company>
  <LinksUpToDate>false</LinksUpToDate>
  <CharactersWithSpaces>24584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Фауна моногеней эпипелагических сарганообразных рыб и ее происхождение</dc:title>
  <dc:subject/>
  <dc:creator>Alena</dc:creator>
  <cp:keywords/>
  <dc:description/>
  <cp:lastModifiedBy>admin</cp:lastModifiedBy>
  <cp:revision>2</cp:revision>
  <dcterms:created xsi:type="dcterms:W3CDTF">2014-02-18T13:38:00Z</dcterms:created>
  <dcterms:modified xsi:type="dcterms:W3CDTF">2014-02-18T13:38:00Z</dcterms:modified>
</cp:coreProperties>
</file>