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E9" w:rsidRDefault="00C95DE9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Министерство высшего и специального образования Р.Ф.</w:t>
      </w:r>
    </w:p>
    <w:p w:rsidR="00C95DE9" w:rsidRDefault="00C95DE9">
      <w:pPr>
        <w:ind w:firstLine="709"/>
        <w:jc w:val="center"/>
        <w:rPr>
          <w:b/>
          <w:bCs/>
          <w:sz w:val="32"/>
        </w:rPr>
      </w:pPr>
    </w:p>
    <w:p w:rsidR="00C95DE9" w:rsidRDefault="00C95DE9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Кубанский государственный университет.</w:t>
      </w: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sz w:val="32"/>
        </w:rPr>
      </w:pPr>
    </w:p>
    <w:p w:rsidR="00C95DE9" w:rsidRDefault="00C95DE9">
      <w:pPr>
        <w:ind w:firstLine="709"/>
        <w:jc w:val="center"/>
        <w:rPr>
          <w:b/>
          <w:bCs/>
          <w:sz w:val="32"/>
        </w:rPr>
      </w:pPr>
    </w:p>
    <w:p w:rsidR="00C95DE9" w:rsidRDefault="00C95DE9">
      <w:pPr>
        <w:ind w:firstLine="709"/>
        <w:jc w:val="center"/>
        <w:rPr>
          <w:rFonts w:ascii="Baltica" w:hAnsi="Baltica"/>
          <w:b/>
          <w:bCs/>
          <w:sz w:val="28"/>
        </w:rPr>
      </w:pPr>
      <w:r>
        <w:rPr>
          <w:b/>
          <w:bCs/>
          <w:sz w:val="32"/>
        </w:rPr>
        <w:t>Реферат на тему:</w:t>
      </w:r>
    </w:p>
    <w:p w:rsidR="00C95DE9" w:rsidRDefault="00C95DE9">
      <w:pPr>
        <w:ind w:firstLine="709"/>
        <w:jc w:val="center"/>
        <w:rPr>
          <w:rFonts w:ascii="Baltica" w:hAnsi="Baltica"/>
          <w:sz w:val="28"/>
        </w:rPr>
      </w:pPr>
    </w:p>
    <w:p w:rsidR="00C95DE9" w:rsidRDefault="00C95DE9">
      <w:pPr>
        <w:pStyle w:val="a7"/>
        <w:rPr>
          <w:rFonts w:ascii="Baltica" w:hAnsi="Baltica"/>
        </w:rPr>
      </w:pPr>
      <w:r>
        <w:t>Шпинель. Структура шпинели.</w:t>
      </w:r>
    </w:p>
    <w:p w:rsidR="00C95DE9" w:rsidRDefault="00C95DE9">
      <w:pPr>
        <w:ind w:firstLine="709"/>
        <w:jc w:val="center"/>
        <w:rPr>
          <w:rFonts w:ascii="Baltica" w:hAnsi="Baltica"/>
          <w:sz w:val="28"/>
        </w:rPr>
      </w:pPr>
    </w:p>
    <w:p w:rsidR="00C95DE9" w:rsidRDefault="00C95DE9">
      <w:pPr>
        <w:ind w:firstLine="709"/>
        <w:jc w:val="center"/>
        <w:rPr>
          <w:rFonts w:ascii="Baltica" w:hAnsi="Baltica"/>
          <w:sz w:val="28"/>
        </w:rPr>
      </w:pPr>
    </w:p>
    <w:p w:rsidR="00C95DE9" w:rsidRDefault="00C95DE9">
      <w:pPr>
        <w:ind w:firstLine="709"/>
        <w:jc w:val="center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828"/>
        <w:jc w:val="both"/>
        <w:rPr>
          <w:rFonts w:ascii="Baltica" w:hAnsi="Baltica"/>
          <w:sz w:val="28"/>
        </w:rPr>
      </w:pPr>
    </w:p>
    <w:p w:rsidR="00C95DE9" w:rsidRDefault="00C95DE9">
      <w:pPr>
        <w:ind w:left="3969" w:firstLine="709"/>
        <w:rPr>
          <w:rFonts w:ascii="Baltica" w:hAnsi="Baltica"/>
          <w:sz w:val="28"/>
        </w:rPr>
      </w:pPr>
    </w:p>
    <w:p w:rsidR="00C95DE9" w:rsidRDefault="00C95DE9">
      <w:pPr>
        <w:ind w:left="3969" w:firstLine="709"/>
        <w:rPr>
          <w:sz w:val="28"/>
        </w:rPr>
      </w:pPr>
    </w:p>
    <w:p w:rsidR="00C95DE9" w:rsidRDefault="00C95DE9">
      <w:pPr>
        <w:pStyle w:val="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Выполнил студент</w:t>
      </w:r>
    </w:p>
    <w:p w:rsidR="00C95DE9" w:rsidRDefault="00C95DE9">
      <w:pPr>
        <w:ind w:left="3969" w:firstLine="709"/>
        <w:jc w:val="right"/>
        <w:rPr>
          <w:sz w:val="28"/>
        </w:rPr>
      </w:pPr>
      <w:r>
        <w:rPr>
          <w:sz w:val="28"/>
        </w:rPr>
        <w:t>2-го курса 1-й группы</w:t>
      </w:r>
    </w:p>
    <w:p w:rsidR="00C95DE9" w:rsidRDefault="00C95DE9">
      <w:pPr>
        <w:ind w:left="3969" w:firstLine="709"/>
        <w:jc w:val="right"/>
        <w:rPr>
          <w:sz w:val="28"/>
        </w:rPr>
      </w:pPr>
      <w:r>
        <w:rPr>
          <w:sz w:val="28"/>
        </w:rPr>
        <w:t>химического факультета</w:t>
      </w:r>
    </w:p>
    <w:p w:rsidR="00C95DE9" w:rsidRDefault="00C95DE9">
      <w:pPr>
        <w:ind w:left="3969" w:firstLine="709"/>
        <w:jc w:val="right"/>
        <w:rPr>
          <w:sz w:val="28"/>
        </w:rPr>
      </w:pPr>
      <w:r>
        <w:rPr>
          <w:sz w:val="28"/>
        </w:rPr>
        <w:t>Косенко М. М.</w:t>
      </w:r>
    </w:p>
    <w:p w:rsidR="00C95DE9" w:rsidRDefault="00C95DE9">
      <w:pPr>
        <w:jc w:val="right"/>
        <w:rPr>
          <w:sz w:val="28"/>
        </w:rPr>
      </w:pPr>
      <w:r>
        <w:rPr>
          <w:sz w:val="28"/>
        </w:rPr>
        <w:t>Проверила</w:t>
      </w:r>
    </w:p>
    <w:p w:rsidR="00C95DE9" w:rsidRDefault="00C95DE9">
      <w:pPr>
        <w:jc w:val="right"/>
        <w:rPr>
          <w:rFonts w:ascii="Baltica" w:hAnsi="Baltica"/>
          <w:sz w:val="28"/>
        </w:rPr>
      </w:pPr>
      <w:r>
        <w:rPr>
          <w:rFonts w:ascii="Baltica" w:hAnsi="Baltica"/>
          <w:sz w:val="28"/>
        </w:rPr>
        <w:t>Стороженко Т. П.</w:t>
      </w:r>
    </w:p>
    <w:p w:rsidR="00C95DE9" w:rsidRDefault="00C95DE9">
      <w:pPr>
        <w:ind w:left="3969" w:firstLine="709"/>
        <w:rPr>
          <w:rFonts w:ascii="Baltica" w:hAnsi="Baltica"/>
          <w:sz w:val="28"/>
        </w:rPr>
      </w:pPr>
    </w:p>
    <w:p w:rsidR="00C95DE9" w:rsidRDefault="00C95DE9">
      <w:pPr>
        <w:ind w:firstLine="709"/>
        <w:jc w:val="center"/>
        <w:rPr>
          <w:sz w:val="28"/>
        </w:rPr>
      </w:pPr>
    </w:p>
    <w:p w:rsidR="00C95DE9" w:rsidRDefault="00C95DE9">
      <w:pPr>
        <w:ind w:firstLine="709"/>
        <w:jc w:val="center"/>
        <w:rPr>
          <w:sz w:val="28"/>
        </w:rPr>
      </w:pPr>
    </w:p>
    <w:p w:rsidR="00C95DE9" w:rsidRDefault="00C95DE9">
      <w:pPr>
        <w:ind w:firstLine="709"/>
        <w:jc w:val="center"/>
        <w:rPr>
          <w:sz w:val="28"/>
        </w:rPr>
      </w:pPr>
    </w:p>
    <w:p w:rsidR="00C95DE9" w:rsidRDefault="00C95DE9">
      <w:pPr>
        <w:jc w:val="center"/>
        <w:rPr>
          <w:b/>
          <w:bCs/>
          <w:sz w:val="32"/>
        </w:rPr>
      </w:pPr>
    </w:p>
    <w:p w:rsidR="00C95DE9" w:rsidRDefault="00C95DE9">
      <w:pPr>
        <w:jc w:val="center"/>
        <w:rPr>
          <w:b/>
          <w:bCs/>
          <w:sz w:val="32"/>
        </w:rPr>
      </w:pPr>
    </w:p>
    <w:p w:rsidR="00C95DE9" w:rsidRDefault="00C95DE9">
      <w:pPr>
        <w:jc w:val="center"/>
        <w:rPr>
          <w:sz w:val="28"/>
        </w:rPr>
      </w:pPr>
      <w:r>
        <w:rPr>
          <w:b/>
          <w:bCs/>
          <w:sz w:val="32"/>
        </w:rPr>
        <w:t>Краснодар 2002.</w:t>
      </w:r>
    </w:p>
    <w:p w:rsidR="00C95DE9" w:rsidRDefault="00C95DE9">
      <w:pPr>
        <w:pStyle w:val="a3"/>
        <w:jc w:val="both"/>
        <w:rPr>
          <w:sz w:val="24"/>
        </w:rPr>
      </w:pPr>
    </w:p>
    <w:p w:rsidR="00C95DE9" w:rsidRDefault="00C95DE9">
      <w:pPr>
        <w:pStyle w:val="1"/>
      </w:pPr>
      <w:r>
        <w:t>Содержание:</w:t>
      </w:r>
    </w:p>
    <w:p w:rsidR="00C95DE9" w:rsidRDefault="00C95DE9"/>
    <w:p w:rsidR="00C95DE9" w:rsidRDefault="00C95D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Химический состав. Разновидности шпинелоидов. ………………… 3.</w:t>
      </w:r>
    </w:p>
    <w:p w:rsidR="00C95DE9" w:rsidRDefault="00C95D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Строение благородной шпинели. …………………………………….. 6.</w:t>
      </w:r>
    </w:p>
    <w:p w:rsidR="00C95DE9" w:rsidRDefault="00C95D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Практическое применение соединений типа </w:t>
      </w:r>
      <w:r>
        <w:rPr>
          <w:sz w:val="28"/>
          <w:lang w:val="en-US"/>
        </w:rPr>
        <w:t>X</w:t>
      </w:r>
      <w:r>
        <w:rPr>
          <w:sz w:val="28"/>
          <w:vertAlign w:val="superscript"/>
        </w:rPr>
        <w:t>2+</w:t>
      </w:r>
      <w:r>
        <w:rPr>
          <w:sz w:val="28"/>
          <w:lang w:val="en-US"/>
        </w:rPr>
        <w:t>Y</w:t>
      </w:r>
      <w:r>
        <w:rPr>
          <w:sz w:val="28"/>
          <w:vertAlign w:val="subscript"/>
        </w:rPr>
        <w:t>2</w:t>
      </w:r>
      <w:r>
        <w:rPr>
          <w:sz w:val="28"/>
          <w:vertAlign w:val="superscript"/>
        </w:rPr>
        <w:t>3+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2-</w:t>
      </w:r>
      <w:r>
        <w:rPr>
          <w:sz w:val="28"/>
        </w:rPr>
        <w:t>……………12.</w:t>
      </w:r>
    </w:p>
    <w:p w:rsidR="00C95DE9" w:rsidRDefault="00C95DE9">
      <w:pPr>
        <w:numPr>
          <w:ilvl w:val="0"/>
          <w:numId w:val="1"/>
        </w:numPr>
        <w:rPr>
          <w:sz w:val="28"/>
        </w:rPr>
      </w:pPr>
      <w:r>
        <w:rPr>
          <w:sz w:val="28"/>
          <w:vertAlign w:val="superscript"/>
        </w:rPr>
        <w:t xml:space="preserve"> </w:t>
      </w:r>
      <w:r>
        <w:rPr>
          <w:sz w:val="28"/>
        </w:rPr>
        <w:t>Синтез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шпинели состава MgAl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 xml:space="preserve">4 </w:t>
      </w:r>
      <w:r>
        <w:rPr>
          <w:sz w:val="28"/>
        </w:rPr>
        <w:t>. …………………………………..14.</w:t>
      </w:r>
    </w:p>
    <w:p w:rsidR="00C95DE9" w:rsidRDefault="00C95DE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Список используемой литературы. …………………………………...15.</w:t>
      </w: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8"/>
        </w:rPr>
      </w:pPr>
      <w:r>
        <w:rPr>
          <w:sz w:val="28"/>
        </w:rPr>
        <w:t xml:space="preserve">Формула главного представителя группы шпинели </w:t>
      </w:r>
      <w:r>
        <w:rPr>
          <w:i/>
          <w:sz w:val="28"/>
        </w:rPr>
        <w:t>—</w:t>
      </w:r>
      <w:r>
        <w:rPr>
          <w:sz w:val="28"/>
        </w:rPr>
        <w:t xml:space="preserve"> MgAl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4</w:t>
      </w:r>
      <w:r>
        <w:rPr>
          <w:sz w:val="28"/>
        </w:rPr>
        <w:t>.</w:t>
      </w:r>
    </w:p>
    <w:p w:rsidR="00C95DE9" w:rsidRDefault="00AA002E">
      <w:pPr>
        <w:spacing w:before="100" w:after="100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41.8pt;width:69pt;height:71.25pt;z-index:251657216;mso-wrap-distance-left:3.75pt;mso-wrap-distance-top:1.5pt;mso-wrap-distance-right:3.75pt;mso-wrap-distance-bottom:1.5pt;mso-position-horizontal:left" o:allowincell="f" o:allowoverlap="f">
            <v:imagedata r:id="rId7" o:title="shpin"/>
            <w10:wrap type="square"/>
          </v:shape>
        </w:pict>
      </w:r>
      <w:r w:rsidR="00C95DE9">
        <w:rPr>
          <w:sz w:val="28"/>
        </w:rPr>
        <w:t>Название</w:t>
      </w:r>
      <w:r w:rsidR="00C95DE9">
        <w:rPr>
          <w:i/>
          <w:sz w:val="28"/>
        </w:rPr>
        <w:t>,</w:t>
      </w:r>
      <w:r w:rsidR="00C95DE9">
        <w:rPr>
          <w:sz w:val="28"/>
        </w:rPr>
        <w:t xml:space="preserve"> вероятно, происходит от лат. “спинелла” — маленький шип, что связано с октаэдрической формой кристаллов.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 xml:space="preserve">Химический состав </w:t>
      </w:r>
      <w:r>
        <w:rPr>
          <w:i/>
          <w:sz w:val="28"/>
        </w:rPr>
        <w:t>—</w:t>
      </w:r>
      <w:r>
        <w:rPr>
          <w:sz w:val="28"/>
        </w:rPr>
        <w:t xml:space="preserve"> содержание (в %): MgO — 28,2; А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</w:rPr>
        <w:t>О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— 71,8; обычны примеси железа, хрома, цинка, марганца. Цвет</w:t>
      </w:r>
      <w:r>
        <w:rPr>
          <w:i/>
          <w:sz w:val="28"/>
        </w:rPr>
        <w:t xml:space="preserve"> —</w:t>
      </w:r>
      <w:r>
        <w:rPr>
          <w:sz w:val="28"/>
        </w:rPr>
        <w:t xml:space="preserve"> зеленовато-синий, синий до черного, розовый, красный (обусловлен примесями).</w:t>
      </w:r>
    </w:p>
    <w:p w:rsidR="00C95DE9" w:rsidRDefault="00C95DE9">
      <w:pPr>
        <w:spacing w:before="30" w:after="45"/>
        <w:jc w:val="both"/>
        <w:rPr>
          <w:sz w:val="28"/>
        </w:rPr>
      </w:pP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Черта — белая.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Блеск</w:t>
      </w:r>
      <w:r>
        <w:rPr>
          <w:i/>
          <w:sz w:val="28"/>
        </w:rPr>
        <w:t xml:space="preserve"> —</w:t>
      </w:r>
      <w:r>
        <w:rPr>
          <w:sz w:val="28"/>
        </w:rPr>
        <w:t xml:space="preserve"> стеклянный.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Прозрачность — от непрозрачной до прозрачной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Твердость</w:t>
      </w:r>
      <w:r>
        <w:rPr>
          <w:i/>
          <w:sz w:val="28"/>
        </w:rPr>
        <w:t xml:space="preserve"> —</w:t>
      </w:r>
      <w:r>
        <w:rPr>
          <w:sz w:val="28"/>
        </w:rPr>
        <w:t xml:space="preserve"> 8.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Плотность</w:t>
      </w:r>
      <w:r>
        <w:rPr>
          <w:i/>
          <w:sz w:val="28"/>
        </w:rPr>
        <w:t xml:space="preserve"> —</w:t>
      </w:r>
      <w:r>
        <w:rPr>
          <w:b/>
          <w:sz w:val="28"/>
        </w:rPr>
        <w:t xml:space="preserve"> </w:t>
      </w:r>
      <w:r>
        <w:rPr>
          <w:sz w:val="28"/>
        </w:rPr>
        <w:t xml:space="preserve">3,6 г/см 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 xml:space="preserve">Излом </w:t>
      </w:r>
      <w:r>
        <w:rPr>
          <w:i/>
          <w:sz w:val="28"/>
        </w:rPr>
        <w:t>—</w:t>
      </w:r>
      <w:r>
        <w:rPr>
          <w:sz w:val="28"/>
        </w:rPr>
        <w:t xml:space="preserve"> раковистый.</w:t>
      </w:r>
    </w:p>
    <w:p w:rsidR="00C95DE9" w:rsidRDefault="00C95DE9">
      <w:pPr>
        <w:spacing w:before="30" w:after="45"/>
        <w:jc w:val="both"/>
        <w:rPr>
          <w:sz w:val="28"/>
        </w:rPr>
      </w:pPr>
      <w:r>
        <w:rPr>
          <w:sz w:val="28"/>
        </w:rPr>
        <w:t>Сингония — кубическая, гексаоктаэдрический</w:t>
      </w:r>
      <w:r>
        <w:rPr>
          <w:b/>
          <w:sz w:val="28"/>
        </w:rPr>
        <w:t xml:space="preserve"> </w:t>
      </w:r>
      <w:r>
        <w:rPr>
          <w:sz w:val="28"/>
        </w:rPr>
        <w:t>вид симметрии.</w:t>
      </w:r>
    </w:p>
    <w:p w:rsidR="00C95DE9" w:rsidRDefault="00C95DE9">
      <w:pPr>
        <w:spacing w:before="30" w:after="30"/>
        <w:jc w:val="both"/>
        <w:rPr>
          <w:sz w:val="28"/>
        </w:rPr>
      </w:pPr>
      <w:r>
        <w:rPr>
          <w:sz w:val="28"/>
        </w:rPr>
        <w:t>Спайность —   несовершенная по (111).</w:t>
      </w:r>
    </w:p>
    <w:tbl>
      <w:tblPr>
        <w:tblpPr w:leftFromText="180" w:rightFromText="180" w:vertAnchor="text" w:tblpY="1"/>
        <w:tblOverlap w:val="never"/>
        <w:tblW w:w="5907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56"/>
        <w:gridCol w:w="1851"/>
      </w:tblGrid>
      <w:tr w:rsidR="00C95DE9">
        <w:trPr>
          <w:cantSplit/>
          <w:trHeight w:val="339"/>
          <w:tblCellSpacing w:w="15" w:type="dxa"/>
        </w:trPr>
        <w:tc>
          <w:tcPr>
            <w:tcW w:w="4011" w:type="dxa"/>
            <w:vAlign w:val="bottom"/>
          </w:tcPr>
          <w:p w:rsidR="00C95DE9" w:rsidRDefault="00C95DE9">
            <w:pPr>
              <w:spacing w:line="225" w:lineRule="atLeast"/>
              <w:jc w:val="right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Название:</w:t>
            </w:r>
          </w:p>
        </w:tc>
        <w:tc>
          <w:tcPr>
            <w:tcW w:w="0" w:type="auto"/>
            <w:vAlign w:val="bottom"/>
          </w:tcPr>
          <w:p w:rsidR="00C95DE9" w:rsidRDefault="00C95DE9">
            <w:pPr>
              <w:spacing w:line="225" w:lineRule="atLeast"/>
              <w:rPr>
                <w:color w:val="000000"/>
                <w:sz w:val="28"/>
                <w:szCs w:val="24"/>
              </w:rPr>
            </w:pPr>
            <w:r>
              <w:rPr>
                <w:sz w:val="28"/>
              </w:rPr>
              <w:t xml:space="preserve">Шпинель </w:t>
            </w:r>
          </w:p>
        </w:tc>
      </w:tr>
      <w:tr w:rsidR="00C95DE9">
        <w:trPr>
          <w:cantSplit/>
          <w:trHeight w:val="339"/>
          <w:tblCellSpacing w:w="15" w:type="dxa"/>
        </w:trPr>
        <w:tc>
          <w:tcPr>
            <w:tcW w:w="4011" w:type="dxa"/>
            <w:vAlign w:val="bottom"/>
          </w:tcPr>
          <w:p w:rsidR="00C95DE9" w:rsidRDefault="00C95DE9">
            <w:pPr>
              <w:spacing w:line="225" w:lineRule="atLeast"/>
              <w:jc w:val="right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Формула</w:t>
            </w:r>
            <w:r>
              <w:rPr>
                <w:b/>
                <w:bCs/>
                <w:sz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95DE9" w:rsidRDefault="00C95DE9">
            <w:pPr>
              <w:spacing w:line="225" w:lineRule="atLeast"/>
              <w:rPr>
                <w:color w:val="000000"/>
                <w:sz w:val="28"/>
                <w:szCs w:val="24"/>
              </w:rPr>
            </w:pPr>
            <w:r>
              <w:rPr>
                <w:sz w:val="28"/>
              </w:rPr>
              <w:t>MgAl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O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 xml:space="preserve"> </w:t>
            </w:r>
          </w:p>
        </w:tc>
      </w:tr>
      <w:tr w:rsidR="00C95DE9">
        <w:trPr>
          <w:cantSplit/>
          <w:trHeight w:val="564"/>
          <w:tblCellSpacing w:w="15" w:type="dxa"/>
        </w:trPr>
        <w:tc>
          <w:tcPr>
            <w:tcW w:w="4011" w:type="dxa"/>
            <w:vAlign w:val="bottom"/>
          </w:tcPr>
          <w:p w:rsidR="00C95DE9" w:rsidRDefault="00C95DE9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Обозначение вида симметрии:</w:t>
            </w:r>
            <w:r>
              <w:rPr>
                <w:b/>
                <w:bCs/>
                <w:sz w:val="28"/>
                <w:vertAlign w:val="subscript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95DE9" w:rsidRDefault="00C95DE9">
            <w:pPr>
              <w:rPr>
                <w:color w:val="000000"/>
                <w:sz w:val="28"/>
                <w:szCs w:val="24"/>
              </w:rPr>
            </w:pPr>
            <w:r>
              <w:rPr>
                <w:sz w:val="28"/>
              </w:rPr>
              <w:t>m3m, 3L</w:t>
            </w:r>
            <w:r>
              <w:rPr>
                <w:sz w:val="28"/>
                <w:vertAlign w:val="subscript"/>
              </w:rPr>
              <w:t>4</w:t>
            </w:r>
            <w:r>
              <w:rPr>
                <w:sz w:val="28"/>
              </w:rPr>
              <w:t>4L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>6L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9PC</w:t>
            </w:r>
          </w:p>
        </w:tc>
      </w:tr>
      <w:tr w:rsidR="00C95DE9">
        <w:trPr>
          <w:cantSplit/>
          <w:trHeight w:val="564"/>
          <w:tblCellSpacing w:w="15" w:type="dxa"/>
        </w:trPr>
        <w:tc>
          <w:tcPr>
            <w:tcW w:w="4011" w:type="dxa"/>
            <w:vAlign w:val="bottom"/>
          </w:tcPr>
          <w:p w:rsidR="00C95DE9" w:rsidRDefault="00C95DE9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Федоровская группа</w:t>
            </w:r>
            <w:r>
              <w:rPr>
                <w:b/>
                <w:bCs/>
                <w:sz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C95DE9" w:rsidRDefault="00C95DE9">
            <w:pPr>
              <w:rPr>
                <w:color w:val="000000"/>
                <w:sz w:val="28"/>
                <w:szCs w:val="24"/>
              </w:rPr>
            </w:pPr>
            <w:r>
              <w:rPr>
                <w:sz w:val="28"/>
              </w:rPr>
              <w:t>Fd3m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C95DE9">
        <w:trPr>
          <w:cantSplit/>
          <w:trHeight w:val="1129"/>
          <w:tblCellSpacing w:w="15" w:type="dxa"/>
        </w:trPr>
        <w:tc>
          <w:tcPr>
            <w:tcW w:w="4011" w:type="dxa"/>
          </w:tcPr>
          <w:p w:rsidR="00C95DE9" w:rsidRDefault="00C95DE9">
            <w:pPr>
              <w:jc w:val="right"/>
              <w:rPr>
                <w:color w:val="000000"/>
                <w:sz w:val="28"/>
                <w:szCs w:val="24"/>
              </w:rPr>
            </w:pPr>
            <w:r>
              <w:rPr>
                <w:b/>
                <w:bCs/>
                <w:sz w:val="28"/>
              </w:rPr>
              <w:t>Параметры элементарной ячейки</w:t>
            </w:r>
            <w:r>
              <w:rPr>
                <w:b/>
                <w:bCs/>
                <w:sz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</w:rPr>
              <w:t>:</w:t>
            </w:r>
          </w:p>
        </w:tc>
        <w:tc>
          <w:tcPr>
            <w:tcW w:w="0" w:type="auto"/>
            <w:vAlign w:val="bottom"/>
          </w:tcPr>
          <w:p w:rsidR="00C95DE9" w:rsidRDefault="00C95DE9">
            <w:pPr>
              <w:rPr>
                <w:color w:val="000000"/>
                <w:sz w:val="28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>=1; b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>=1; c</w:t>
            </w:r>
            <w:r>
              <w:rPr>
                <w:sz w:val="28"/>
                <w:vertAlign w:val="subscript"/>
                <w:lang w:val="en-US"/>
              </w:rPr>
              <w:t>0</w:t>
            </w:r>
            <w:r>
              <w:rPr>
                <w:sz w:val="28"/>
                <w:lang w:val="en-US"/>
              </w:rPr>
              <w:t xml:space="preserve">=1 </w:t>
            </w:r>
            <w:r>
              <w:rPr>
                <w:sz w:val="28"/>
                <w:lang w:val="en-US"/>
              </w:rPr>
              <w:br/>
            </w:r>
            <w:r>
              <w:rPr>
                <w:sz w:val="28"/>
              </w:rPr>
              <w:sym w:font="Symbol" w:char="F061"/>
            </w:r>
            <w:r>
              <w:rPr>
                <w:sz w:val="28"/>
                <w:lang w:val="en-US"/>
              </w:rPr>
              <w:t xml:space="preserve">=90; </w:t>
            </w:r>
            <w:r>
              <w:rPr>
                <w:sz w:val="28"/>
              </w:rPr>
              <w:sym w:font="Symbol" w:char="F062"/>
            </w:r>
            <w:r>
              <w:rPr>
                <w:sz w:val="28"/>
                <w:lang w:val="en-US"/>
              </w:rPr>
              <w:t xml:space="preserve">=90; </w:t>
            </w:r>
            <w:r>
              <w:rPr>
                <w:sz w:val="28"/>
              </w:rPr>
              <w:sym w:font="Symbol" w:char="F067"/>
            </w:r>
            <w:r>
              <w:rPr>
                <w:sz w:val="28"/>
                <w:lang w:val="en-US"/>
              </w:rPr>
              <w:t>=90</w:t>
            </w:r>
          </w:p>
        </w:tc>
      </w:tr>
    </w:tbl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AA002E">
      <w:pPr>
        <w:spacing w:before="30" w:after="30"/>
        <w:jc w:val="both"/>
        <w:rPr>
          <w:sz w:val="28"/>
          <w:lang w:val="en-US"/>
        </w:rPr>
      </w:pPr>
      <w:r>
        <w:rPr>
          <w:noProof/>
        </w:rPr>
        <w:pict>
          <v:shape id="_x0000_s1030" type="#_x0000_t75" style="position:absolute;left:0;text-align:left;margin-left:48.95pt;margin-top:12.1pt;width:108pt;height:108pt;z-index:251658240">
            <v:imagedata r:id="rId8" o:title=""/>
          </v:shape>
        </w:pict>
      </w: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</w:p>
    <w:p w:rsidR="00C95DE9" w:rsidRDefault="00C95DE9">
      <w:pPr>
        <w:spacing w:before="30" w:after="3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Элементарная ячейка.</w:t>
      </w:r>
      <w:r>
        <w:rPr>
          <w:sz w:val="28"/>
          <w:lang w:val="en-US"/>
        </w:rPr>
        <w:br w:type="textWrapping" w:clear="all"/>
      </w:r>
    </w:p>
    <w:p w:rsidR="00C95DE9" w:rsidRDefault="00C95DE9">
      <w:pPr>
        <w:spacing w:before="30" w:after="30"/>
        <w:jc w:val="both"/>
        <w:rPr>
          <w:sz w:val="28"/>
        </w:rPr>
      </w:pPr>
      <w:r>
        <w:rPr>
          <w:sz w:val="28"/>
        </w:rPr>
        <w:t>Встречается преимущественно в форме октаэдрических кристаллов (другие простые формы редки) обычно небольших размеров. Характерны двойники срастания по (111} — по шпинелевому закону. Менее распространены изометрические зерна и зернистые агрегаты. У реальных кристаллов шпинели обычно наиболее развита одна или пара противоположных граней октаэдра. При этом шпинелевые двойники приобретают характерный треугольно-пластинчатый облик с раздвоенными (входящими) углами.</w:t>
      </w:r>
    </w:p>
    <w:p w:rsidR="00C95DE9" w:rsidRDefault="00C95DE9">
      <w:pPr>
        <w:spacing w:before="45" w:after="45"/>
        <w:jc w:val="both"/>
        <w:rPr>
          <w:b/>
          <w:sz w:val="28"/>
        </w:rPr>
      </w:pPr>
      <w:r>
        <w:rPr>
          <w:sz w:val="28"/>
        </w:rPr>
        <w:t>Окраска шпинели определяется в основном изоморфной примесью Fe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(плеонаст и герцинит — зелено-бурая до черной), Fе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(хлоршпинель — травяно- и оливково-зеленая), Fe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 ,</w:t>
      </w:r>
      <w:r>
        <w:rPr>
          <w:b/>
          <w:sz w:val="28"/>
        </w:rPr>
        <w:t xml:space="preserve"> </w:t>
      </w:r>
      <w:r>
        <w:rPr>
          <w:sz w:val="28"/>
        </w:rPr>
        <w:t>Fe</w:t>
      </w:r>
      <w:r>
        <w:rPr>
          <w:sz w:val="28"/>
          <w:vertAlign w:val="superscript"/>
        </w:rPr>
        <w:t>3+</w:t>
      </w:r>
      <w:r>
        <w:rPr>
          <w:sz w:val="28"/>
        </w:rPr>
        <w:t>, и Сг (пикотит — желто-зеленая, зеленая), Zn (ганошпинель — зеленовато-синяя, темно-синяя).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 xml:space="preserve">Типичный минерал магнезиальных скарнов, ассоциирующий с форстеритом, энстатитом, диопсидом, кальцитом и др. В основном минералы группы шпинели присутствуют в качестве акцессорных  в основных изверженных породах, некоторых пегматитах, метаморфизованных глинозёмистых осадочных породах и глинозёмсодержащих ксенолитах в изверженных породах, а также в контактово-метаморфических известняках. При их разрушении образуются пески, содержащие шпинель (Шри-Ланка, Бирма). Герцинит обычно встречается в богатых железом и обеднённых кремнекислотой глинозёмистых контактовых роговиках и их ксенолитах, в гранулитах, метаморфизованных пироксенитах и ультраосновных породах. Ганит распространён мало, известен в гранитных пегматитах. Галаксит редок.  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ab/>
        <w:t>Магнетит широко распространён как неотъемлемый акцессорный минерал изверженных пород и присутствует в составе так называемых черных песков, образованных при их разрушении. Также он нередко встречается совместно с ильменитом в породах габбровой  серии (Эгерсунн, Норвегия,  ЮАР), а в ассоциации с апатитом – в сиенит-порфирах известного месторождения Кируна в Швеции. Вследствие метоморфизма магнетит образуется в пластовых кремнистых железных рудах докембрийского возраста. Часто содержит титан. Отмечается в фумарольных отложениях Долины Десяти Тысяч Дымов на Аляске. Франклинит является основным минералом цинковых месторождений, залегающих в кристаллических известняках во Франклин-Фернас, Нью-Джерси. Другие члены подгруппы магнетита редки.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ab/>
        <w:t xml:space="preserve">Хромит неизменно связан с перидотитами (или с развитыми по ним серпентинитами), норитами и анортозитами. Его сегрегации в магматических породах часто имеют форму латерально выдержанных слоёв, аккумулирующих большие запасы хромита. Крупные месторождения находятся на Урале, ЮАР, Зимбабве, Кубе и т.д. 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ab/>
        <w:t>Ульвошпинель встречается практически только в виде микроскопических выделений в магнетите, параллельных {100}. Эти очень тонкие выделения, развивающиеся по двум плоскостям под прямым углом друг к другу, образуют так называемую коробчатую или тканевую структуру, которая наблюдается в шлифах. Маггемит является продуктом окисления магнетита.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>Прозрачная разновидность минерала — благородная шпинель — является драгоценным камнем. Крупные (размер по ребру более 10 мм) непрозрачные трещиноватые кристаллы розовой шпинели используются как коллекционный материал. Находки такого материала связаны преимущественно с магнезиальными скарнами (месторождение Кухилал на Памире). Наибольший интерес представляют образцы кальцифиров, содержащие мелкие прозрачные кристаллы розово-красной шпинели в ассоциации с оранжевым дравитом и клиногумитом. Коллекционное значение имеют также крупные (5—10 см), хорошо ограненные кристаллы шпинели темно-синего и черного цвета, включенные в кальцифиры (Алданский р-он Якутии). Очень декоративны штуфы кристаллов шпинели и диопсида в белой или розоватой кальцитовой массе. Прекрасные кристаллы темно-зеленой и черной хлоршпинели в ассоциации с диопсидом, гранатом, везувианом, хлоритами встречаются в хлоритовых скарнах (месторождения Шишимское и Назямские горы в Челябинской обл.).</w:t>
      </w:r>
    </w:p>
    <w:p w:rsidR="00C95DE9" w:rsidRDefault="00C95DE9">
      <w:pPr>
        <w:spacing w:before="45" w:after="45"/>
        <w:jc w:val="both"/>
        <w:rPr>
          <w:sz w:val="28"/>
        </w:rPr>
      </w:pPr>
      <w:r>
        <w:rPr>
          <w:sz w:val="28"/>
        </w:rPr>
        <w:t>Определяется по октаэдрической форме кристаллов</w:t>
      </w:r>
      <w:r>
        <w:rPr>
          <w:b/>
          <w:sz w:val="28"/>
        </w:rPr>
        <w:t xml:space="preserve"> </w:t>
      </w:r>
      <w:r>
        <w:rPr>
          <w:sz w:val="28"/>
        </w:rPr>
        <w:t>и высокой</w:t>
      </w:r>
      <w:r>
        <w:rPr>
          <w:sz w:val="24"/>
        </w:rPr>
        <w:t xml:space="preserve"> </w:t>
      </w:r>
      <w:r>
        <w:rPr>
          <w:sz w:val="28"/>
        </w:rPr>
        <w:t>твердости.</w:t>
      </w:r>
    </w:p>
    <w:p w:rsidR="00C95DE9" w:rsidRDefault="00C95DE9"/>
    <w:p w:rsidR="00C95DE9" w:rsidRDefault="00C95DE9">
      <w:pPr>
        <w:rPr>
          <w:sz w:val="28"/>
        </w:rPr>
      </w:pPr>
      <w:r>
        <w:rPr>
          <w:sz w:val="28"/>
        </w:rPr>
        <w:t>Существуют двойники, их структура и строение подчиняются следующему закону:</w:t>
      </w:r>
    </w:p>
    <w:p w:rsidR="00C95DE9" w:rsidRDefault="00C95DE9"/>
    <w:tbl>
      <w:tblPr>
        <w:tblW w:w="150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9"/>
        <w:gridCol w:w="3150"/>
      </w:tblGrid>
      <w:tr w:rsidR="00C95DE9">
        <w:trPr>
          <w:tblCellSpacing w:w="0" w:type="dxa"/>
        </w:trPr>
        <w:tc>
          <w:tcPr>
            <w:tcW w:w="10500" w:type="dxa"/>
          </w:tcPr>
          <w:p w:rsidR="00C95DE9" w:rsidRDefault="00C95DE9">
            <w:pPr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 xml:space="preserve">Закон: </w:t>
            </w:r>
          </w:p>
        </w:tc>
        <w:tc>
          <w:tcPr>
            <w:tcW w:w="3000" w:type="dxa"/>
          </w:tcPr>
          <w:p w:rsidR="00C95DE9" w:rsidRDefault="00C95DE9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Изображение:</w:t>
            </w:r>
          </w:p>
        </w:tc>
      </w:tr>
      <w:tr w:rsidR="00C95DE9">
        <w:trPr>
          <w:tblCellSpacing w:w="0" w:type="dxa"/>
        </w:trPr>
        <w:tc>
          <w:tcPr>
            <w:tcW w:w="0" w:type="auto"/>
          </w:tcPr>
          <w:p w:rsidR="00C95DE9" w:rsidRDefault="00C95DE9">
            <w:pPr>
              <w:spacing w:before="100" w:beforeAutospacing="1" w:after="100" w:afterAutospacing="1"/>
              <w:rPr>
                <w:color w:val="000000"/>
                <w:sz w:val="28"/>
              </w:rPr>
            </w:pPr>
            <w:r>
              <w:rPr>
                <w:b/>
                <w:bCs/>
                <w:sz w:val="28"/>
              </w:rPr>
              <w:t>Шпинелевый</w:t>
            </w:r>
            <w:r>
              <w:rPr>
                <w:sz w:val="28"/>
              </w:rPr>
              <w:br/>
              <w:t>двойниковая ось: [111]</w:t>
            </w:r>
            <w:r>
              <w:rPr>
                <w:sz w:val="28"/>
              </w:rPr>
              <w:br/>
              <w:t>двойниковая пл-ть: {111}</w:t>
            </w:r>
            <w:r>
              <w:rPr>
                <w:sz w:val="28"/>
              </w:rPr>
              <w:br/>
            </w:r>
          </w:p>
        </w:tc>
        <w:tc>
          <w:tcPr>
            <w:tcW w:w="0" w:type="auto"/>
          </w:tcPr>
          <w:p w:rsidR="00C95DE9" w:rsidRDefault="00AA002E">
            <w:pPr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pict>
                <v:shape id="_x0000_i1025" type="#_x0000_t75" style="width:150pt;height:150pt">
                  <v:imagedata r:id="rId9" o:title=""/>
                </v:shape>
              </w:pict>
            </w:r>
          </w:p>
        </w:tc>
      </w:tr>
    </w:tbl>
    <w:p w:rsidR="00C95DE9" w:rsidRDefault="00C95DE9">
      <w:pPr>
        <w:spacing w:before="45" w:after="45"/>
        <w:jc w:val="both"/>
        <w:rPr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 симметрии кристаллов шпинели.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1)Группа шпинели. В эту группу входят сложные оксиды с общей формулой АВ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, где A= Mg2+, Fe2+ иногда Zn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+, Mn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+, Be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+ , а B = Fe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+, Al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+, Cr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+, Mn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+. Минералы группы шпинели имеют некоторые обшие свойства. Большинство из них кристаллизуется в кубической сингонии. Все эти минералы образуют хорошо ограненные кристаллы октаэдрического габитуса. У них наблюдается высокая твердость, отсутствует спайность, они химически и термически устойчивы. Для всех шпинелидов характерны высокотемпературные условия образования.В поверхностных условиях большинство их устойчиво и сохраняется в россыпях.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кристалла шпинели.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2)Кристаллическая структура шпинели MgAl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структуры нормальной шпинели MgAl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 xml:space="preserve">  -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трехслойная плотнейшая упаковка атомов О, на которую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указывают слагающие всю структуру гранецентрированные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кубы. Характер заполнения 1/2 октаэдрических и 1/8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тетраэдрических пустот этой упаковки атомами Al и Mg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соответственно приводит к тому, что элементарная ячейка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структуры минерала оказывается составленной из восьми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малых F-кубов. Длина ребра элементарной ячейки около 0,8 нм. В такой увосьмиренной элементарной ячейке атомы Mg располагаются по "алмазному" закону. Это легко увидеть, если первый атом Mg поместить в ближайшую к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началу координат тетраэдрическую пустоту.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Подобное расположение [MgO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]-тетраэдров задает структуре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шпинели пространственную группу  с координатными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клиноплоскостями d, отвергая при этом координатные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зеркальные плоскости пространственной группы ,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описывающей симметрию чистой кубической плотнейшей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упаковки, и сохраняя общие для обеих групп: тип решетки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Браве, диагональные зеркальные плоскости и оси 3-го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порядка, т.е. кубическую симметрию всей структуры.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Переместив начало координат в первый (исходный) атом Mg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(000)  и приведя к нему высоты (координаты z) остальных атомов (Mg и O), увидим, что атомы Al располагаются в такой новой большой ячейке в незанятых атомами Mg октантах. Причем четверки из атомов Al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дополняют свободные от атомов Mg кислородные тетраэдры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кубов. Положения атомов Al подчиняются задаваемым атомами Mg клиноплоскостям d. Таким образом, пространственной группой, описывающей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симметрию структуры шпинели, будет группа , в которой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позиции атомов Mg, находящиеся в тетраэдрическом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окружении атомов О, наследуют симметрию тетраэдра, т.е.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точечную группу , атомы Al оказываются в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центросимметричных позициях , атомы О - в моновариантных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позициях на осях 3-го порядка - 3m: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Mg - 8 (a) : 000,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Al - 16 (d) :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O - 32 (e) 3m :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х  7/8,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 = 8,11.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Акцентируя внимание при описании структурного типа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Шпинели (АВ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) на мотиве заполнения октаэдрических и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тетраэдрических пустот кубической плотнейшей упаковки из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атомов кислорода, т.е. рассматривая ее полиэдрическую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модель, легко обнаружить перпендикулярные осям 3-го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октаэдрические слои (111), заполненные атомами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 по "шпинелевому" закону (заполнены ¾ октаэдрических пустот) и чередующиеся с антишпинелевыи слоями (заполнена 1/4 октаэдрических пустот), что подтверждает отношение Al : O = 1 : 2 в химической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формуле соединения. При этом одиночные Al-октаэдры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"антишпинелевого" слоя садятся на треугольные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"посадочные площадки", образованные ребрами трех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Al-октаэдров предыдущего шпинелевого слоя.</w:t>
      </w:r>
    </w:p>
    <w:p w:rsidR="00C95DE9" w:rsidRDefault="00C95DE9">
      <w:pPr>
        <w:pStyle w:val="a3"/>
        <w:ind w:right="-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Тройки же ребер верхней грани одиночных октаэдров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являются также общими с ребрами троек Al-октаэдров, но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уже следующего шпинелевого слоя. Таким образом, два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ближайших шпинелевых слоя оказываются связанными точками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инверсии, совпадающими с центрами одиночных октаэдров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антишпинелевого слоя. Основаниями Mg-ортотетраэдров, расположенных в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антишпинелевых слоях, служат треугольные грани пустых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октаэдров из шпинелевого слоя. Вершины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тетраэдров, противоположные их основаниям, являются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общими для трех Al-октаэдров выше- и нижележащих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шпинелевых слоев. Таким образом, пустой октаэдр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шпинелевого слоя оказывается между антипараллельными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гранями двух Mg-тетраэдров, связанных один с другим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системой центров инверсии, расположенных в этих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пустых октаэдрах. Ближайшие друг к другу шпинелевые слои смещены косо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расположенной к ним трансляцией, являющейся ребром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примитивного ромбоэдра - ребром основной ячейки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гранецентрированного куба. Пространственная схема пересечения пустот очень сложна. Пересечение слоёв катионов цепочками октаэдеров происходит в направлениях {110}.Связи в структуре шпинели смешанные, ионно-ковалентные. В проекции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полиэдрической модели структуры шпинели на плоскость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(111), перпендикулярную оси 3-го порядка,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хорошо видны зеркальные плоскости симметрии,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пересекающиеся вдоль этой оси. В итоге обнаруживается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пространственной группы, являющаяся в данном случае подгруппой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кубической пространственной группы.</w:t>
      </w:r>
    </w:p>
    <w:p w:rsidR="00C95DE9" w:rsidRDefault="00C95DE9">
      <w:pPr>
        <w:pStyle w:val="a3"/>
        <w:jc w:val="both"/>
      </w:pPr>
    </w:p>
    <w:p w:rsidR="00C95DE9" w:rsidRDefault="00C95DE9">
      <w:pPr>
        <w:pStyle w:val="a3"/>
        <w:jc w:val="both"/>
      </w:pPr>
    </w:p>
    <w:p w:rsidR="00C95DE9" w:rsidRDefault="00AA002E">
      <w:pPr>
        <w:pStyle w:val="a3"/>
        <w:jc w:val="center"/>
        <w:rPr>
          <w:lang w:val="en-US"/>
        </w:rPr>
      </w:pPr>
      <w:r>
        <w:pict>
          <v:shape id="_x0000_i1026" type="#_x0000_t75" style="width:324pt;height:294pt" fillcolor="window">
            <v:imagedata r:id="rId10" o:title="11"/>
          </v:shape>
        </w:pict>
      </w:r>
    </w:p>
    <w:p w:rsidR="00C95DE9" w:rsidRDefault="00AA002E">
      <w:pPr>
        <w:pStyle w:val="a3"/>
        <w:jc w:val="center"/>
      </w:pPr>
      <w:r>
        <w:rPr>
          <w:lang w:val="en-US"/>
        </w:rPr>
        <w:pict>
          <v:shape id="_x0000_i1027" type="#_x0000_t75" style="width:405.75pt;height:372.75pt" fillcolor="window">
            <v:imagedata r:id="rId11" o:title="2"/>
          </v:shape>
        </w:pict>
      </w:r>
      <w:r>
        <w:rPr>
          <w:lang w:val="en-US"/>
        </w:rPr>
        <w:pict>
          <v:shape id="_x0000_i1028" type="#_x0000_t75" style="width:438pt;height:214.5pt" fillcolor="window">
            <v:imagedata r:id="rId12" o:title="Ris200d"/>
          </v:shape>
        </w:pict>
      </w:r>
      <w:r>
        <w:rPr>
          <w:lang w:val="en-US"/>
        </w:rPr>
        <w:pict>
          <v:shape id="_x0000_i1029" type="#_x0000_t75" style="width:480pt;height:447pt" fillcolor="window">
            <v:imagedata r:id="rId13" o:title="3"/>
          </v:shape>
        </w:pict>
      </w:r>
      <w:r>
        <w:rPr>
          <w:lang w:val="en-US"/>
        </w:rPr>
        <w:pict>
          <v:shape id="_x0000_i1030" type="#_x0000_t75" style="width:255pt;height:255pt" fillcolor="window">
            <v:imagedata r:id="rId14" o:title="5"/>
          </v:shape>
        </w:pict>
      </w:r>
      <w:r w:rsidR="00C95DE9">
        <w:t xml:space="preserve">  рис.е.</w:t>
      </w:r>
    </w:p>
    <w:p w:rsidR="00C95DE9" w:rsidRDefault="00C95DE9">
      <w:pPr>
        <w:pStyle w:val="a3"/>
        <w:jc w:val="both"/>
      </w:pP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Кристаллическая структура шпинели MgAl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: а -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проекция ху структуры минерала; выделены Mg-тетраэдры; б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общий вид структуры; в - график пр. гр. </w:t>
      </w:r>
      <w:r>
        <w:rPr>
          <w:rFonts w:ascii="Times New Roman" w:hAnsi="Times New Roman"/>
          <w:sz w:val="28"/>
          <w:lang w:val="en-US"/>
        </w:rPr>
        <w:t>Fd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en-US"/>
        </w:rPr>
        <w:t>m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O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bscript"/>
          <w:lang w:val="en-US"/>
        </w:rPr>
        <w:t>k</w:t>
      </w:r>
      <w:r>
        <w:rPr>
          <w:rFonts w:ascii="Times New Roman" w:hAnsi="Times New Roman"/>
          <w:sz w:val="28"/>
        </w:rPr>
        <w:t>) с нанесенными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него атомами Mg, Al и О; г - шпинелевый октаэдрический слой; д - фрагмент структуры в проекции на плоскость (111); способ сочленения шпинелевого и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антишпинелевого слоев; е - идеализированная постройка из Al-октаэдров в структурном типе шпинели.</w:t>
      </w:r>
    </w:p>
    <w:p w:rsidR="00C95DE9" w:rsidRDefault="00C95DE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Ионы </w:t>
      </w:r>
      <w:r>
        <w:rPr>
          <w:rFonts w:ascii="Times New Roman" w:hAnsi="Times New Roman"/>
          <w:sz w:val="28"/>
          <w:lang w:val="en-US"/>
        </w:rPr>
        <w:t>O</w:t>
      </w:r>
      <w:r>
        <w:rPr>
          <w:rFonts w:ascii="Times New Roman" w:hAnsi="Times New Roman"/>
          <w:sz w:val="28"/>
          <w:vertAlign w:val="superscript"/>
        </w:rPr>
        <w:t xml:space="preserve">2- </w:t>
      </w:r>
      <w:r>
        <w:rPr>
          <w:rFonts w:ascii="Times New Roman" w:hAnsi="Times New Roman"/>
          <w:sz w:val="28"/>
        </w:rPr>
        <w:t xml:space="preserve"> находятся приблизительно в плотнейшей кубической упаковке. Ячейка содержит тетраэдрические пустоты, число которых 64 (узлы А), и октаэдрические пустоты в количестве 32 (узлы В). Восемь узлов А и 16 узлов В занимают катионы, расположенные таким образом, что ряды заполненных ими октаэдров, соединённых между собой рёбрами, вытягиваются вдоль одной диагонали куба, связываясь в цепочки за счёт занятых тетраэдров. В результате образуется один слой (рис. е). Тетраэдры соединяют его с октаэдрами соседнего слоя, который располагается вдоль другой диагонали грани куба. Четыре таких слоя образуют элементарную ячейку. Каждый атом кислорода является общим для двух октаэдров и одного тетраэдра. Катионы представлены двумя типами: А</w:t>
      </w:r>
      <w:r>
        <w:rPr>
          <w:rFonts w:ascii="Times New Roman" w:hAnsi="Times New Roman"/>
          <w:sz w:val="28"/>
          <w:vertAlign w:val="superscript"/>
        </w:rPr>
        <w:t>2+</w:t>
      </w:r>
      <w:r>
        <w:rPr>
          <w:rFonts w:ascii="Times New Roman" w:hAnsi="Times New Roman"/>
          <w:sz w:val="28"/>
        </w:rPr>
        <w:t xml:space="preserve"> и В</w:t>
      </w:r>
      <w:r>
        <w:rPr>
          <w:rFonts w:ascii="Times New Roman" w:hAnsi="Times New Roman"/>
          <w:sz w:val="28"/>
          <w:vertAlign w:val="superscript"/>
        </w:rPr>
        <w:t>3+</w:t>
      </w:r>
      <w:r>
        <w:rPr>
          <w:rFonts w:ascii="Times New Roman" w:hAnsi="Times New Roman"/>
          <w:sz w:val="28"/>
        </w:rPr>
        <w:t xml:space="preserve"> . В нормальной шпинели катионы А</w:t>
      </w:r>
      <w:r>
        <w:rPr>
          <w:rFonts w:ascii="Times New Roman" w:hAnsi="Times New Roman"/>
          <w:sz w:val="28"/>
          <w:vertAlign w:val="superscript"/>
        </w:rPr>
        <w:t>2+</w:t>
      </w:r>
      <w:r>
        <w:rPr>
          <w:rFonts w:ascii="Times New Roman" w:hAnsi="Times New Roman"/>
          <w:sz w:val="28"/>
        </w:rPr>
        <w:t xml:space="preserve"> находятся в узлах  А, а В</w:t>
      </w:r>
      <w:r>
        <w:rPr>
          <w:rFonts w:ascii="Times New Roman" w:hAnsi="Times New Roman"/>
          <w:sz w:val="28"/>
          <w:vertAlign w:val="superscript"/>
        </w:rPr>
        <w:t>3+</w:t>
      </w:r>
      <w:r>
        <w:rPr>
          <w:rFonts w:ascii="Times New Roman" w:hAnsi="Times New Roman"/>
          <w:sz w:val="28"/>
        </w:rPr>
        <w:t xml:space="preserve"> - в узлах. Однако существует обращенная шпинель, у которой 8В</w:t>
      </w:r>
      <w:r>
        <w:rPr>
          <w:rFonts w:ascii="Times New Roman" w:hAnsi="Times New Roman"/>
          <w:sz w:val="28"/>
          <w:vertAlign w:val="superscript"/>
        </w:rPr>
        <w:t>3+</w:t>
      </w:r>
      <w:r>
        <w:rPr>
          <w:rFonts w:ascii="Times New Roman" w:hAnsi="Times New Roman"/>
          <w:sz w:val="28"/>
        </w:rPr>
        <w:t xml:space="preserve">  располагаются в узлах А, а (8 А</w:t>
      </w:r>
      <w:r>
        <w:rPr>
          <w:rFonts w:ascii="Times New Roman" w:hAnsi="Times New Roman"/>
          <w:sz w:val="28"/>
          <w:vertAlign w:val="superscript"/>
        </w:rPr>
        <w:t xml:space="preserve">2+ </w:t>
      </w:r>
      <w:r>
        <w:rPr>
          <w:rFonts w:ascii="Times New Roman" w:hAnsi="Times New Roman"/>
          <w:sz w:val="28"/>
        </w:rPr>
        <w:t>+ 8 В</w:t>
      </w:r>
      <w:r>
        <w:rPr>
          <w:rFonts w:ascii="Times New Roman" w:hAnsi="Times New Roman"/>
          <w:sz w:val="28"/>
          <w:vertAlign w:val="superscript"/>
        </w:rPr>
        <w:t>3+</w:t>
      </w:r>
      <w:r>
        <w:rPr>
          <w:rFonts w:ascii="Times New Roman" w:hAnsi="Times New Roman"/>
          <w:sz w:val="28"/>
        </w:rPr>
        <w:t>) беспорядочно распределены по углам В. Выбор между этими двумя способами расположения атомов определяется энергией входящих в структуру ионов, стабилизирующей кристаллическое поле решётки. Второй вариант реализуется в тех случаях, когда больший из двух катионов занимает тетраэдрические узлы, нарушая обычное правило. Как в нормальных, так и в обращенных шпинелях остаются незаполненные катионами пустоты обоих сортов. Кроме того, существует ряд шпинелей, промежуточных между нормальными и обращенными.</w:t>
      </w:r>
    </w:p>
    <w:p w:rsidR="00C95DE9" w:rsidRDefault="00C95DE9">
      <w:pPr>
        <w:pStyle w:val="a3"/>
        <w:jc w:val="both"/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</w:p>
    <w:p w:rsidR="00C95DE9" w:rsidRDefault="00C95DE9">
      <w:pPr>
        <w:ind w:firstLine="720"/>
        <w:jc w:val="both"/>
        <w:rPr>
          <w:sz w:val="28"/>
        </w:rPr>
      </w:pPr>
      <w:r>
        <w:rPr>
          <w:sz w:val="28"/>
        </w:rPr>
        <w:t xml:space="preserve">3). Исследована низкотемпературная (20—400 °C) экзоэмиссия отрицательных зарядов со сложных оксидов, имеющих структуру перовскитов состава </w:t>
      </w:r>
      <w:r>
        <w:rPr>
          <w:sz w:val="28"/>
          <w:lang w:val="en-US"/>
        </w:rPr>
        <w:t>X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</w:t>
      </w:r>
      <w:r>
        <w:rPr>
          <w:sz w:val="28"/>
          <w:lang w:val="en-US"/>
        </w:rPr>
        <w:t>Y</w:t>
      </w:r>
      <w:r>
        <w:rPr>
          <w:sz w:val="28"/>
          <w:vertAlign w:val="superscript"/>
        </w:rPr>
        <w:t xml:space="preserve">2+ </w:t>
      </w:r>
      <w:r>
        <w:rPr>
          <w:sz w:val="28"/>
        </w:rPr>
        <w:t>О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( </w:t>
      </w:r>
      <w:r>
        <w:rPr>
          <w:b/>
          <w:sz w:val="28"/>
        </w:rPr>
        <w:t xml:space="preserve"> </w:t>
      </w:r>
      <w:r>
        <w:rPr>
          <w:sz w:val="28"/>
          <w:lang w:val="en-US"/>
        </w:rPr>
        <w:t>X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= La; </w:t>
      </w:r>
      <w:r>
        <w:rPr>
          <w:sz w:val="28"/>
          <w:lang w:val="en-US"/>
        </w:rPr>
        <w:t>Y</w:t>
      </w:r>
      <w:r>
        <w:rPr>
          <w:sz w:val="28"/>
          <w:vertAlign w:val="superscript"/>
        </w:rPr>
        <w:t xml:space="preserve">2+ </w:t>
      </w:r>
      <w:r>
        <w:rPr>
          <w:sz w:val="28"/>
        </w:rPr>
        <w:t xml:space="preserve"> = Co, Mn, Ni) и структуру шпинели </w:t>
      </w:r>
      <w:r>
        <w:rPr>
          <w:sz w:val="28"/>
          <w:lang w:val="en-US"/>
        </w:rPr>
        <w:t>X</w:t>
      </w:r>
      <w:r>
        <w:rPr>
          <w:sz w:val="28"/>
          <w:vertAlign w:val="superscript"/>
        </w:rPr>
        <w:t>2+</w:t>
      </w:r>
      <w:r>
        <w:rPr>
          <w:sz w:val="28"/>
          <w:lang w:val="en-US"/>
        </w:rPr>
        <w:t>Y</w:t>
      </w:r>
      <w:r>
        <w:rPr>
          <w:sz w:val="28"/>
          <w:vertAlign w:val="subscript"/>
        </w:rPr>
        <w:t>2</w:t>
      </w:r>
      <w:r>
        <w:rPr>
          <w:sz w:val="28"/>
          <w:vertAlign w:val="superscript"/>
        </w:rPr>
        <w:t>3+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4</w:t>
      </w:r>
      <w:r>
        <w:rPr>
          <w:sz w:val="28"/>
          <w:vertAlign w:val="superscript"/>
        </w:rPr>
        <w:t>2-</w:t>
      </w:r>
      <w:r>
        <w:rPr>
          <w:sz w:val="28"/>
        </w:rPr>
        <w:t xml:space="preserve"> ( </w:t>
      </w:r>
      <w:r>
        <w:rPr>
          <w:sz w:val="28"/>
          <w:lang w:val="en-US"/>
        </w:rPr>
        <w:t>X</w:t>
      </w:r>
      <w:r>
        <w:rPr>
          <w:sz w:val="28"/>
          <w:vertAlign w:val="superscript"/>
        </w:rPr>
        <w:t>2+</w:t>
      </w:r>
      <w:r>
        <w:rPr>
          <w:sz w:val="28"/>
        </w:rPr>
        <w:t xml:space="preserve">= Cu; </w:t>
      </w:r>
      <w:r>
        <w:rPr>
          <w:sz w:val="28"/>
          <w:lang w:val="en-US"/>
        </w:rPr>
        <w:t>Y</w:t>
      </w:r>
      <w:r>
        <w:rPr>
          <w:sz w:val="28"/>
          <w:vertAlign w:val="superscript"/>
        </w:rPr>
        <w:t>3+</w:t>
      </w:r>
      <w:r>
        <w:rPr>
          <w:sz w:val="28"/>
        </w:rPr>
        <w:t xml:space="preserve"> = Fe, Co, Cr). Найдены корреляции между каталитической активностью в реакциях окисления СО, этилбензола и пропилена и эмиссионной способностью оксидов. Обсуждена роль слабосвязанного кислорода и ионов переменной валентности в процессах экзоэмиссии и окислительного катализа сложными оксидами.</w:t>
      </w:r>
    </w:p>
    <w:p w:rsidR="00C95DE9" w:rsidRDefault="00AA002E">
      <w:pPr>
        <w:pStyle w:val="maintext"/>
        <w:spacing w:before="0" w:after="0"/>
        <w:jc w:val="both"/>
        <w:rPr>
          <w:sz w:val="28"/>
        </w:rPr>
      </w:pPr>
      <w:r>
        <w:pict>
          <v:shape id="_x0000_i1031" type="#_x0000_t75" style="width:298.5pt;height:145.5pt" fillcolor="window">
            <v:imagedata r:id="rId15" o:title="2002_44"/>
          </v:shape>
        </w:pict>
      </w:r>
      <w:r w:rsidR="00C95DE9">
        <w:t xml:space="preserve">                                                </w:t>
      </w:r>
      <w:r w:rsidR="00C95DE9">
        <w:rPr>
          <w:sz w:val="28"/>
        </w:rPr>
        <w:t>Благодаря этим исследованиям стало возможным применение шпинели, как катализатора в окислительном катализе ненасыщенных ациклических углеводородов.</w:t>
      </w:r>
    </w:p>
    <w:p w:rsidR="00C95DE9" w:rsidRDefault="00C95DE9">
      <w:pPr>
        <w:pStyle w:val="maintext"/>
        <w:spacing w:before="0" w:after="0"/>
        <w:jc w:val="both"/>
        <w:rPr>
          <w:sz w:val="28"/>
        </w:rPr>
      </w:pPr>
      <w:r>
        <w:rPr>
          <w:sz w:val="28"/>
        </w:rPr>
        <w:tab/>
        <w:t>Структура шпинели характерна для ряда неметаллических магнитных кристаллов, обладающих сочетанием полупроводниковых и магнитных свойств, использующихся в технике сверхвысоких частот и запоминающих устройствах ЭВМ.</w:t>
      </w:r>
    </w:p>
    <w:p w:rsidR="00C95DE9" w:rsidRDefault="00C95DE9">
      <w:pPr>
        <w:jc w:val="both"/>
        <w:rPr>
          <w:sz w:val="28"/>
        </w:rPr>
      </w:pPr>
    </w:p>
    <w:p w:rsidR="00C95DE9" w:rsidRDefault="00C95DE9">
      <w:pPr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</w:p>
    <w:p w:rsidR="00C95DE9" w:rsidRDefault="00C95DE9">
      <w:pPr>
        <w:pStyle w:val="a4"/>
        <w:jc w:val="both"/>
        <w:rPr>
          <w:sz w:val="28"/>
        </w:rPr>
      </w:pPr>
      <w:r>
        <w:rPr>
          <w:sz w:val="28"/>
        </w:rPr>
        <w:t>4).Исследован процесс синтеза MgAl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из оксида магния и гидроксида алюминия в атмосфере паров воды Р = 20 МПа в интервале температур 380 - 400</w:t>
      </w:r>
      <w:r w:rsidR="00AA002E">
        <w:rPr>
          <w:position w:val="-6"/>
          <w:sz w:val="28"/>
        </w:rPr>
        <w:pict>
          <v:shape id="_x0000_i1032" type="#_x0000_t75" style="width:15.75pt;height:15.75pt">
            <v:imagedata r:id="rId16" o:title=""/>
          </v:shape>
        </w:pict>
      </w:r>
      <w:r>
        <w:rPr>
          <w:sz w:val="28"/>
        </w:rPr>
        <w:t xml:space="preserve"> в присутствии активирующих добавок ионов Cr(VI). Методами рентгенофазового и рентгенографического анализов и электронной спектроскопии установлено, что процесс диффузии и гомогенного распределения ионов магния по структуре промежуточной фазы синтеза - бемита лимитируется степенью разупорядочения кристаллической решетки последнего. Введение в реакционную систему ионов Cr(VI) способствует возникновению дополнительных нарушений в структуре бемита, облегчая процессы диффузии и перестройки глиноземной матрицы. Процесс завершается стабилизацией ионами магния кубической кислородной подрешетки, возникающей при образовании кристаллической структуры шпинели.</w:t>
      </w:r>
    </w:p>
    <w:p w:rsidR="00C95DE9" w:rsidRDefault="00AA002E">
      <w:pPr>
        <w:pStyle w:val="a4"/>
        <w:jc w:val="both"/>
        <w:rPr>
          <w:sz w:val="28"/>
          <w:lang w:val="en-US"/>
        </w:rPr>
      </w:pPr>
      <w:r>
        <w:rPr>
          <w:sz w:val="28"/>
        </w:rPr>
        <w:pict>
          <v:shape id="_x0000_i1033" type="#_x0000_t75" style="width:189pt;height:91.5pt" filled="t" fillcolor="#396">
            <v:imagedata r:id="rId17" o:title="RIS01SM" gain="86232f"/>
          </v:shape>
        </w:pict>
      </w:r>
    </w:p>
    <w:p w:rsidR="00C95DE9" w:rsidRDefault="00C95DE9">
      <w:pPr>
        <w:jc w:val="both"/>
        <w:rPr>
          <w:sz w:val="28"/>
        </w:rPr>
      </w:pPr>
      <w:r>
        <w:rPr>
          <w:sz w:val="28"/>
        </w:rPr>
        <w:t xml:space="preserve">5).Изучена возможность получения алюмомагнезиальной шпинели с высокими  показателями свойств по энергосберегающей технологии и с учетом утилизации ультрадисперсного каустика. Методом одностадийного синтеза спеканием плотного брикета на основе промышленных порошков каустика и глинозема получали шпинельные материалы различных составов: стехиометрическую шпинель и шпинели с избытком обоих компонентов. Для интенсификации процессов шпинелеобразования и спекания были использованы различные комплексные добавки (химические и керамические) в количестве от 1 до 10 % масс. Влияние используемых добавок на спекание и физико-механические свойства брикетов зависело от соотношения компонентов в формовочной смеси. Полное образование шпинели в брикетах установлено при температуре 1650 </w:t>
      </w:r>
      <w:r w:rsidR="00AA002E">
        <w:rPr>
          <w:position w:val="-6"/>
          <w:sz w:val="28"/>
        </w:rPr>
        <w:pict>
          <v:shape id="_x0000_i1034" type="#_x0000_t75" style="width:15.75pt;height:15.75pt">
            <v:imagedata r:id="rId18" o:title=""/>
          </v:shape>
        </w:pict>
      </w:r>
      <w:r>
        <w:rPr>
          <w:sz w:val="28"/>
        </w:rPr>
        <w:t>.</w:t>
      </w:r>
    </w:p>
    <w:p w:rsidR="00C95DE9" w:rsidRDefault="00C95DE9">
      <w:pPr>
        <w:spacing w:before="100" w:after="100"/>
        <w:jc w:val="both"/>
        <w:rPr>
          <w:sz w:val="28"/>
        </w:rPr>
      </w:pPr>
    </w:p>
    <w:p w:rsidR="00C95DE9" w:rsidRDefault="00C95DE9">
      <w:pPr>
        <w:spacing w:before="100" w:after="100"/>
        <w:jc w:val="both"/>
        <w:rPr>
          <w:sz w:val="24"/>
        </w:rPr>
      </w:pPr>
    </w:p>
    <w:p w:rsidR="00C95DE9" w:rsidRDefault="00C95DE9">
      <w:pPr>
        <w:pStyle w:val="a3"/>
        <w:jc w:val="both"/>
      </w:pPr>
    </w:p>
    <w:p w:rsidR="00C95DE9" w:rsidRDefault="00C95DE9">
      <w:pPr>
        <w:pStyle w:val="a3"/>
        <w:jc w:val="both"/>
      </w:pPr>
    </w:p>
    <w:p w:rsidR="00C95DE9" w:rsidRDefault="00C95DE9">
      <w:pPr>
        <w:pStyle w:val="a3"/>
        <w:jc w:val="both"/>
      </w:pPr>
    </w:p>
    <w:p w:rsidR="00C95DE9" w:rsidRDefault="00C95DE9">
      <w:pPr>
        <w:pStyle w:val="1"/>
      </w:pPr>
      <w:r>
        <w:t>Список используемых ресурсов и литературы:</w:t>
      </w:r>
    </w:p>
    <w:p w:rsidR="00C95DE9" w:rsidRDefault="00C95DE9"/>
    <w:p w:rsidR="00C95DE9" w:rsidRDefault="00C95DE9">
      <w:pPr>
        <w:rPr>
          <w:sz w:val="28"/>
        </w:rPr>
      </w:pPr>
      <w:r>
        <w:rPr>
          <w:sz w:val="28"/>
        </w:rPr>
        <w:t>1.Неофициальный сайт Геологического факультета МГУ.</w:t>
      </w:r>
    </w:p>
    <w:p w:rsidR="00C95DE9" w:rsidRDefault="00C95DE9">
      <w:pPr>
        <w:rPr>
          <w:sz w:val="28"/>
        </w:rPr>
      </w:pPr>
      <w:r>
        <w:rPr>
          <w:sz w:val="28"/>
        </w:rPr>
        <w:t>2.Официальный сайт Российской Академии Физических Наук.</w:t>
      </w:r>
    </w:p>
    <w:p w:rsidR="00C95DE9" w:rsidRDefault="00C95DE9">
      <w:pPr>
        <w:rPr>
          <w:sz w:val="28"/>
        </w:rPr>
      </w:pPr>
      <w:r>
        <w:rPr>
          <w:sz w:val="28"/>
        </w:rPr>
        <w:t>3.Официальный сайт Физического факультета МГУ.</w:t>
      </w:r>
    </w:p>
    <w:p w:rsidR="00C95DE9" w:rsidRDefault="00C95DE9">
      <w:pPr>
        <w:rPr>
          <w:sz w:val="28"/>
        </w:rPr>
      </w:pPr>
      <w:r>
        <w:rPr>
          <w:sz w:val="28"/>
        </w:rPr>
        <w:t>4.Официальный сайт Физического факультета ВГУ.</w:t>
      </w:r>
    </w:p>
    <w:p w:rsidR="00C95DE9" w:rsidRDefault="00C95DE9">
      <w:pPr>
        <w:rPr>
          <w:sz w:val="28"/>
        </w:rPr>
      </w:pPr>
      <w:r>
        <w:rPr>
          <w:sz w:val="28"/>
        </w:rPr>
        <w:t xml:space="preserve">5.М. П. Шаскольская: “Кристаллография” М. “Высшая школа” 1977. С. 388 </w:t>
      </w:r>
    </w:p>
    <w:p w:rsidR="00C95DE9" w:rsidRDefault="00C95DE9">
      <w:pPr>
        <w:rPr>
          <w:sz w:val="28"/>
        </w:rPr>
      </w:pPr>
      <w:r>
        <w:rPr>
          <w:sz w:val="28"/>
        </w:rPr>
        <w:t>6.Электронные периодические издания Российской Академии Физических Наук.</w:t>
      </w:r>
    </w:p>
    <w:p w:rsidR="00C95DE9" w:rsidRDefault="00C95DE9">
      <w:pPr>
        <w:rPr>
          <w:sz w:val="28"/>
        </w:rPr>
      </w:pPr>
      <w:r>
        <w:rPr>
          <w:sz w:val="28"/>
        </w:rPr>
        <w:t>7.Официальный сайт ювелиров России.</w:t>
      </w:r>
    </w:p>
    <w:p w:rsidR="00C95DE9" w:rsidRDefault="00C95DE9">
      <w:pPr>
        <w:rPr>
          <w:sz w:val="28"/>
        </w:rPr>
      </w:pPr>
      <w:r>
        <w:rPr>
          <w:sz w:val="28"/>
        </w:rPr>
        <w:t>8.Геологический сайт России.</w:t>
      </w:r>
      <w:bookmarkStart w:id="0" w:name="_GoBack"/>
      <w:bookmarkEnd w:id="0"/>
    </w:p>
    <w:sectPr w:rsidR="00C95DE9">
      <w:headerReference w:type="even" r:id="rId19"/>
      <w:headerReference w:type="default" r:id="rId20"/>
      <w:pgSz w:w="11906" w:h="16838"/>
      <w:pgMar w:top="1440" w:right="1152" w:bottom="144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E9" w:rsidRDefault="00C95DE9">
      <w:r>
        <w:separator/>
      </w:r>
    </w:p>
  </w:endnote>
  <w:endnote w:type="continuationSeparator" w:id="0">
    <w:p w:rsidR="00C95DE9" w:rsidRDefault="00C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E9" w:rsidRDefault="00C95DE9">
      <w:r>
        <w:separator/>
      </w:r>
    </w:p>
  </w:footnote>
  <w:footnote w:type="continuationSeparator" w:id="0">
    <w:p w:rsidR="00C95DE9" w:rsidRDefault="00C9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E9" w:rsidRDefault="00C95DE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5DE9" w:rsidRDefault="00C95DE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E9" w:rsidRDefault="004A401F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C95DE9" w:rsidRDefault="00C95DE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01F"/>
    <w:rsid w:val="004574D9"/>
    <w:rsid w:val="004A401F"/>
    <w:rsid w:val="00AA002E"/>
    <w:rsid w:val="00C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0D4FF7AF-8FE8-4BE1-8617-58BA6BF8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ind w:left="3969" w:firstLine="709"/>
      <w:jc w:val="right"/>
      <w:outlineLvl w:val="2"/>
    </w:pPr>
    <w:rPr>
      <w:rFonts w:ascii="Baltica" w:hAnsi="Baltic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maintext">
    <w:name w:val="main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semiHidden/>
    <w:rPr>
      <w:color w:val="0000FF"/>
      <w:u w:val="single"/>
    </w:rPr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2">
    <w:name w:val="index 2"/>
    <w:basedOn w:val="a"/>
    <w:next w:val="a"/>
    <w:autoRedefine/>
    <w:semiHidden/>
    <w:pPr>
      <w:ind w:left="400" w:hanging="200"/>
    </w:pPr>
  </w:style>
  <w:style w:type="paragraph" w:styleId="30">
    <w:name w:val="index 3"/>
    <w:basedOn w:val="a"/>
    <w:next w:val="a"/>
    <w:autoRedefine/>
    <w:semiHidden/>
    <w:pPr>
      <w:ind w:left="600" w:hanging="200"/>
    </w:pPr>
  </w:style>
  <w:style w:type="paragraph" w:styleId="4">
    <w:name w:val="index 4"/>
    <w:basedOn w:val="a"/>
    <w:next w:val="a"/>
    <w:autoRedefine/>
    <w:semiHidden/>
    <w:pPr>
      <w:ind w:left="800" w:hanging="200"/>
    </w:pPr>
  </w:style>
  <w:style w:type="paragraph" w:styleId="5">
    <w:name w:val="index 5"/>
    <w:basedOn w:val="a"/>
    <w:next w:val="a"/>
    <w:autoRedefine/>
    <w:semiHidden/>
    <w:pPr>
      <w:ind w:left="1000" w:hanging="200"/>
    </w:pPr>
  </w:style>
  <w:style w:type="paragraph" w:styleId="6">
    <w:name w:val="index 6"/>
    <w:basedOn w:val="a"/>
    <w:next w:val="a"/>
    <w:autoRedefine/>
    <w:semiHidden/>
    <w:pPr>
      <w:ind w:left="1200" w:hanging="200"/>
    </w:pPr>
  </w:style>
  <w:style w:type="paragraph" w:styleId="7">
    <w:name w:val="index 7"/>
    <w:basedOn w:val="a"/>
    <w:next w:val="a"/>
    <w:autoRedefine/>
    <w:semiHidden/>
    <w:pPr>
      <w:ind w:left="1400" w:hanging="200"/>
    </w:pPr>
  </w:style>
  <w:style w:type="paragraph" w:styleId="8">
    <w:name w:val="index 8"/>
    <w:basedOn w:val="a"/>
    <w:next w:val="a"/>
    <w:autoRedefine/>
    <w:semiHidden/>
    <w:pPr>
      <w:ind w:left="1600" w:hanging="200"/>
    </w:pPr>
  </w:style>
  <w:style w:type="paragraph" w:styleId="9">
    <w:name w:val="index 9"/>
    <w:basedOn w:val="a"/>
    <w:next w:val="a"/>
    <w:autoRedefine/>
    <w:semiHidden/>
    <w:pPr>
      <w:ind w:left="1800" w:hanging="200"/>
    </w:pPr>
  </w:style>
  <w:style w:type="paragraph" w:styleId="a6">
    <w:name w:val="index heading"/>
    <w:basedOn w:val="a"/>
    <w:next w:val="10"/>
    <w:semiHidden/>
  </w:style>
  <w:style w:type="paragraph" w:styleId="a7">
    <w:name w:val="Body Text Indent"/>
    <w:basedOn w:val="a"/>
    <w:semiHidden/>
    <w:pPr>
      <w:ind w:firstLine="709"/>
      <w:jc w:val="center"/>
    </w:pPr>
    <w:rPr>
      <w:rFonts w:ascii="Monotype Corsiva" w:hAnsi="Monotype Corsiva"/>
      <w:i/>
      <w:sz w:val="5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Теория симметрии кристаллов</vt:lpstr>
    </vt:vector>
  </TitlesOfParts>
  <Company>OrgtehService</Company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Теория симметрии кристаллов</dc:title>
  <dc:subject/>
  <dc:creator>1</dc:creator>
  <cp:keywords/>
  <cp:lastModifiedBy>Irina</cp:lastModifiedBy>
  <cp:revision>2</cp:revision>
  <dcterms:created xsi:type="dcterms:W3CDTF">2014-08-06T16:41:00Z</dcterms:created>
  <dcterms:modified xsi:type="dcterms:W3CDTF">2014-08-06T16:41:00Z</dcterms:modified>
</cp:coreProperties>
</file>