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90" w:rsidRDefault="00B51A90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учреждение высшего профессионального образования  «Чувашский государственный университет им. И. Н. Ульянова»</w:t>
      </w: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Историко-географический факультет</w:t>
      </w: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812289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BA00CB">
        <w:rPr>
          <w:sz w:val="28"/>
          <w:szCs w:val="28"/>
        </w:rPr>
        <w:t>природопользования</w:t>
      </w:r>
      <w:r>
        <w:rPr>
          <w:sz w:val="28"/>
          <w:szCs w:val="28"/>
        </w:rPr>
        <w:t xml:space="preserve"> и геоэкологии</w:t>
      </w: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  на тему:</w:t>
      </w:r>
    </w:p>
    <w:p w:rsidR="00BA00CB" w:rsidRPr="00BA00CB" w:rsidRDefault="00BA00CB" w:rsidP="00BA00CB">
      <w:pPr>
        <w:spacing w:line="360" w:lineRule="auto"/>
        <w:jc w:val="center"/>
        <w:rPr>
          <w:b/>
          <w:sz w:val="28"/>
          <w:szCs w:val="28"/>
        </w:rPr>
      </w:pPr>
      <w:r w:rsidRPr="00BA00CB">
        <w:rPr>
          <w:b/>
          <w:sz w:val="28"/>
          <w:szCs w:val="28"/>
        </w:rPr>
        <w:t>Экономическая оценка ущерба загрязнения водных объектов и воздушного бассейна стационарными источниками с 1998 – 2008 гг.</w:t>
      </w: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Выполнила: студентка ИГФ 22-06</w:t>
      </w: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Аникова И.В.</w:t>
      </w: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Проверил: ст. преподаватель</w:t>
      </w:r>
    </w:p>
    <w:p w:rsidR="00BA00CB" w:rsidRDefault="00BA00CB" w:rsidP="00BA00C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Осмелкин Е.В.</w:t>
      </w: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Чебоксары 2010</w:t>
      </w:r>
    </w:p>
    <w:p w:rsidR="00BA00CB" w:rsidRDefault="00BA00CB" w:rsidP="00BA0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BA00CB" w:rsidRDefault="0075242E" w:rsidP="007524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607812">
        <w:rPr>
          <w:sz w:val="28"/>
          <w:szCs w:val="28"/>
        </w:rPr>
        <w:t xml:space="preserve">                                                                                                  стр.</w:t>
      </w:r>
    </w:p>
    <w:p w:rsidR="00B95D19" w:rsidRDefault="00B95D19" w:rsidP="007524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5242E">
        <w:rPr>
          <w:sz w:val="28"/>
          <w:szCs w:val="28"/>
        </w:rPr>
        <w:t xml:space="preserve">лава 1. </w:t>
      </w:r>
      <w:r>
        <w:rPr>
          <w:sz w:val="28"/>
          <w:szCs w:val="28"/>
        </w:rPr>
        <w:t>Методические вопросы экономической оценки ущербов от загрязнения окружающей среды</w:t>
      </w:r>
    </w:p>
    <w:p w:rsidR="00B95D19" w:rsidRDefault="00B95D19" w:rsidP="00B95D19">
      <w:pPr>
        <w:spacing w:line="360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1.1.экономическая оценка ущербов от загрязнения                                                                       атмосферного воздуха</w:t>
      </w:r>
      <w:r w:rsidR="00DA1A9B">
        <w:rPr>
          <w:sz w:val="28"/>
          <w:szCs w:val="28"/>
        </w:rPr>
        <w:t>……………………………………………..</w:t>
      </w:r>
      <w:r w:rsidR="009662DD">
        <w:rPr>
          <w:sz w:val="28"/>
          <w:szCs w:val="28"/>
        </w:rPr>
        <w:t>5</w:t>
      </w:r>
    </w:p>
    <w:p w:rsidR="00B95D19" w:rsidRDefault="00B95D19" w:rsidP="00B95D19">
      <w:pPr>
        <w:spacing w:line="360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1.2. экономическая оценка ущербов от загрязнения водных объектов</w:t>
      </w:r>
      <w:r w:rsidR="009662DD">
        <w:rPr>
          <w:sz w:val="28"/>
          <w:szCs w:val="28"/>
        </w:rPr>
        <w:t>…………………………………………………………….7</w:t>
      </w:r>
    </w:p>
    <w:p w:rsidR="0075242E" w:rsidRDefault="00B95D19" w:rsidP="007524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5242E">
        <w:rPr>
          <w:sz w:val="28"/>
          <w:szCs w:val="28"/>
        </w:rPr>
        <w:t>лава 2</w:t>
      </w:r>
      <w:r>
        <w:rPr>
          <w:sz w:val="28"/>
          <w:szCs w:val="28"/>
        </w:rPr>
        <w:t>. Расчеты экономического ущерба и основные выводы.</w:t>
      </w:r>
    </w:p>
    <w:p w:rsidR="00C73A46" w:rsidRDefault="00C73A46" w:rsidP="00C73A46">
      <w:pPr>
        <w:spacing w:line="360" w:lineRule="auto"/>
        <w:ind w:left="1416" w:firstLine="9"/>
        <w:jc w:val="both"/>
        <w:rPr>
          <w:sz w:val="28"/>
          <w:szCs w:val="28"/>
        </w:rPr>
      </w:pPr>
      <w:r>
        <w:rPr>
          <w:sz w:val="28"/>
          <w:szCs w:val="28"/>
        </w:rPr>
        <w:t>2.1. расчеты экономического ущерба от загрязнения атмосферного воздуха</w:t>
      </w:r>
      <w:r w:rsidR="00DA1A9B">
        <w:rPr>
          <w:sz w:val="28"/>
          <w:szCs w:val="28"/>
        </w:rPr>
        <w:t>……………………………………………..</w:t>
      </w:r>
      <w:r w:rsidR="009662DD">
        <w:rPr>
          <w:sz w:val="28"/>
          <w:szCs w:val="28"/>
        </w:rPr>
        <w:t>11</w:t>
      </w:r>
    </w:p>
    <w:p w:rsidR="00C73A46" w:rsidRDefault="00C73A46" w:rsidP="00C73A46">
      <w:pPr>
        <w:spacing w:line="360" w:lineRule="auto"/>
        <w:ind w:left="1416" w:firstLine="9"/>
        <w:jc w:val="both"/>
        <w:rPr>
          <w:sz w:val="28"/>
          <w:szCs w:val="28"/>
        </w:rPr>
      </w:pPr>
      <w:r>
        <w:rPr>
          <w:sz w:val="28"/>
          <w:szCs w:val="28"/>
        </w:rPr>
        <w:t>2.2. расчеты экономического ущерба от загрязнения водных объектов</w:t>
      </w:r>
      <w:r w:rsidR="00DA1A9B">
        <w:rPr>
          <w:sz w:val="28"/>
          <w:szCs w:val="28"/>
        </w:rPr>
        <w:t>……………………………………………………………</w:t>
      </w:r>
      <w:r w:rsidR="009662DD">
        <w:rPr>
          <w:sz w:val="28"/>
          <w:szCs w:val="28"/>
        </w:rPr>
        <w:t>12</w:t>
      </w:r>
    </w:p>
    <w:p w:rsidR="0075242E" w:rsidRDefault="00B95D19" w:rsidP="007524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5242E">
        <w:rPr>
          <w:sz w:val="28"/>
          <w:szCs w:val="28"/>
        </w:rPr>
        <w:t>аключение</w:t>
      </w:r>
      <w:r w:rsidR="00DA1A9B">
        <w:rPr>
          <w:sz w:val="28"/>
          <w:szCs w:val="28"/>
        </w:rPr>
        <w:t>……………………………………………………………..</w:t>
      </w:r>
      <w:r w:rsidR="009662DD">
        <w:rPr>
          <w:sz w:val="28"/>
          <w:szCs w:val="28"/>
        </w:rPr>
        <w:t>14</w:t>
      </w:r>
    </w:p>
    <w:p w:rsidR="0075242E" w:rsidRDefault="00B95D19" w:rsidP="0075242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5242E">
        <w:rPr>
          <w:sz w:val="28"/>
          <w:szCs w:val="28"/>
        </w:rPr>
        <w:t xml:space="preserve">писок </w:t>
      </w:r>
      <w:r>
        <w:rPr>
          <w:sz w:val="28"/>
          <w:szCs w:val="28"/>
        </w:rPr>
        <w:t xml:space="preserve">используемой </w:t>
      </w:r>
      <w:r w:rsidR="0075242E">
        <w:rPr>
          <w:sz w:val="28"/>
          <w:szCs w:val="28"/>
        </w:rPr>
        <w:t>литературы</w:t>
      </w:r>
      <w:r w:rsidR="00DA1A9B">
        <w:rPr>
          <w:sz w:val="28"/>
          <w:szCs w:val="28"/>
        </w:rPr>
        <w:t>…………………………………….</w:t>
      </w:r>
      <w:r w:rsidR="009662DD">
        <w:rPr>
          <w:sz w:val="28"/>
          <w:szCs w:val="28"/>
        </w:rPr>
        <w:t>15</w:t>
      </w: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</w:p>
    <w:p w:rsidR="00C73A46" w:rsidRDefault="00C73A46" w:rsidP="0075242E">
      <w:pPr>
        <w:spacing w:line="360" w:lineRule="auto"/>
        <w:jc w:val="both"/>
        <w:rPr>
          <w:sz w:val="28"/>
          <w:szCs w:val="28"/>
        </w:rPr>
      </w:pPr>
    </w:p>
    <w:p w:rsidR="0075242E" w:rsidRPr="00F86CC6" w:rsidRDefault="0075242E" w:rsidP="0075242E">
      <w:pPr>
        <w:spacing w:line="360" w:lineRule="auto"/>
        <w:jc w:val="both"/>
        <w:rPr>
          <w:b/>
          <w:sz w:val="28"/>
          <w:szCs w:val="28"/>
        </w:rPr>
      </w:pPr>
      <w:r w:rsidRPr="00F86CC6">
        <w:rPr>
          <w:b/>
          <w:sz w:val="28"/>
          <w:szCs w:val="28"/>
        </w:rPr>
        <w:t>Введение</w:t>
      </w:r>
      <w:r w:rsidR="000D0C43" w:rsidRPr="00F86CC6">
        <w:rPr>
          <w:b/>
          <w:sz w:val="28"/>
          <w:szCs w:val="28"/>
        </w:rPr>
        <w:t>:</w:t>
      </w:r>
    </w:p>
    <w:p w:rsidR="000D0C43" w:rsidRDefault="000D0C43" w:rsidP="000D0C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работы в том</w:t>
      </w:r>
      <w:r w:rsidR="001D0DA0">
        <w:rPr>
          <w:sz w:val="28"/>
          <w:szCs w:val="28"/>
        </w:rPr>
        <w:t>, что</w:t>
      </w:r>
      <w:r>
        <w:rPr>
          <w:sz w:val="28"/>
          <w:szCs w:val="28"/>
        </w:rPr>
        <w:t xml:space="preserve"> э</w:t>
      </w:r>
      <w:r w:rsidRPr="000D0C43">
        <w:rPr>
          <w:sz w:val="28"/>
          <w:szCs w:val="28"/>
        </w:rPr>
        <w:t>кономическая оценка ущербов, причиняемых загрязнением окружающей среды является важным рычагом в охране природы. Попытались проследить на основании экономических расчетов  изменение ущерба загрязнения водных объектов и атмосферного воздуха за десятилетие</w:t>
      </w:r>
      <w:r>
        <w:rPr>
          <w:sz w:val="28"/>
          <w:szCs w:val="28"/>
        </w:rPr>
        <w:t>.</w:t>
      </w:r>
    </w:p>
    <w:p w:rsidR="000D0C43" w:rsidRDefault="000D0C43" w:rsidP="000D0C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- э</w:t>
      </w:r>
      <w:r w:rsidRPr="000D0C43">
        <w:rPr>
          <w:sz w:val="28"/>
          <w:szCs w:val="28"/>
        </w:rPr>
        <w:t>кономическая оценка ущерба загрязнения водных объектов и воздушного бассейна стационарными источник</w:t>
      </w:r>
      <w:r>
        <w:rPr>
          <w:sz w:val="28"/>
          <w:szCs w:val="28"/>
        </w:rPr>
        <w:t>ами за период с 1998 по 2008 гг.</w:t>
      </w:r>
    </w:p>
    <w:p w:rsidR="000D0C43" w:rsidRDefault="000D0C43" w:rsidP="000D0C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Были поставлены следующие задачи:</w:t>
      </w:r>
    </w:p>
    <w:p w:rsidR="000D0C43" w:rsidRPr="000D0C43" w:rsidRDefault="000D0C43" w:rsidP="000D0C4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0C43">
        <w:rPr>
          <w:sz w:val="28"/>
          <w:szCs w:val="28"/>
        </w:rPr>
        <w:t>Овладеть методикой и подходами расчетов экономического ущерба</w:t>
      </w:r>
    </w:p>
    <w:p w:rsidR="000D0C43" w:rsidRPr="000D0C43" w:rsidRDefault="000D0C43" w:rsidP="000D0C4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0C43">
        <w:rPr>
          <w:sz w:val="28"/>
          <w:szCs w:val="28"/>
        </w:rPr>
        <w:t>Произвести расчеты экономического ущерба</w:t>
      </w:r>
    </w:p>
    <w:p w:rsidR="000D0C43" w:rsidRPr="000D0C43" w:rsidRDefault="000D0C43" w:rsidP="000D0C4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0D0C43">
        <w:rPr>
          <w:sz w:val="28"/>
          <w:szCs w:val="28"/>
        </w:rPr>
        <w:t>Провести анализ полученных данных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оценка ущерба от загрязнения окружающей среды предполагает денежную оценку негативных изменений в широком спектре последствий – ухудшение здоровья человека, вынужденного дышать загрязненным воздухом, пить воду, содержащие вредные примеси и есть продукты, обогащенные нитратами; изменение возможностей развития и воспитания личности вследствие исчезновения привычного ландшафта и природы, а также исторических и архитектурных памятников, несших информацию о национальной культуре; хозяйственные убытки от ускорения коррозии металла, снижения продуктивности сельхозугодий, гибели рыбы в водоемах и т. п.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оценка ущерба от загрязнения окружающей природной среды складывается из следующих затрат:</w:t>
      </w:r>
    </w:p>
    <w:p w:rsidR="00CD3761" w:rsidRDefault="00CD3761" w:rsidP="00CD37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дополнительных затрат общества  в связи с изменениями в окружающей природной среде</w:t>
      </w:r>
    </w:p>
    <w:p w:rsidR="00CD3761" w:rsidRDefault="00CD3761" w:rsidP="00CD37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затрат на возвращение окружающей природной среды в прежнее состояние</w:t>
      </w:r>
    </w:p>
    <w:p w:rsidR="00CD3761" w:rsidRDefault="00CD3761" w:rsidP="00CD376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дополнительных затрат будущего общества в связи с безвозвратным изъятием части дефицитных ресурсов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ущерба окружающей природной среде учитываются затраты на снижение загрязнений, затраты на восстановление окружающей среды, дополнительные затраты из-за изменения качества окружающей среды, затраты на компенсацию риска для здоровья людей, затраты на дополнительный природный ресурс для обезвреживания потока загрязнителей. 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существующих методиках широко используется подход, основанный на упрощенной процедуре, базирующейся на приведении различных примесей к монозагрязнителю ( однородному), т.е. агрегированному состоянию.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атмосферный воздух республики поступает свыше 300 наименований специфических загрязняющих веществ. Значительными по массе выбросов (более 100т\год) являются: оксид железа, хлорид натрия, сажа, пыль неорганическая, гидрокарбонат натрия, угольная зола, метан, ксилол, толуол, дихлорметан, этанол, ацетон, бензин, уайт-спирит, аммиак.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источником загрязнения атмосферного воздуха остается автомобильный транспорт.</w:t>
      </w:r>
    </w:p>
    <w:p w:rsidR="009662DD" w:rsidRDefault="009662DD" w:rsidP="009662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предприятиями – загрязнителями водных объектов по республике являются: ОАО «Химпром» - отсутствие очистных сооружений по очистке поверхностного стока; МУП Чебоксарского района «Водоканал» - перегруз по гидравлике; Канашское ПУ « Водоканал» - устаревшая технология очистки; ОАО « Вурнарский завод СОМ» - устаревшая технология очистки и др.</w:t>
      </w:r>
    </w:p>
    <w:p w:rsidR="00CD3761" w:rsidRDefault="009662DD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Многие сооружения по очистке сточных вод устарели или вышли из строя.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</w:p>
    <w:p w:rsidR="00B95D19" w:rsidRPr="009662DD" w:rsidRDefault="0075242E" w:rsidP="009662DD">
      <w:pPr>
        <w:spacing w:line="360" w:lineRule="auto"/>
        <w:jc w:val="center"/>
        <w:rPr>
          <w:sz w:val="28"/>
          <w:szCs w:val="28"/>
        </w:rPr>
      </w:pPr>
      <w:r w:rsidRPr="00DA1A9B">
        <w:rPr>
          <w:b/>
          <w:sz w:val="28"/>
          <w:szCs w:val="28"/>
        </w:rPr>
        <w:t xml:space="preserve">Глава 1. </w:t>
      </w:r>
      <w:r w:rsidR="00B95D19" w:rsidRPr="00DA1A9B">
        <w:rPr>
          <w:b/>
          <w:sz w:val="28"/>
          <w:szCs w:val="28"/>
        </w:rPr>
        <w:t>Методические вопросы экономической оценки ущербов от загрязнения водных объектов и атмосферного воздуха.</w:t>
      </w:r>
    </w:p>
    <w:p w:rsidR="0075242E" w:rsidRDefault="0075242E" w:rsidP="00752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оценка ущерба от загрязнения окружающей среды предполагает денежную оценку негативных изменений в широком спектре последствий – ухудшение здоровья человека, вынужденного дышать загрязненным воздухом, пить воду, содержащие вредные примеси и есть продукты, обогащенные нитратами; изменение возможностей развития и воспитания личности вследствие исчезновения привычного ландшафта и природы, а также исторических и архитектурных памятников, несших информацию о национальной культуре; хозяйственные убытки от ускорения коррозии металла, снижения продуктивности сельхозугодий, гибели рыбы в водоемах и т. п.</w:t>
      </w:r>
    </w:p>
    <w:p w:rsidR="00CD3761" w:rsidRDefault="00CD3761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ущерба окружающей природной среде учитываются затраты на снижение загрязнений, затраты на восстановление окружающей среды, дополнительные затраты из-за изменения качества окружающей среды, затраты на компенсацию риска для здоровья людей, затраты на дополнительный природный ресурс для обезвреживания потока загрязнителей. </w:t>
      </w:r>
    </w:p>
    <w:p w:rsidR="007362C8" w:rsidRDefault="007362C8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выбросов загрязняющих веществ в атмосферный воздух от стационарных источников связано в основном с уменьшением количества выбросов выбрасываемых углеводородов от Заволжского ЛПУМГ и Чебоксарского ЛПУМГ и уменьшением количества сжигаемого мазута на подразделениях ОАО «ТГК-5».</w:t>
      </w:r>
    </w:p>
    <w:p w:rsidR="007362C8" w:rsidRDefault="007362C8" w:rsidP="00CD37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вклад в суммарные выбросы загрязняющих веществ от стационарных источников вносили предприятия следующих  видов экономической деятельности:</w:t>
      </w:r>
    </w:p>
    <w:p w:rsidR="007362C8" w:rsidRDefault="007362C8" w:rsidP="007362C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транспорт и связь – 43,7%</w:t>
      </w:r>
    </w:p>
    <w:p w:rsidR="007362C8" w:rsidRDefault="007362C8" w:rsidP="007362C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производства и распределения эл. Энергии, газа и воды – 19,4%</w:t>
      </w:r>
    </w:p>
    <w:p w:rsidR="007362C8" w:rsidRDefault="007362C8" w:rsidP="007362C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прочих неметаллических продуктов – 6,8%</w:t>
      </w:r>
    </w:p>
    <w:p w:rsidR="007362C8" w:rsidRDefault="007362C8" w:rsidP="007362C8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химическое производство – 3,9</w:t>
      </w:r>
    </w:p>
    <w:p w:rsidR="007362C8" w:rsidRDefault="007026A7" w:rsidP="007362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 наибольшему антропогенному воздействию подвергаются города Чебоксары и Новочебоксарск. Из районов республики наибольшее количество выбросов загрязняющих веществ в Красноармейск</w:t>
      </w:r>
      <w:r w:rsidR="00205A8C">
        <w:rPr>
          <w:sz w:val="28"/>
          <w:szCs w:val="28"/>
        </w:rPr>
        <w:t>ом и Чебоксарском районах. [4]</w:t>
      </w:r>
    </w:p>
    <w:p w:rsidR="007026A7" w:rsidRDefault="007026A7" w:rsidP="007362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атмосферный воздух республики поступает свыше 300 наименований специфических загрязняющих веществ. Значительными по массе выбросов (более 100т\год) являются: оксид железа, хлорид натрия, сажа, пыль неорганическая, гидрокарбонат натрия, угольная зола, метан, ксилол, толуол, дихлорметан, этанол, ацетон, бензин, уайт-спирит, аммиак.</w:t>
      </w:r>
    </w:p>
    <w:p w:rsidR="00BA00CB" w:rsidRDefault="00CD3761" w:rsidP="007362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существующих методиках используется подход, основанный на упрощенной процедуре, базирующейся на приведении различных примесей к «монозагрязнителю», т.е. агрегированному  виду.</w:t>
      </w:r>
    </w:p>
    <w:p w:rsidR="00CD3761" w:rsidRDefault="00CD3761" w:rsidP="00BA00CB">
      <w:pPr>
        <w:spacing w:line="360" w:lineRule="auto"/>
        <w:jc w:val="both"/>
        <w:rPr>
          <w:sz w:val="28"/>
          <w:szCs w:val="28"/>
        </w:rPr>
      </w:pPr>
    </w:p>
    <w:p w:rsidR="000D0C43" w:rsidRDefault="00B95D19" w:rsidP="00BA00C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0D0C43" w:rsidRPr="000D0C43">
        <w:rPr>
          <w:b/>
          <w:sz w:val="28"/>
          <w:szCs w:val="28"/>
        </w:rPr>
        <w:t>Экономическая оценка ущерба от загрязнения атмосферного воздуха</w:t>
      </w:r>
    </w:p>
    <w:p w:rsidR="000D0C43" w:rsidRDefault="000D0C43" w:rsidP="000D0C43">
      <w:pPr>
        <w:spacing w:line="360" w:lineRule="auto"/>
        <w:jc w:val="both"/>
        <w:rPr>
          <w:sz w:val="28"/>
          <w:szCs w:val="28"/>
        </w:rPr>
      </w:pPr>
      <w:r w:rsidRPr="000D0C43">
        <w:rPr>
          <w:sz w:val="28"/>
          <w:szCs w:val="28"/>
        </w:rPr>
        <w:t>Расчет годовых величин экономического ущерба от загрязнения атмосферного воздуха определяется по формуле</w:t>
      </w:r>
      <w:r>
        <w:rPr>
          <w:sz w:val="28"/>
          <w:szCs w:val="28"/>
        </w:rPr>
        <w:t>:</w:t>
      </w:r>
    </w:p>
    <w:p w:rsidR="000D0C43" w:rsidRPr="000D0C43" w:rsidRDefault="000D0C43" w:rsidP="000D0C43">
      <w:pPr>
        <w:spacing w:line="360" w:lineRule="auto"/>
        <w:jc w:val="center"/>
        <w:rPr>
          <w:b/>
          <w:i/>
          <w:sz w:val="28"/>
          <w:szCs w:val="28"/>
        </w:rPr>
      </w:pPr>
      <w:r w:rsidRPr="000D0C43">
        <w:rPr>
          <w:b/>
          <w:i/>
          <w:sz w:val="28"/>
          <w:szCs w:val="28"/>
          <w:lang w:val="en-US"/>
        </w:rPr>
        <w:t>R</w:t>
      </w:r>
      <w:r w:rsidRPr="000D0C43">
        <w:rPr>
          <w:b/>
          <w:i/>
          <w:sz w:val="28"/>
          <w:szCs w:val="28"/>
        </w:rPr>
        <w:t>атм(</w:t>
      </w:r>
      <w:r w:rsidRPr="000D0C43">
        <w:rPr>
          <w:b/>
          <w:i/>
          <w:sz w:val="28"/>
          <w:szCs w:val="28"/>
          <w:lang w:val="en-US"/>
        </w:rPr>
        <w:t>t</w:t>
      </w:r>
      <w:r w:rsidRPr="000D0C43">
        <w:rPr>
          <w:b/>
          <w:i/>
          <w:sz w:val="28"/>
          <w:szCs w:val="28"/>
        </w:rPr>
        <w:t xml:space="preserve">) = </w:t>
      </w:r>
      <w:r w:rsidRPr="000D0C43">
        <w:rPr>
          <w:b/>
          <w:i/>
          <w:sz w:val="28"/>
          <w:szCs w:val="28"/>
          <w:lang w:val="en-US"/>
        </w:rPr>
        <w:t>ỵt</w:t>
      </w:r>
      <w:r w:rsidRPr="000D0C43">
        <w:rPr>
          <w:b/>
          <w:i/>
          <w:sz w:val="28"/>
          <w:szCs w:val="28"/>
        </w:rPr>
        <w:t>·</w:t>
      </w:r>
      <w:r w:rsidRPr="000D0C43">
        <w:rPr>
          <w:b/>
          <w:i/>
          <w:sz w:val="28"/>
          <w:szCs w:val="28"/>
          <w:lang w:val="en-US"/>
        </w:rPr>
        <w:sym w:font="Symbol" w:char="0073"/>
      </w:r>
      <w:r w:rsidRPr="000D0C43">
        <w:rPr>
          <w:b/>
          <w:i/>
          <w:sz w:val="28"/>
          <w:szCs w:val="28"/>
        </w:rPr>
        <w:t>·</w:t>
      </w:r>
      <w:r w:rsidRPr="000D0C43">
        <w:rPr>
          <w:b/>
          <w:i/>
          <w:sz w:val="28"/>
          <w:szCs w:val="28"/>
          <w:lang w:val="en-US"/>
        </w:rPr>
        <w:t>f</w:t>
      </w:r>
      <w:r w:rsidRPr="000D0C43">
        <w:rPr>
          <w:b/>
          <w:i/>
          <w:sz w:val="28"/>
          <w:szCs w:val="28"/>
        </w:rPr>
        <w:t>∑А</w:t>
      </w:r>
      <w:r w:rsidRPr="000D0C43">
        <w:rPr>
          <w:b/>
          <w:i/>
          <w:sz w:val="28"/>
          <w:szCs w:val="28"/>
          <w:lang w:val="en-US"/>
        </w:rPr>
        <w:t>i</w:t>
      </w:r>
      <w:r w:rsidRPr="000D0C43">
        <w:rPr>
          <w:b/>
          <w:i/>
          <w:sz w:val="28"/>
          <w:szCs w:val="28"/>
        </w:rPr>
        <w:t>·</w:t>
      </w:r>
      <w:r w:rsidRPr="000D0C43">
        <w:rPr>
          <w:b/>
          <w:i/>
          <w:sz w:val="28"/>
          <w:szCs w:val="28"/>
          <w:lang w:val="en-US"/>
        </w:rPr>
        <w:t>mit</w:t>
      </w:r>
      <w:r w:rsidRPr="000D0C43">
        <w:rPr>
          <w:b/>
          <w:i/>
          <w:sz w:val="28"/>
          <w:szCs w:val="28"/>
        </w:rPr>
        <w:t>,</w:t>
      </w:r>
    </w:p>
    <w:p w:rsidR="000D0C43" w:rsidRDefault="000D0C43" w:rsidP="000D0C43">
      <w:pPr>
        <w:spacing w:line="360" w:lineRule="auto"/>
        <w:jc w:val="both"/>
        <w:rPr>
          <w:sz w:val="28"/>
          <w:szCs w:val="28"/>
        </w:rPr>
      </w:pPr>
      <w:r w:rsidRPr="000D0C43">
        <w:rPr>
          <w:sz w:val="28"/>
          <w:szCs w:val="28"/>
        </w:rPr>
        <w:t>где у</w:t>
      </w:r>
      <w:r w:rsidRPr="000D0C43">
        <w:rPr>
          <w:sz w:val="28"/>
          <w:szCs w:val="28"/>
          <w:lang w:val="en-US"/>
        </w:rPr>
        <w:t>t</w:t>
      </w:r>
      <w:r w:rsidRPr="000D0C43">
        <w:rPr>
          <w:i/>
          <w:iCs/>
          <w:sz w:val="28"/>
          <w:szCs w:val="28"/>
        </w:rPr>
        <w:t xml:space="preserve"> – </w:t>
      </w:r>
      <w:r w:rsidRPr="000D0C43">
        <w:rPr>
          <w:sz w:val="28"/>
          <w:szCs w:val="28"/>
        </w:rPr>
        <w:t xml:space="preserve">денежная оценка единицы выбросов в усл. т, р./усл. т.; </w:t>
      </w:r>
      <w:r w:rsidRPr="000D0C43">
        <w:rPr>
          <w:i/>
          <w:iCs/>
          <w:sz w:val="28"/>
          <w:szCs w:val="28"/>
        </w:rPr>
        <w:sym w:font="Symbol" w:char="0073"/>
      </w:r>
      <w:r w:rsidRPr="000D0C43">
        <w:rPr>
          <w:i/>
          <w:iCs/>
          <w:sz w:val="28"/>
          <w:szCs w:val="28"/>
        </w:rPr>
        <w:t xml:space="preserve"> </w:t>
      </w:r>
      <w:r w:rsidRPr="000D0C43">
        <w:rPr>
          <w:sz w:val="28"/>
          <w:szCs w:val="28"/>
        </w:rPr>
        <w:t>– ко</w:t>
      </w:r>
      <w:r w:rsidRPr="000D0C43">
        <w:rPr>
          <w:sz w:val="28"/>
          <w:szCs w:val="28"/>
        </w:rPr>
        <w:softHyphen/>
        <w:t>эффициент, позволяющий учесть региональные особенности территории, подверженной временному воздействию;</w:t>
      </w:r>
      <w:r w:rsidRPr="000D0C43">
        <w:rPr>
          <w:sz w:val="28"/>
          <w:szCs w:val="28"/>
          <w:lang w:val="en-US"/>
        </w:rPr>
        <w:t>f</w:t>
      </w:r>
      <w:r w:rsidRPr="000D0C43">
        <w:rPr>
          <w:sz w:val="28"/>
          <w:szCs w:val="28"/>
        </w:rPr>
        <w:t xml:space="preserve"> – поправка, учитывающая харак</w:t>
      </w:r>
      <w:r w:rsidRPr="000D0C43">
        <w:rPr>
          <w:sz w:val="28"/>
          <w:szCs w:val="28"/>
        </w:rPr>
        <w:softHyphen/>
        <w:t xml:space="preserve">тер рассеяния примеси в атмосфере; </w:t>
      </w:r>
      <w:r w:rsidRPr="000D0C43">
        <w:rPr>
          <w:i/>
          <w:iCs/>
          <w:sz w:val="28"/>
          <w:szCs w:val="28"/>
        </w:rPr>
        <w:t>А</w:t>
      </w:r>
      <w:r w:rsidRPr="000D0C43">
        <w:rPr>
          <w:i/>
          <w:iCs/>
          <w:sz w:val="28"/>
          <w:szCs w:val="28"/>
          <w:lang w:val="en-US"/>
        </w:rPr>
        <w:t>i</w:t>
      </w:r>
      <w:r w:rsidRPr="000D0C43">
        <w:rPr>
          <w:i/>
          <w:iCs/>
          <w:sz w:val="28"/>
          <w:szCs w:val="28"/>
        </w:rPr>
        <w:t xml:space="preserve"> – </w:t>
      </w:r>
      <w:r w:rsidRPr="000D0C43">
        <w:rPr>
          <w:sz w:val="28"/>
          <w:szCs w:val="28"/>
        </w:rPr>
        <w:t xml:space="preserve">коэффициент приведения примеси вида </w:t>
      </w:r>
      <w:r w:rsidRPr="000D0C43">
        <w:rPr>
          <w:i/>
          <w:iCs/>
          <w:sz w:val="28"/>
          <w:szCs w:val="28"/>
          <w:lang w:val="en-US"/>
        </w:rPr>
        <w:t>i</w:t>
      </w:r>
      <w:r w:rsidRPr="000D0C43">
        <w:rPr>
          <w:i/>
          <w:iCs/>
          <w:sz w:val="28"/>
          <w:szCs w:val="28"/>
        </w:rPr>
        <w:t xml:space="preserve"> </w:t>
      </w:r>
      <w:r w:rsidRPr="000D0C43">
        <w:rPr>
          <w:sz w:val="28"/>
          <w:szCs w:val="28"/>
        </w:rPr>
        <w:t xml:space="preserve">к монозагрязнителю, усл. т/т; </w:t>
      </w:r>
      <w:r w:rsidRPr="000D0C43">
        <w:rPr>
          <w:i/>
          <w:iCs/>
          <w:sz w:val="28"/>
          <w:szCs w:val="28"/>
        </w:rPr>
        <w:t>т</w:t>
      </w:r>
      <w:r w:rsidRPr="000D0C43">
        <w:rPr>
          <w:i/>
          <w:iCs/>
          <w:sz w:val="28"/>
          <w:szCs w:val="28"/>
          <w:lang w:val="en-US"/>
        </w:rPr>
        <w:t>it</w:t>
      </w:r>
      <w:r w:rsidRPr="000D0C43">
        <w:rPr>
          <w:i/>
          <w:iCs/>
          <w:sz w:val="28"/>
          <w:szCs w:val="28"/>
        </w:rPr>
        <w:t xml:space="preserve"> </w:t>
      </w:r>
      <w:r w:rsidRPr="000D0C43">
        <w:rPr>
          <w:sz w:val="28"/>
          <w:szCs w:val="28"/>
        </w:rPr>
        <w:t xml:space="preserve">– объем выброса </w:t>
      </w:r>
      <w:r w:rsidRPr="000D0C43">
        <w:rPr>
          <w:sz w:val="28"/>
          <w:szCs w:val="28"/>
          <w:lang w:val="en-US"/>
        </w:rPr>
        <w:t>i</w:t>
      </w:r>
      <w:r w:rsidR="00205A8C">
        <w:rPr>
          <w:sz w:val="28"/>
          <w:szCs w:val="28"/>
        </w:rPr>
        <w:t>-го вида примеси загрязнителя.[1]</w:t>
      </w:r>
    </w:p>
    <w:p w:rsidR="00156677" w:rsidRDefault="000D0C43" w:rsidP="000D0C43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При получении указанной оценки для региона следовало просуммировать эти оценки по сотням </w:t>
      </w:r>
      <w:r w:rsidR="00206435">
        <w:rPr>
          <w:sz w:val="28"/>
          <w:szCs w:val="28"/>
        </w:rPr>
        <w:t xml:space="preserve">источников, действующих на данной территории. Однако реально доступная информация не настолько точна и детализирована по источникам, чтобы соответствующее резкое усложнение расчетов можно было бы считать оправданным. </w:t>
      </w:r>
      <w:r w:rsidR="00156677">
        <w:rPr>
          <w:sz w:val="28"/>
          <w:szCs w:val="28"/>
        </w:rPr>
        <w:t xml:space="preserve">Поэтому для безразмерного коэффициента </w:t>
      </w:r>
      <w:r w:rsidR="00156677" w:rsidRPr="000D0C43">
        <w:rPr>
          <w:i/>
          <w:iCs/>
          <w:sz w:val="28"/>
          <w:szCs w:val="28"/>
        </w:rPr>
        <w:sym w:font="Symbol" w:char="0073"/>
      </w:r>
      <w:r w:rsidR="00156677">
        <w:rPr>
          <w:i/>
          <w:iCs/>
          <w:sz w:val="28"/>
          <w:szCs w:val="28"/>
        </w:rPr>
        <w:t xml:space="preserve">, </w:t>
      </w:r>
      <w:r w:rsidR="00156677">
        <w:rPr>
          <w:iCs/>
          <w:sz w:val="28"/>
          <w:szCs w:val="28"/>
        </w:rPr>
        <w:t>характеризующего относительную степень опасности загрязнения воздуха над территорией данного типа, рекомендуется использовать средневзвешенное значение с учетом площадей отдельных видов.</w:t>
      </w:r>
    </w:p>
    <w:p w:rsidR="000D0C43" w:rsidRDefault="00156677" w:rsidP="000D0C43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7026A7" w:rsidRDefault="00B95D19" w:rsidP="000D0C43">
      <w:pPr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1.2. </w:t>
      </w:r>
      <w:r w:rsidR="00156677" w:rsidRPr="00156677">
        <w:rPr>
          <w:b/>
          <w:iCs/>
          <w:sz w:val="28"/>
          <w:szCs w:val="28"/>
        </w:rPr>
        <w:t>Экономическая оценка ущерба от загрязнения водоемов</w:t>
      </w:r>
      <w:r w:rsidR="007026A7">
        <w:rPr>
          <w:b/>
          <w:iCs/>
          <w:sz w:val="28"/>
          <w:szCs w:val="28"/>
        </w:rPr>
        <w:t>.</w:t>
      </w:r>
    </w:p>
    <w:p w:rsidR="007026A7" w:rsidRDefault="00D95308" w:rsidP="000D0C43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2007 г. поверхностные водные объекты сброшено сточных вод всего – 128, 76 млн. м³, из них:</w:t>
      </w:r>
    </w:p>
    <w:p w:rsidR="00D95308" w:rsidRDefault="00D95308" w:rsidP="00D95308">
      <w:pPr>
        <w:numPr>
          <w:ilvl w:val="0"/>
          <w:numId w:val="8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нормативно-чистых – 4,31 млн. м³;</w:t>
      </w:r>
    </w:p>
    <w:p w:rsidR="00D95308" w:rsidRDefault="00D95308" w:rsidP="00D95308">
      <w:pPr>
        <w:numPr>
          <w:ilvl w:val="0"/>
          <w:numId w:val="8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недостаточно-очищенных – 109,13 млн. м³;</w:t>
      </w:r>
    </w:p>
    <w:p w:rsidR="00D95308" w:rsidRDefault="00D95308" w:rsidP="00D95308">
      <w:pPr>
        <w:numPr>
          <w:ilvl w:val="0"/>
          <w:numId w:val="8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без очистки – 9,26 млн. м³;</w:t>
      </w:r>
    </w:p>
    <w:p w:rsidR="00D95308" w:rsidRDefault="00D95308" w:rsidP="00D95308">
      <w:pPr>
        <w:numPr>
          <w:ilvl w:val="0"/>
          <w:numId w:val="8"/>
        </w:num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нормативно-очищенных на сооружениях очистки – 6,07 млн.м³</w:t>
      </w:r>
    </w:p>
    <w:p w:rsidR="00D95308" w:rsidRDefault="00D95308" w:rsidP="00D9530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объектам, осуществляющим сброс сточных вод в водные объекты, измерительная аппаратура установлена у 46 водопользователей.</w:t>
      </w:r>
    </w:p>
    <w:p w:rsidR="00D95308" w:rsidRDefault="00BF324F" w:rsidP="00D9530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целом по республике в 2007 году по сравнению с 2006 годом наблюдается следующая динамика сброса загрязняющих веществ в поверхностные водные объекты</w:t>
      </w:r>
      <w:r w:rsidR="001D0DA0">
        <w:rPr>
          <w:iCs/>
          <w:sz w:val="28"/>
          <w:szCs w:val="28"/>
        </w:rPr>
        <w:t xml:space="preserve"> (таблица 1)</w:t>
      </w:r>
      <w:r>
        <w:rPr>
          <w:iCs/>
          <w:sz w:val="28"/>
          <w:szCs w:val="28"/>
        </w:rPr>
        <w:t>:</w:t>
      </w:r>
    </w:p>
    <w:p w:rsidR="00BF324F" w:rsidRDefault="00BF324F" w:rsidP="00D9530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уменьшилось содержание: взвешенных веществ – на 10%, сухого остатка – на 23%, сульфатов – на 8%, фосфора общего – на 53%, алюминия – на 30%, кальция – на 84%, хлоридов – на 7%, ХПК – на 70%, натрия – на 10%.</w:t>
      </w:r>
    </w:p>
    <w:p w:rsidR="00BF324F" w:rsidRDefault="00BF324F" w:rsidP="00D9530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увеличилось содержание: азота аммонийного – на 63%, фенолов – на 100%, нитратов – на 2%, нитритов – на 72%, метиленхлорида – на 100%, железа – на 62%, меди – на 62%, цинка – на 100%, никеля – на 100%, хрома общего – на 83%, свинца – на 100%, кобальта – на 100%.</w:t>
      </w:r>
    </w:p>
    <w:p w:rsidR="00BF324F" w:rsidRDefault="00BF324F" w:rsidP="00D9530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отсутствуют: пестициды, лигнин, хлорбензол, цирконий, мышьяк, фтор, кадмий.</w:t>
      </w:r>
      <w:r w:rsidR="00205A8C">
        <w:rPr>
          <w:iCs/>
          <w:sz w:val="28"/>
          <w:szCs w:val="28"/>
        </w:rPr>
        <w:t>[4]</w:t>
      </w: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584534" w:rsidRDefault="00584534" w:rsidP="00D95308">
      <w:pPr>
        <w:spacing w:line="360" w:lineRule="auto"/>
        <w:jc w:val="both"/>
        <w:rPr>
          <w:iCs/>
          <w:sz w:val="28"/>
          <w:szCs w:val="28"/>
        </w:rPr>
      </w:pPr>
    </w:p>
    <w:p w:rsidR="001D0DA0" w:rsidRDefault="001D0DA0" w:rsidP="001D0DA0">
      <w:pPr>
        <w:spacing w:line="360" w:lineRule="auto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Таблица 1.</w:t>
      </w:r>
    </w:p>
    <w:p w:rsidR="001D0DA0" w:rsidRDefault="001D0DA0" w:rsidP="001D0DA0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Динамика содержания загрязняющих веществ, сбрасываемых в водоемы Чувашской Республики за последние 4 года.</w:t>
      </w:r>
    </w:p>
    <w:tbl>
      <w:tblPr>
        <w:tblStyle w:val="a5"/>
        <w:tblW w:w="9468" w:type="dxa"/>
        <w:tblLook w:val="01E0" w:firstRow="1" w:lastRow="1" w:firstColumn="1" w:lastColumn="1" w:noHBand="0" w:noVBand="0"/>
      </w:tblPr>
      <w:tblGrid>
        <w:gridCol w:w="496"/>
        <w:gridCol w:w="3221"/>
        <w:gridCol w:w="1437"/>
        <w:gridCol w:w="1438"/>
        <w:gridCol w:w="1438"/>
        <w:gridCol w:w="1438"/>
      </w:tblGrid>
      <w:tr w:rsidR="00584534">
        <w:trPr>
          <w:trHeight w:val="705"/>
        </w:trPr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Загрязняющие</w:t>
            </w:r>
          </w:p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Вещества, тыс.т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2004</w:t>
            </w:r>
          </w:p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год</w:t>
            </w:r>
          </w:p>
        </w:tc>
        <w:tc>
          <w:tcPr>
            <w:tcW w:w="1438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2005</w:t>
            </w:r>
          </w:p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год</w:t>
            </w:r>
          </w:p>
        </w:tc>
        <w:tc>
          <w:tcPr>
            <w:tcW w:w="1438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2006</w:t>
            </w:r>
          </w:p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год</w:t>
            </w:r>
          </w:p>
        </w:tc>
        <w:tc>
          <w:tcPr>
            <w:tcW w:w="1438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2007</w:t>
            </w:r>
          </w:p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год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БПК полный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3,48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3,32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2,93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1,84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Нефтепродукты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Взвешенные в-ва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3,36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3,64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2,57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2,29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Сухой остаток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60,25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57,27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60,22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51,61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Сульфаты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7,76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9,02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6,41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5,87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Хлориды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19,2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19,88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20,27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18,7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Фосфор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200,3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196,41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102,41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47,25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Аммоний</w:t>
            </w:r>
          </w:p>
        </w:tc>
        <w:tc>
          <w:tcPr>
            <w:tcW w:w="1437" w:type="dxa"/>
          </w:tcPr>
          <w:p w:rsidR="00584534" w:rsidRDefault="00584534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383,78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309,71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111,56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301,83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Фенолы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0,08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Нитраты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2745,91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4372,04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1782,85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1830,48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СПАВ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8,81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9,66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2,88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8,52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Железо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30,47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16,75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5,22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13,94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Медь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0,83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0,84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0,13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Цинк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0,44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0,05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Никель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0,41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0,52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Хром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0,73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0,06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Алюминий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40,08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32,5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23,85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16,6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Свинец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0,14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Кадмий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Нитриты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39,81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25,18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3,71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13,42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Роданиды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1,04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4,3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0,35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Кальций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2,22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0,97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0,94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0,15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Метиленхлорид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1,44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0,08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0,02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Натрий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10,96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11,86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14,26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12,83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Четыреххлористый</w:t>
            </w:r>
          </w:p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углерод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0,01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0,02</w:t>
            </w:r>
          </w:p>
        </w:tc>
      </w:tr>
      <w:tr w:rsidR="00584534">
        <w:tc>
          <w:tcPr>
            <w:tcW w:w="0" w:type="auto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  <w:tc>
          <w:tcPr>
            <w:tcW w:w="3221" w:type="dxa"/>
          </w:tcPr>
          <w:p w:rsidR="00584534" w:rsidRDefault="00584534" w:rsidP="00D95308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Хлороформ</w:t>
            </w:r>
          </w:p>
        </w:tc>
        <w:tc>
          <w:tcPr>
            <w:tcW w:w="1437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0,45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1438" w:type="dxa"/>
          </w:tcPr>
          <w:p w:rsidR="00584534" w:rsidRDefault="00C81F9E" w:rsidP="00C81F9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0,38</w:t>
            </w:r>
          </w:p>
        </w:tc>
      </w:tr>
    </w:tbl>
    <w:p w:rsidR="001D0DA0" w:rsidRDefault="001D0DA0" w:rsidP="00156677">
      <w:pPr>
        <w:spacing w:line="360" w:lineRule="auto"/>
        <w:jc w:val="both"/>
        <w:rPr>
          <w:iCs/>
          <w:sz w:val="28"/>
          <w:szCs w:val="28"/>
        </w:rPr>
      </w:pPr>
    </w:p>
    <w:p w:rsidR="00C81F9E" w:rsidRDefault="00876D4C" w:rsidP="00156677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Уменьшение таких веществ как фосфор общий и алюминий произошло вследствие уменьшения общего объема сточных вод. Увеличение азота аммонийного, фенолов, СПАВ, нитритов, железа, меди, цинка вызвано неэффективной очисткой сточн</w:t>
      </w:r>
      <w:r w:rsidR="005B3D25">
        <w:rPr>
          <w:iCs/>
          <w:sz w:val="28"/>
          <w:szCs w:val="28"/>
        </w:rPr>
        <w:t>ых вод на очистных сооружениях. Многие сооружения по очистке сточных вод</w:t>
      </w:r>
      <w:r w:rsidR="00DA1A9B">
        <w:rPr>
          <w:iCs/>
          <w:sz w:val="28"/>
          <w:szCs w:val="28"/>
        </w:rPr>
        <w:t xml:space="preserve"> работают по устаревшим технологиям. Изменение объема сброса сточных вод и увеличение специфических загрязняющих веществ, таких как свинец, никель, хром, кобальт, роданиды, хлороформ обусловлено увеличением выпуска готовой продукции ОАО «Химпром»: смягчителя, хлорбензола, фенилтрихлорсилана, перекиси водорода. Также изменения вызваны освоением новых методик по определению загрязняющих веществ лабораториями предприятий, проведением пуско-наладочных работ очистных сооружений.</w:t>
      </w:r>
    </w:p>
    <w:p w:rsidR="009805E5" w:rsidRDefault="009805E5" w:rsidP="009805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предприятиями – загрязнителями водных объектов по республике являются: ОАО «Химпром» - отсутствие очистных сооружений п</w:t>
      </w:r>
      <w:r w:rsidR="003F0EBF">
        <w:rPr>
          <w:sz w:val="28"/>
          <w:szCs w:val="28"/>
        </w:rPr>
        <w:t>о</w:t>
      </w:r>
      <w:r>
        <w:rPr>
          <w:sz w:val="28"/>
          <w:szCs w:val="28"/>
        </w:rPr>
        <w:t xml:space="preserve"> очистке поверхностного стока; МУП Чебоксарского района «Водоканал» - перегруз по гидравлике; Канашское ПУ « Водоканал» - устаревшая технология очистки; ОАО « Вурнарский завод СОМ» - устаревшая технология очистки и др.</w:t>
      </w:r>
    </w:p>
    <w:p w:rsidR="009805E5" w:rsidRDefault="00346D87" w:rsidP="009805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счетчики водоизмерительной аппаратуры на трех предприятиях в местах сброса сточных вод; введены в эксплуатацию флотационная ловушка для очистки  внутрицеховых стоков на ОАО «Алатырская бумажная фабрика» и установка очистки ливневых сточных вод на ОАО «Химпром», в результате чего прекратился сброс сточных вод в р. Цивиль и очищенные воды используются в системе водооборота; проведена реконструкция очистных сооружений на ЗАО СКК «Солнечный берег», ГУП « БОС» Минстроя Чувашии, ОАО «Чебоксарская ГЭС», ОАО «Водоканал» г. Чебоксары.</w:t>
      </w:r>
    </w:p>
    <w:p w:rsidR="009662DD" w:rsidRDefault="00346D87" w:rsidP="009805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сооружения по очистке сточных вод устарели или вышли из строя. </w:t>
      </w:r>
      <w:r w:rsidR="003F0EBF">
        <w:rPr>
          <w:sz w:val="28"/>
          <w:szCs w:val="28"/>
        </w:rPr>
        <w:t>Развитие систем канализации населенных пунктов республики, в том числе строительство новых, реконструкция и капитальный ремонт действующих очистных сооружений предусмотрены республиканской целевой программой «Обеспечение населения Чувашской Республики качественной питьевой водой на 2005-2008 годы», утвержденной Указом Пре</w:t>
      </w:r>
      <w:r w:rsidR="009662DD">
        <w:rPr>
          <w:sz w:val="28"/>
          <w:szCs w:val="28"/>
        </w:rPr>
        <w:t>зидента Чувашской Республики № 142 от 29.12.2004 г.</w:t>
      </w:r>
    </w:p>
    <w:p w:rsidR="009662DD" w:rsidRDefault="009662DD" w:rsidP="009805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Большое негативное воздействие на водные объекты оказывает водная эрозия. В республике 84% сельскохозяйственных угодий размещено на склонах, 78% пашни подвержено смыву. На землепользовании сельскохозяйственных предприятий овражно-балочная сеть занимает 98 тыс. га сельскохозяйственных угодий.</w:t>
      </w:r>
      <w:r w:rsidR="00205A8C">
        <w:rPr>
          <w:sz w:val="28"/>
          <w:szCs w:val="28"/>
        </w:rPr>
        <w:t>[3]</w:t>
      </w:r>
    </w:p>
    <w:p w:rsidR="00346D87" w:rsidRDefault="009662DD" w:rsidP="009805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Одним из факторов загрязнения водных объектов являются сброс ливневых стоков с селитебных территорий. В настоящее время они поступают в водоемы неочищенными.</w:t>
      </w:r>
      <w:r w:rsidR="003F0EBF">
        <w:rPr>
          <w:sz w:val="28"/>
          <w:szCs w:val="28"/>
        </w:rPr>
        <w:t xml:space="preserve"> </w:t>
      </w:r>
    </w:p>
    <w:p w:rsidR="00346D87" w:rsidRDefault="00346D87" w:rsidP="009805E5">
      <w:pPr>
        <w:spacing w:line="360" w:lineRule="auto"/>
        <w:jc w:val="both"/>
        <w:rPr>
          <w:sz w:val="28"/>
          <w:szCs w:val="28"/>
        </w:rPr>
      </w:pPr>
    </w:p>
    <w:p w:rsidR="00156677" w:rsidRDefault="00156677" w:rsidP="00156677">
      <w:pPr>
        <w:spacing w:line="360" w:lineRule="auto"/>
        <w:jc w:val="both"/>
        <w:rPr>
          <w:sz w:val="28"/>
          <w:szCs w:val="28"/>
        </w:rPr>
      </w:pPr>
      <w:r w:rsidRPr="00DA1A9B">
        <w:rPr>
          <w:sz w:val="28"/>
          <w:szCs w:val="28"/>
        </w:rPr>
        <w:t>Экон</w:t>
      </w:r>
      <w:r w:rsidR="00DA1A9B">
        <w:rPr>
          <w:sz w:val="28"/>
          <w:szCs w:val="28"/>
        </w:rPr>
        <w:t xml:space="preserve">омическая оценка ущерба от загрязнения водных объектов </w:t>
      </w:r>
      <w:r w:rsidRPr="00DA1A9B">
        <w:rPr>
          <w:sz w:val="28"/>
          <w:szCs w:val="28"/>
        </w:rPr>
        <w:t>проводится по формуле</w:t>
      </w:r>
      <w:r>
        <w:rPr>
          <w:sz w:val="28"/>
          <w:szCs w:val="28"/>
        </w:rPr>
        <w:t>:</w:t>
      </w:r>
    </w:p>
    <w:p w:rsidR="00156677" w:rsidRPr="00156677" w:rsidRDefault="00156677" w:rsidP="00156677">
      <w:pPr>
        <w:spacing w:line="360" w:lineRule="auto"/>
        <w:jc w:val="center"/>
        <w:rPr>
          <w:b/>
          <w:sz w:val="28"/>
          <w:szCs w:val="28"/>
        </w:rPr>
      </w:pPr>
      <w:r w:rsidRPr="00156677">
        <w:rPr>
          <w:b/>
          <w:sz w:val="28"/>
          <w:szCs w:val="28"/>
          <w:lang w:val="en-US"/>
        </w:rPr>
        <w:t>R</w:t>
      </w:r>
      <w:r w:rsidRPr="00156677">
        <w:rPr>
          <w:b/>
          <w:sz w:val="28"/>
          <w:szCs w:val="28"/>
        </w:rPr>
        <w:t>вод(</w:t>
      </w:r>
      <w:r w:rsidRPr="00156677">
        <w:rPr>
          <w:b/>
          <w:sz w:val="28"/>
          <w:szCs w:val="28"/>
          <w:lang w:val="en-US"/>
        </w:rPr>
        <w:t>t</w:t>
      </w:r>
      <w:r w:rsidRPr="00156677">
        <w:rPr>
          <w:b/>
          <w:sz w:val="28"/>
          <w:szCs w:val="28"/>
        </w:rPr>
        <w:t xml:space="preserve">)= </w:t>
      </w:r>
      <w:r w:rsidRPr="00156677">
        <w:rPr>
          <w:b/>
          <w:sz w:val="28"/>
          <w:szCs w:val="28"/>
          <w:lang w:val="en-US"/>
        </w:rPr>
        <w:t>ρt</w:t>
      </w:r>
      <w:r w:rsidRPr="00156677">
        <w:rPr>
          <w:b/>
          <w:sz w:val="28"/>
          <w:szCs w:val="28"/>
        </w:rPr>
        <w:t>·</w:t>
      </w:r>
      <w:r w:rsidRPr="00156677">
        <w:rPr>
          <w:b/>
          <w:sz w:val="28"/>
          <w:szCs w:val="28"/>
          <w:lang w:val="en-US"/>
        </w:rPr>
        <w:t>β</w:t>
      </w:r>
      <w:r w:rsidRPr="00156677">
        <w:rPr>
          <w:b/>
          <w:sz w:val="28"/>
          <w:szCs w:val="28"/>
        </w:rPr>
        <w:t>·∑</w:t>
      </w:r>
      <w:r w:rsidRPr="00156677">
        <w:rPr>
          <w:b/>
          <w:sz w:val="28"/>
          <w:szCs w:val="28"/>
          <w:lang w:val="en-US"/>
        </w:rPr>
        <w:t>DiVit</w:t>
      </w:r>
      <w:r w:rsidRPr="00156677">
        <w:rPr>
          <w:b/>
          <w:sz w:val="28"/>
          <w:szCs w:val="28"/>
        </w:rPr>
        <w:t>,</w:t>
      </w:r>
    </w:p>
    <w:p w:rsidR="00156677" w:rsidRPr="00156677" w:rsidRDefault="00156677" w:rsidP="00156677">
      <w:pPr>
        <w:spacing w:line="360" w:lineRule="auto"/>
        <w:jc w:val="both"/>
        <w:rPr>
          <w:sz w:val="28"/>
          <w:szCs w:val="28"/>
        </w:rPr>
      </w:pPr>
      <w:r w:rsidRPr="00156677">
        <w:rPr>
          <w:sz w:val="28"/>
          <w:szCs w:val="28"/>
        </w:rPr>
        <w:t xml:space="preserve">где </w:t>
      </w:r>
      <w:r w:rsidRPr="00156677">
        <w:rPr>
          <w:i/>
          <w:iCs/>
          <w:sz w:val="28"/>
          <w:szCs w:val="28"/>
        </w:rPr>
        <w:t xml:space="preserve">ρ1 </w:t>
      </w:r>
      <w:r w:rsidRPr="00156677">
        <w:rPr>
          <w:sz w:val="28"/>
          <w:szCs w:val="28"/>
        </w:rPr>
        <w:t xml:space="preserve">– денежная оценка единицы сбросов в усл. т, руб,усл. </w:t>
      </w:r>
      <w:r w:rsidRPr="00156677">
        <w:rPr>
          <w:sz w:val="28"/>
          <w:szCs w:val="28"/>
          <w:lang w:val="en-US"/>
        </w:rPr>
        <w:t>β</w:t>
      </w:r>
      <w:r w:rsidRPr="00156677">
        <w:rPr>
          <w:sz w:val="28"/>
          <w:szCs w:val="28"/>
        </w:rPr>
        <w:t xml:space="preserve"> –</w:t>
      </w:r>
      <w:r w:rsidRPr="00156677">
        <w:rPr>
          <w:i/>
          <w:iCs/>
          <w:sz w:val="28"/>
          <w:szCs w:val="28"/>
        </w:rPr>
        <w:t xml:space="preserve"> </w:t>
      </w:r>
      <w:r w:rsidRPr="00156677">
        <w:rPr>
          <w:sz w:val="28"/>
          <w:szCs w:val="28"/>
        </w:rPr>
        <w:t xml:space="preserve">коэффициент, позволяющий учесть особенности водоема, подверженного вредному воздействию; </w:t>
      </w:r>
      <w:r w:rsidRPr="00156677">
        <w:rPr>
          <w:sz w:val="28"/>
          <w:szCs w:val="28"/>
          <w:lang w:val="en-US"/>
        </w:rPr>
        <w:t>Di</w:t>
      </w:r>
      <w:r w:rsidRPr="00156677">
        <w:rPr>
          <w:sz w:val="28"/>
          <w:szCs w:val="28"/>
        </w:rPr>
        <w:t xml:space="preserve"> – коэффициент приведения примеси вида </w:t>
      </w:r>
      <w:r w:rsidRPr="00156677">
        <w:rPr>
          <w:sz w:val="28"/>
          <w:szCs w:val="28"/>
          <w:lang w:val="en-US"/>
        </w:rPr>
        <w:t>i</w:t>
      </w:r>
      <w:r w:rsidRPr="00156677">
        <w:rPr>
          <w:sz w:val="28"/>
          <w:szCs w:val="28"/>
        </w:rPr>
        <w:t xml:space="preserve"> к моно</w:t>
      </w:r>
      <w:r w:rsidRPr="00156677">
        <w:rPr>
          <w:sz w:val="28"/>
          <w:szCs w:val="28"/>
        </w:rPr>
        <w:softHyphen/>
        <w:t xml:space="preserve">загрязнителю, усл. т/т; </w:t>
      </w:r>
      <w:r w:rsidRPr="00156677">
        <w:rPr>
          <w:sz w:val="28"/>
          <w:szCs w:val="28"/>
          <w:lang w:val="en-US"/>
        </w:rPr>
        <w:t>Vit</w:t>
      </w:r>
      <w:r w:rsidRPr="00156677">
        <w:rPr>
          <w:sz w:val="28"/>
          <w:szCs w:val="28"/>
        </w:rPr>
        <w:t xml:space="preserve"> – объем выброса </w:t>
      </w:r>
      <w:r w:rsidRPr="00156677">
        <w:rPr>
          <w:sz w:val="28"/>
          <w:szCs w:val="28"/>
          <w:lang w:val="en-US"/>
        </w:rPr>
        <w:t>i</w:t>
      </w:r>
      <w:r w:rsidRPr="00156677">
        <w:rPr>
          <w:sz w:val="28"/>
          <w:szCs w:val="28"/>
        </w:rPr>
        <w:t>-ого вида примеси загрязнителя.</w:t>
      </w:r>
      <w:r w:rsidR="00205A8C">
        <w:rPr>
          <w:sz w:val="28"/>
          <w:szCs w:val="28"/>
        </w:rPr>
        <w:t>[1]</w:t>
      </w:r>
    </w:p>
    <w:p w:rsidR="000D0C43" w:rsidRDefault="000D0C43" w:rsidP="00BA00CB">
      <w:pPr>
        <w:spacing w:line="360" w:lineRule="auto"/>
        <w:jc w:val="both"/>
        <w:rPr>
          <w:sz w:val="28"/>
          <w:szCs w:val="28"/>
        </w:rPr>
      </w:pPr>
    </w:p>
    <w:p w:rsidR="00156677" w:rsidRDefault="00156677" w:rsidP="00BA00CB">
      <w:pPr>
        <w:spacing w:line="360" w:lineRule="auto"/>
        <w:jc w:val="both"/>
        <w:rPr>
          <w:sz w:val="28"/>
          <w:szCs w:val="28"/>
        </w:rPr>
      </w:pPr>
    </w:p>
    <w:p w:rsidR="00C73A46" w:rsidRDefault="00C73A46" w:rsidP="00BA00CB">
      <w:pPr>
        <w:spacing w:line="360" w:lineRule="auto"/>
        <w:jc w:val="both"/>
        <w:rPr>
          <w:sz w:val="28"/>
          <w:szCs w:val="28"/>
        </w:rPr>
      </w:pPr>
    </w:p>
    <w:p w:rsidR="001D0DA0" w:rsidRDefault="001D0DA0" w:rsidP="00BA00CB">
      <w:pPr>
        <w:spacing w:line="360" w:lineRule="auto"/>
        <w:jc w:val="both"/>
        <w:rPr>
          <w:sz w:val="28"/>
          <w:szCs w:val="28"/>
        </w:rPr>
      </w:pPr>
    </w:p>
    <w:p w:rsidR="00156677" w:rsidRPr="00DA1A9B" w:rsidRDefault="00156677" w:rsidP="00BA00CB">
      <w:pPr>
        <w:spacing w:line="360" w:lineRule="auto"/>
        <w:jc w:val="both"/>
        <w:rPr>
          <w:b/>
          <w:sz w:val="28"/>
          <w:szCs w:val="28"/>
        </w:rPr>
      </w:pPr>
      <w:r w:rsidRPr="00DA1A9B">
        <w:rPr>
          <w:b/>
          <w:sz w:val="28"/>
          <w:szCs w:val="28"/>
        </w:rPr>
        <w:t>Глава 2.</w:t>
      </w:r>
      <w:r w:rsidR="009A00A6" w:rsidRPr="00DA1A9B">
        <w:rPr>
          <w:b/>
          <w:sz w:val="28"/>
          <w:szCs w:val="28"/>
        </w:rPr>
        <w:t xml:space="preserve"> Расчеты экономического ущерба</w:t>
      </w:r>
      <w:r w:rsidR="00B95D19" w:rsidRPr="00DA1A9B">
        <w:rPr>
          <w:b/>
          <w:sz w:val="28"/>
          <w:szCs w:val="28"/>
        </w:rPr>
        <w:t xml:space="preserve"> и основные выводы.</w:t>
      </w:r>
    </w:p>
    <w:p w:rsidR="009A00A6" w:rsidRDefault="009A00A6" w:rsidP="00BA00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расчеты экономического ущерба от загрязнения атмосферного воздуха</w:t>
      </w:r>
    </w:p>
    <w:tbl>
      <w:tblPr>
        <w:tblW w:w="9747" w:type="dxa"/>
        <w:tblInd w:w="108" w:type="dxa"/>
        <w:tblLook w:val="0000" w:firstRow="0" w:lastRow="0" w:firstColumn="0" w:lastColumn="0" w:noHBand="0" w:noVBand="0"/>
      </w:tblPr>
      <w:tblGrid>
        <w:gridCol w:w="738"/>
        <w:gridCol w:w="738"/>
        <w:gridCol w:w="740"/>
        <w:gridCol w:w="828"/>
        <w:gridCol w:w="1122"/>
        <w:gridCol w:w="828"/>
        <w:gridCol w:w="1051"/>
        <w:gridCol w:w="828"/>
        <w:gridCol w:w="1051"/>
        <w:gridCol w:w="828"/>
        <w:gridCol w:w="1116"/>
      </w:tblGrid>
      <w:tr w:rsidR="009A00A6">
        <w:trPr>
          <w:trHeight w:val="253"/>
        </w:trPr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загрязняющие вещества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2001</w:t>
            </w:r>
          </w:p>
        </w:tc>
      </w:tr>
      <w:tr w:rsidR="009A00A6">
        <w:trPr>
          <w:trHeight w:val="25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</w:tr>
      <w:tr w:rsidR="009A00A6">
        <w:trPr>
          <w:trHeight w:val="253"/>
        </w:trPr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оксид углерода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16,863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16,863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15,027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15,375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15,375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15,122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15,122</w:t>
            </w:r>
          </w:p>
        </w:tc>
      </w:tr>
      <w:tr w:rsidR="009A00A6">
        <w:trPr>
          <w:trHeight w:val="253"/>
        </w:trPr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ЛНУ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6,27892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6,4148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2,347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7,41652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7,01836</w:t>
            </w:r>
          </w:p>
        </w:tc>
      </w:tr>
      <w:tr w:rsidR="009A00A6">
        <w:trPr>
          <w:trHeight w:val="253"/>
        </w:trPr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C73A4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диоксид</w:t>
            </w:r>
            <w:r w:rsidR="009A00A6">
              <w:rPr>
                <w:rFonts w:ascii="Arial CYR" w:hAnsi="Arial CYR" w:cs="Arial CYR"/>
                <w:sz w:val="20"/>
                <w:szCs w:val="20"/>
              </w:rPr>
              <w:t xml:space="preserve"> азота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8,366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343,8426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7,908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325,0188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7,289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299,5779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298,5915</w:t>
            </w:r>
          </w:p>
        </w:tc>
      </w:tr>
      <w:tr w:rsidR="009A00A6">
        <w:trPr>
          <w:trHeight w:val="253"/>
        </w:trPr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диоксид серы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72,27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4,433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97,526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3,291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72,402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66,462</w:t>
            </w:r>
          </w:p>
        </w:tc>
      </w:tr>
      <w:tr w:rsidR="009A00A6">
        <w:trPr>
          <w:trHeight w:val="25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439,2545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443,9866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394,7714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387,1939</w:t>
            </w:r>
          </w:p>
        </w:tc>
      </w:tr>
      <w:tr w:rsidR="009A00A6">
        <w:trPr>
          <w:trHeight w:val="25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70280,72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71037,86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63163,43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61951,02</w:t>
            </w:r>
          </w:p>
        </w:tc>
      </w:tr>
    </w:tbl>
    <w:p w:rsidR="009A00A6" w:rsidRDefault="009A00A6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9A00A6" w:rsidRDefault="009A00A6" w:rsidP="009A00A6">
      <w:pPr>
        <w:spacing w:line="360" w:lineRule="auto"/>
        <w:ind w:left="-360"/>
        <w:jc w:val="both"/>
      </w:pPr>
      <w:r>
        <w:object w:dxaOrig="9270" w:dyaOrig="6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345.75pt" o:ole="">
            <v:imagedata r:id="rId7" o:title=""/>
          </v:shape>
          <o:OLEObject Type="Embed" ProgID="Excel.Sheet.8" ShapeID="_x0000_i1025" DrawAspect="Content" ObjectID="_1457995203" r:id="rId8">
            <o:FieldCodes>\s</o:FieldCodes>
          </o:OLEObject>
        </w:object>
      </w:r>
    </w:p>
    <w:p w:rsidR="009A00A6" w:rsidRDefault="009A00A6" w:rsidP="009A00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Получив данные экономического ущерба загрязнения атмосферного воздуха за десятилетие и построив диаграмму можно заметить, что максимальное загрязнение атмосферного воздуха стационарными источниками  было в 1998 году, а минимальное  - 2007 году. Уменьшение выбросов загрязняющих веществ в атмосферный воздух от стационарных источников в 2007 году по сравнению с 2006 годом связано, в основном, с уменьшением количества выбрасываемых углеводородов от Заволжского ЛПУМГ и Чебоксарского ЛПУМГ и уменьшением количества сжигаемого мазута на подразделениях ОАО «ТГК-5».</w:t>
      </w:r>
    </w:p>
    <w:p w:rsidR="009A00A6" w:rsidRDefault="009A00A6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9A00A6" w:rsidRDefault="009A00A6" w:rsidP="009A00A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2.2 Расчеты экономического ущерба от загрязнения водоемов</w:t>
      </w:r>
    </w:p>
    <w:tbl>
      <w:tblPr>
        <w:tblW w:w="9559" w:type="dxa"/>
        <w:tblInd w:w="108" w:type="dxa"/>
        <w:tblLook w:val="0000" w:firstRow="0" w:lastRow="0" w:firstColumn="0" w:lastColumn="0" w:noHBand="0" w:noVBand="0"/>
      </w:tblPr>
      <w:tblGrid>
        <w:gridCol w:w="844"/>
        <w:gridCol w:w="716"/>
        <w:gridCol w:w="939"/>
        <w:gridCol w:w="1218"/>
        <w:gridCol w:w="939"/>
        <w:gridCol w:w="1218"/>
        <w:gridCol w:w="939"/>
        <w:gridCol w:w="1218"/>
        <w:gridCol w:w="939"/>
        <w:gridCol w:w="1218"/>
      </w:tblGrid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загрязняющие в-ва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2004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2005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2006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2007</w:t>
            </w:r>
          </w:p>
        </w:tc>
      </w:tr>
      <w:tr w:rsidR="002B2ECD">
        <w:trPr>
          <w:trHeight w:val="19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БПК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1,84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нефть и нефтепр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0,15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сульфаты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0,3205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0,2935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фосфор общий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400,6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196,41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392,82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102,41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204,82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94,5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цинк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1,25</w:t>
            </w:r>
          </w:p>
        </w:tc>
      </w:tr>
      <w:tr w:rsidR="002B2ECD">
        <w:trPr>
          <w:trHeight w:val="190"/>
        </w:trPr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нитраты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2754,91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34436,375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4372,04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54650,5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1782,85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22285,625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1830,48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21965,76</w:t>
            </w:r>
          </w:p>
        </w:tc>
      </w:tr>
      <w:tr w:rsidR="002B2ECD">
        <w:trPr>
          <w:trHeight w:val="19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34925,993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55058,091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22493,306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22063,794</w:t>
            </w:r>
          </w:p>
        </w:tc>
      </w:tr>
      <w:tr w:rsidR="002B2ECD">
        <w:trPr>
          <w:trHeight w:val="19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544845444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858906204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350895636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0A6" w:rsidRDefault="009A00A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344195124</w:t>
            </w:r>
          </w:p>
        </w:tc>
      </w:tr>
    </w:tbl>
    <w:p w:rsidR="009A00A6" w:rsidRDefault="009A00A6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2B2ECD" w:rsidRDefault="002B2ECD" w:rsidP="009A00A6">
      <w:pPr>
        <w:spacing w:line="360" w:lineRule="auto"/>
        <w:ind w:left="-360"/>
        <w:jc w:val="both"/>
      </w:pPr>
      <w:r>
        <w:object w:dxaOrig="9285" w:dyaOrig="8850">
          <v:shape id="_x0000_i1026" type="#_x0000_t75" style="width:464.25pt;height:442.5pt" o:ole="">
            <v:imagedata r:id="rId9" o:title=""/>
          </v:shape>
          <o:OLEObject Type="Embed" ProgID="Excel.Sheet.8" ShapeID="_x0000_i1026" DrawAspect="Content" ObjectID="_1457995204" r:id="rId10">
            <o:FieldCodes>\s</o:FieldCodes>
          </o:OLEObject>
        </w:objec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Получив данные экономического ущерба загрязнения водных объектов за четыре года и построив диаграмму можно заметить, что максимальное загрязнение водных объектов стационарными источниками было в 2005 году, а минимальное – в 2007 году. </w: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массы сброса загрязняющих веществ по годам обусловлено технологическими процессами крупных предприятий городов. Также изменения вызваны освоением новых методик по определению загрязняющих веществ   лабораториями предприятий , проведением пуско-наладочных работ очистных сооружений.</w:t>
      </w:r>
      <w:r w:rsidR="00205A8C">
        <w:rPr>
          <w:sz w:val="28"/>
          <w:szCs w:val="28"/>
        </w:rPr>
        <w:t>[2]</w: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предприятиями – загрязнителями водных объектов по республике являются: ОАО «Химпром» - отсутствие очистных сооружений п очистке поверхностного стока; МУП Чебоксарского района «Водоканал» - перегруз по гидравлике; Канашское ПУ « Водоканал» - устаревшая технология очистки; ОАО « Вурнарский завод СОМ» - устаревшая технология очистки и др.</w: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сооружения по очистке сточных вод устарели или вышли из строя, которые ведут к загрязнению водных объектов. Большое количество загрязняющих веществ, преимущественно нефтепродуктов, поступает в водные объекты с ливневыми стоками с селитебных территорий. К настоящему времени эти стоки в республике практически не очищаются. </w: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выполнения расчетов, можно сделать следующие выводы:</w:t>
      </w:r>
    </w:p>
    <w:p w:rsidR="002B2ECD" w:rsidRDefault="002B2ECD" w:rsidP="002B2EC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целом идет уменьшение загрязнения атмосферного воздуха стационарными источниками с 1998-2008 гг.</w:t>
      </w:r>
    </w:p>
    <w:p w:rsidR="002B2ECD" w:rsidRDefault="002B2ECD" w:rsidP="002B2EC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происходило уменьшение загрязнения водных объектов стационарными  источниками с 2004-2007 гг.</w:t>
      </w:r>
    </w:p>
    <w:p w:rsidR="002B2ECD" w:rsidRDefault="002B2ECD" w:rsidP="002B2ECD">
      <w:pPr>
        <w:spacing w:line="360" w:lineRule="auto"/>
        <w:ind w:left="360"/>
        <w:jc w:val="both"/>
        <w:rPr>
          <w:sz w:val="28"/>
          <w:szCs w:val="28"/>
        </w:rPr>
      </w:pP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</w:p>
    <w:p w:rsidR="002B2ECD" w:rsidRDefault="002B2ECD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2B2ECD" w:rsidRDefault="002B2ECD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2B2ECD" w:rsidRPr="001D0DA0" w:rsidRDefault="002B2ECD" w:rsidP="009A00A6">
      <w:pPr>
        <w:spacing w:line="360" w:lineRule="auto"/>
        <w:ind w:left="-360"/>
        <w:jc w:val="both"/>
        <w:rPr>
          <w:b/>
          <w:sz w:val="28"/>
          <w:szCs w:val="28"/>
        </w:rPr>
      </w:pPr>
      <w:r w:rsidRPr="001D0DA0">
        <w:rPr>
          <w:b/>
          <w:sz w:val="28"/>
          <w:szCs w:val="28"/>
        </w:rPr>
        <w:t>Заключение: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массы сброса загрязняющих веществ по годам обусловлено технологическими процессами крупных предприятий городов. Также изменения вызваны освоением новых методик по определению загрязняющих веществ   лабораториями предприятий , проведением пуско-наладочных работ очистных сооружений.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массы сброса загрязняющих веществ по годам обусловлено технологическими процессами крупных предприятий городов. Также изменения вызваны освоением новых методик по определению загрязняющих веществ   лабораториями предприятий , проведением пуско-наладочных работ очистных сооружений.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предприятиями – загрязнителями водных объектов по республике являются: ОАО «Химпром» - отсутствие очистных сооружений п очистке поверхностного стока; МУП Чебоксарского района «Водоканал» - перегруз по гидравлике; Канашское ПУ « Водоканал» - устаревшая технология очистки; ОАО « Вурнарский завод СОМ» - устаревшая технология очистки и др.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сооружения по очистке сточных вод устарели или вышли из строя, которые ведут к загрязнению водных объектов. Большое количество загрязняющих веществ, преимущественно нефтепродуктов, поступает в водные объекты с ливневыми стоками с селитебных территорий. К настоящему времени эти стоки в республике практически не очищаются. 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В целом идет уменьшение загрязнения атмосферного воздуха стационарными источниками с 1998-2008 гг.</w:t>
      </w:r>
    </w:p>
    <w:p w:rsidR="00C73A46" w:rsidRDefault="00C73A46" w:rsidP="00C73A4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По годам происходило уменьшение загрязнения водных объектов стационарными  источниками с 2004-2007 гг.</w:t>
      </w:r>
    </w:p>
    <w:p w:rsidR="00C73A46" w:rsidRDefault="00C73A46" w:rsidP="00C73A46">
      <w:pPr>
        <w:spacing w:line="360" w:lineRule="auto"/>
        <w:ind w:left="360"/>
        <w:jc w:val="both"/>
        <w:rPr>
          <w:sz w:val="28"/>
          <w:szCs w:val="28"/>
        </w:rPr>
      </w:pPr>
    </w:p>
    <w:p w:rsidR="00C73A46" w:rsidRDefault="00C73A46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2B2ECD" w:rsidRDefault="002B2ECD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2B2ECD" w:rsidRDefault="002B2ECD" w:rsidP="009A00A6">
      <w:pPr>
        <w:spacing w:line="360" w:lineRule="auto"/>
        <w:ind w:left="-360"/>
        <w:jc w:val="both"/>
        <w:rPr>
          <w:sz w:val="28"/>
          <w:szCs w:val="28"/>
        </w:rPr>
      </w:pPr>
    </w:p>
    <w:p w:rsidR="00C73A46" w:rsidRDefault="00C73A46" w:rsidP="00C73A46">
      <w:pPr>
        <w:spacing w:line="360" w:lineRule="auto"/>
        <w:jc w:val="both"/>
        <w:rPr>
          <w:sz w:val="28"/>
          <w:szCs w:val="28"/>
        </w:rPr>
      </w:pPr>
    </w:p>
    <w:p w:rsidR="00C73A46" w:rsidRPr="001D0DA0" w:rsidRDefault="00C73A46" w:rsidP="00C73A46">
      <w:pPr>
        <w:spacing w:line="360" w:lineRule="auto"/>
        <w:jc w:val="both"/>
        <w:rPr>
          <w:b/>
          <w:sz w:val="28"/>
          <w:szCs w:val="28"/>
        </w:rPr>
      </w:pPr>
      <w:r w:rsidRPr="001D0DA0">
        <w:rPr>
          <w:b/>
          <w:sz w:val="28"/>
          <w:szCs w:val="28"/>
        </w:rPr>
        <w:t>Список используемой литературы:</w:t>
      </w:r>
    </w:p>
    <w:p w:rsidR="00C73A46" w:rsidRDefault="00C73A46" w:rsidP="00C73A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С.Н. Бобылев, Э.В. Гирусов «Экология и экономика природопользования» учебник для вузов, 2-е изд., М:2002</w:t>
      </w:r>
    </w:p>
    <w:p w:rsidR="00C73A46" w:rsidRDefault="00C73A46" w:rsidP="00C73A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доклад «О состоянии природной среды Чувашской Республики в 2002 году».</w:t>
      </w:r>
    </w:p>
    <w:p w:rsidR="00C73A46" w:rsidRDefault="00C73A46" w:rsidP="00C73A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«Об охране окружающей среды Чувашской Республики в 2006 году».</w:t>
      </w:r>
    </w:p>
    <w:p w:rsidR="00C73A46" w:rsidRPr="0038538E" w:rsidRDefault="00C73A46" w:rsidP="00C73A4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«Об охране окружающей среды Чувашской Республики в 2007 году».</w:t>
      </w:r>
    </w:p>
    <w:p w:rsidR="002B2ECD" w:rsidRDefault="002B2ECD" w:rsidP="002B2ECD">
      <w:pPr>
        <w:spacing w:line="360" w:lineRule="auto"/>
        <w:jc w:val="both"/>
        <w:rPr>
          <w:sz w:val="28"/>
          <w:szCs w:val="28"/>
        </w:rPr>
      </w:pPr>
    </w:p>
    <w:p w:rsidR="002B2ECD" w:rsidRPr="000D0C43" w:rsidRDefault="002B2ECD" w:rsidP="009A00A6">
      <w:pPr>
        <w:spacing w:line="360" w:lineRule="auto"/>
        <w:ind w:left="-360"/>
        <w:jc w:val="both"/>
        <w:rPr>
          <w:sz w:val="28"/>
          <w:szCs w:val="28"/>
        </w:rPr>
      </w:pPr>
      <w:bookmarkStart w:id="0" w:name="_GoBack"/>
      <w:bookmarkEnd w:id="0"/>
    </w:p>
    <w:sectPr w:rsidR="002B2ECD" w:rsidRPr="000D0C43" w:rsidSect="00607812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90" w:rsidRDefault="00B51A90">
      <w:r>
        <w:separator/>
      </w:r>
    </w:p>
  </w:endnote>
  <w:endnote w:type="continuationSeparator" w:id="0">
    <w:p w:rsidR="00B51A90" w:rsidRDefault="00B5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25" w:rsidRDefault="005B3D25" w:rsidP="006078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D25" w:rsidRDefault="005B3D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25" w:rsidRDefault="005B3D25" w:rsidP="006078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1A90">
      <w:rPr>
        <w:rStyle w:val="a4"/>
        <w:noProof/>
      </w:rPr>
      <w:t>2</w:t>
    </w:r>
    <w:r>
      <w:rPr>
        <w:rStyle w:val="a4"/>
      </w:rPr>
      <w:fldChar w:fldCharType="end"/>
    </w:r>
  </w:p>
  <w:p w:rsidR="005B3D25" w:rsidRDefault="005B3D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90" w:rsidRDefault="00B51A90">
      <w:r>
        <w:separator/>
      </w:r>
    </w:p>
  </w:footnote>
  <w:footnote w:type="continuationSeparator" w:id="0">
    <w:p w:rsidR="00B51A90" w:rsidRDefault="00B5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269B"/>
    <w:multiLevelType w:val="hybridMultilevel"/>
    <w:tmpl w:val="258CF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801E3"/>
    <w:multiLevelType w:val="hybridMultilevel"/>
    <w:tmpl w:val="0B005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7667BA"/>
    <w:multiLevelType w:val="hybridMultilevel"/>
    <w:tmpl w:val="1DFCBF08"/>
    <w:lvl w:ilvl="0" w:tplc="47C01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1C7C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61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48E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8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C9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9CC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292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CB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43680"/>
    <w:multiLevelType w:val="hybridMultilevel"/>
    <w:tmpl w:val="3578A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15432B"/>
    <w:multiLevelType w:val="hybridMultilevel"/>
    <w:tmpl w:val="283A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27BB1"/>
    <w:multiLevelType w:val="hybridMultilevel"/>
    <w:tmpl w:val="16946A66"/>
    <w:lvl w:ilvl="0" w:tplc="3D04386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C15ECA"/>
    <w:multiLevelType w:val="hybridMultilevel"/>
    <w:tmpl w:val="FC0050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F903C1"/>
    <w:multiLevelType w:val="hybridMultilevel"/>
    <w:tmpl w:val="7CB81F04"/>
    <w:lvl w:ilvl="0" w:tplc="4F668E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4A26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AC8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E9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6B5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44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A1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A0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0CB"/>
    <w:rsid w:val="000D0C43"/>
    <w:rsid w:val="00156677"/>
    <w:rsid w:val="0017735B"/>
    <w:rsid w:val="001D0DA0"/>
    <w:rsid w:val="00205A8C"/>
    <w:rsid w:val="00206435"/>
    <w:rsid w:val="002B2ECD"/>
    <w:rsid w:val="00346D87"/>
    <w:rsid w:val="003F0EBF"/>
    <w:rsid w:val="00504FDD"/>
    <w:rsid w:val="00584534"/>
    <w:rsid w:val="005B3D25"/>
    <w:rsid w:val="00607812"/>
    <w:rsid w:val="007026A7"/>
    <w:rsid w:val="007362C8"/>
    <w:rsid w:val="0075242E"/>
    <w:rsid w:val="00812289"/>
    <w:rsid w:val="00876D4C"/>
    <w:rsid w:val="00914F6C"/>
    <w:rsid w:val="009662DD"/>
    <w:rsid w:val="009805E5"/>
    <w:rsid w:val="009A00A6"/>
    <w:rsid w:val="00B51A90"/>
    <w:rsid w:val="00B95D19"/>
    <w:rsid w:val="00BA00CB"/>
    <w:rsid w:val="00BF324F"/>
    <w:rsid w:val="00C73A46"/>
    <w:rsid w:val="00C81F9E"/>
    <w:rsid w:val="00CD3761"/>
    <w:rsid w:val="00D95308"/>
    <w:rsid w:val="00DA1A9B"/>
    <w:rsid w:val="00F8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3C93D44-2CAE-4597-82F5-6F656ACA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78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7812"/>
  </w:style>
  <w:style w:type="table" w:styleId="a5">
    <w:name w:val="Table Grid"/>
    <w:basedOn w:val="a1"/>
    <w:rsid w:val="0058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 Works Corporation</Company>
  <LinksUpToDate>false</LinksUpToDate>
  <CharactersWithSpaces>17951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admin</cp:lastModifiedBy>
  <cp:revision>2</cp:revision>
  <dcterms:created xsi:type="dcterms:W3CDTF">2014-04-02T22:54:00Z</dcterms:created>
  <dcterms:modified xsi:type="dcterms:W3CDTF">2014-04-02T22:54:00Z</dcterms:modified>
</cp:coreProperties>
</file>