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16" w:rsidRPr="00C72500" w:rsidRDefault="00F43816" w:rsidP="00F43816">
      <w:pPr>
        <w:spacing w:before="120"/>
        <w:jc w:val="center"/>
        <w:rPr>
          <w:b/>
          <w:bCs/>
          <w:sz w:val="32"/>
          <w:szCs w:val="32"/>
        </w:rPr>
      </w:pPr>
      <w:r w:rsidRPr="00C72500">
        <w:rPr>
          <w:b/>
          <w:bCs/>
          <w:sz w:val="32"/>
          <w:szCs w:val="32"/>
        </w:rPr>
        <w:t>Применение антрацита как наполнителя углеродной продукции</w:t>
      </w:r>
    </w:p>
    <w:p w:rsidR="00F43816" w:rsidRPr="00C72500" w:rsidRDefault="00F43816" w:rsidP="00F43816">
      <w:pPr>
        <w:spacing w:before="120"/>
        <w:jc w:val="center"/>
        <w:rPr>
          <w:sz w:val="28"/>
          <w:szCs w:val="28"/>
        </w:rPr>
      </w:pPr>
      <w:r w:rsidRPr="00C72500">
        <w:rPr>
          <w:sz w:val="28"/>
          <w:szCs w:val="28"/>
        </w:rPr>
        <w:t>В. И. Пирогов, А. Н. Селезнев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Антрацит продолжает оставаться основным технологическим сырьем (наполнителем) при производстве таких важнейших видов углеродной продукции, как подовые и боковые блоки для алюминиевых электролизеров, блоки различной конфигурации для футеровки доменных печей, угольные электроды для электротермических процессов получения кремния, ферросплавов, фосфора и других материалов, электродные массы для рудотермических печей с самообжигающимися электродами и др.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На Новосибирском электродном заводе (ЗАО «НовЭЗ») для производства углеродной продукции применяется антрацит Горловского, Колыванского и Ургунского месторождений Горловского бассейна [1, 2].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Горловский бассейн расположен в Новосибирской области и представляет собой вытянутую примерно на 120 км с юго-запада на северо-восток узкую полосу площадью около 400 км2. Из 11 известных месторождений бассейна разведаны четыре — Горловское, Ур-гунское, Колыванское и Листвянское, эксплуатируются в настоящее время первые три. Балансовые запасы бассейна составляют около 800 млн т, прогнозные ресурсы до глубины 900 м — 6,5—7,0 млрд т.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Ресурсы технологического сырья в Горловском бассейне в настоящее время характеризуются следующим образом.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Листвянское месторождение — шахта «Лист-вянская», в настоящее время не эксплуатируется. Постоянная добыча угля велась с 1931 г. Остаток балансовых запасов антрацитов до глубины 320 м 70 млн т.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Горловское месторождение — разрез «Горловский». Остаток балансовых запасов в границах разреза около 5 млн т.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Колыванское месторождение — площадь месторождения около 30 км2. Суммарная мощность угленосной толщи более 1900 м, балансовые запасы до глубины 306 м 600 млн т.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Ургунское месторождение — разрез (участок) «Ургунский». Остаток запасов до глубины 215м около 30 млн т, вне границ участка дополнительно разведано около 17 млн т антрацита.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 целях снижения влияния минеральных примесей антрацита на качество углеродной продукции антрацит после добычи проходит технологическую операцию обогащения. Обогащение антрацитов Горловского бассейна производится на обогатительной фабрике ЗАО «Сибантрацит» в магнетитовой суспензии с удельным весом 1,8 г/см3. Продукт разделяется по классам (фракционному составу): до 6 мм, 6—13 мм, 13—25 мм и 25—120 мм.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Современные требования к углеродной продукции предусматривают термическую обработку антрацита перед его применением в качестве углеродного наполнителя. Традиционными процессами термообработки антрацитов являются: газокальцинирование во вращающейся печи при температуре до 1350 °С и электрокальцинирование в электрокальцинаторе при температуре около 1800 °С. ЗАО «Новосибирский электродный завод» в настоящее время оснащен оборудованием для газовой кальцинации (вращающиеся прока-лочные печи УВК — 60x3,5) и оборудованием для производства электрокальцинированного термоантрацита (электрокальцинатор ИЭТ-10).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Перспективной задачей для электродных заводов, выпускающих продукцию на основе антрацита, является создание крупнотоннажных промышленных мощностей по производству электрокальцинированного антрацита.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Современная мировая практика идет по пути увеличения степени термообработки применяемых наполнителей для катодных блоков как для существующих электролизеров с токовой нагрузкой до 200 кА, так и в случае их модернизации [3]. При этом четко прослеживаются этапы этой эволюции: ГКА + графит; ЭКА + графит; графит. Получаемые блоки подвергаются заключительной механической обработке после их обжига, не проходя графитацию. Содержание термоантрацита (ГКА или ЭКА) в шихте меняется от 60 до 20%.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Важным при этом является то обстоятельство, что чем выше содержание в шихте графита, тем большую термопрочность имеет блок, выше его стойкость к электролиту, лучшие показатели электролиза можно достичь. Однако эти положительные эффекты, с другой стороны, сопровождаются повышенным абразивным износом подины, что может сократить срок службы электролизера в целом. Поэтому при переходе от ГКА + графит к ЭКА + графит и затем к 100% графиту необходимо учитывать не только достигаемые технические эффекты, но и экономическую целесообразность в целом.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Необходимость совершенствования производства алюминия требует применения мощных электролизеров с токовой нагрузкой 300 кА и выше. В этом случае (например для 300 кА) применяются блоки с содержанием графита до 80% и можно ожидать снижение их срока службы по сравнению с электролизерами на 130—200 кА, срок службы которых может достигать 65—80 месяцев. Однако уже отечественная практика показывает, что производительность электролизера в этом случае повышается в 1,4—1,8 раза, что делает эту модернизацию экономически эффективной.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За рубежом активно ведутся работы по расширению применения в качестве подовых блоков изделий из нефтяного кокса с циклом производства, аналогичным производству графитирован-ных электродов, т.е. с графи-тацией этих блоков. В этом случае срок службы существенно сокращается и, следовательно, производительность этих электролизеров должна быть еще выше. Однако в отечественной практике подобные блоки пока не применяются, и эту ситуацию в данной работе мы не рассматриваем.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Начиная работу, мы поставили задачу разработать способ и технологию производства термоантрацита с более высокой температурой</w:t>
      </w:r>
      <w:r>
        <w:t xml:space="preserve"> </w:t>
      </w:r>
      <w:r w:rsidRPr="00B22AA7">
        <w:t>его конечной обработки, чем в случае получения термоантрацитов марок ГКА и ЭКА. Затем, заменяя в различной доле другие наполнители вновь полученным, мы получили возможность совершенствовать технические характеристики таких видов углеродной продукции, как электродная масса, угольные электроды и подовые блоки. Мы учитывали, что выпуск нового наполнителя должен реализовываться в промышленных масштабах, а стоимость его производства не приводить к необходимости увеличения сложившихся цен.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Таким образом, с целью обеспечения производства углеродной продукции на основе антрацита проведены исследования в промышленных условиях и предложены способ и технология получения термоантрацита (марки АПГ) с высокими характеристиками кристаллической структуры.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Термоантрацит АПГ получают в графитировочных печах, используя тепло, выделяющееся в процессе графитации углеродной продукции. Термоантрацит АПГ имеет пониженное удельное электросопротивление, повышенные действительную плотность и адсорбционную способность по сравнению с термоантрацитами марок ГКА и ЭКА. Свойства термоантрацитов, полученных в ЗАО «НовЭЗ» в различных промышленных агрегатах, представлены в табл. 1.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Изменяя количество термоантрацита в составе сырья можно управлять физико-механическими свойствами углеродной продукции. В табл. 2 представлены физико-механические показатели катодных блоков для алюминиевых электролизеров в зависимости от количества термоантрацита ГКА в материале блоков. Из таблицы видно, что с увеличением в материале содержания термоантрацита снижаются истинная и кажущаяся плотность, предел прочности при сжатии и изгибе, теплопроводность и повышаются значения удельного электросопротивления, модуля упругости, относительного удлинения. Установленные зависимости физико-механических показателей материалов от количества и качества термоантрацита в них используются в промышленных условиях для корректирования свойств блоков в соответствии с требованиями потребителей.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 2004 г. разработаны и освоены технологии изготовления подовых блоков, электродной массы, угольных электродов на основе термоантрацита АПГ взамен термоантрацитов марок ГКА, ЭКА. Новосибирский электродный завод для получения термоантрацита АПГ использует П-образные графитировочные печи с длиной керна 35 м, что позволяет организовать крупнотоннажное производство. Указанные печи были ранее построены и предназначены для выпуска графи-тированных электродов.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 целях стабилизации свойств термоантрацита АПГ проводятся исследования по усовершенствованию конструкции и материалов графитировочных печей. Выбор более эффективных теплоизоляционных материалов и конструкции печи позволит провести в ближайшем будущем модернизацию графитировочных печей с целью снижения градиента температурного поля керна и печи в целом.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Применение термоантрацита АПГ позволяет повысить термопрочность материала, улучшить другие эксплуатационные характеристики углеродной продукции (катодных блоков, угольных электродов, электродной массы) и повысить экономическую эффективность их производства.</w:t>
      </w:r>
    </w:p>
    <w:p w:rsidR="00F43816" w:rsidRPr="00C72500" w:rsidRDefault="00F43816" w:rsidP="00F43816">
      <w:pPr>
        <w:spacing w:before="120"/>
        <w:jc w:val="center"/>
        <w:rPr>
          <w:b/>
          <w:bCs/>
          <w:sz w:val="28"/>
          <w:szCs w:val="28"/>
        </w:rPr>
      </w:pPr>
      <w:r w:rsidRPr="00C72500">
        <w:rPr>
          <w:b/>
          <w:bCs/>
          <w:sz w:val="28"/>
          <w:szCs w:val="28"/>
        </w:rPr>
        <w:t>Подовые блоки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Из приведенных данных следует, что подовые блоки на основе газокальцинированного антрацита (ГКА) соответствуют требованиям, предъявляемым к подовым блокам типа Н-1. Подовые блоки на основе электрокальци-нированного антрацита (ЭКА) и термоантрацита АПГ соответствуют требованиям, предъявляемым к подовым блокам типа Н-2. Исключение из рецептуры подовых блоков термоантрацита ЭКА и замена его на термоантрацит АПГ позволяет получать материал подовых блоков с более однородной структурой, которая характеризуется меньшими значениями времени прохождения ультразвука и параметра неоднородности блоков (табл. 4).</w:t>
      </w:r>
    </w:p>
    <w:p w:rsidR="00F43816" w:rsidRPr="00C72500" w:rsidRDefault="00F43816" w:rsidP="00F43816">
      <w:pPr>
        <w:spacing w:before="120"/>
        <w:jc w:val="center"/>
        <w:rPr>
          <w:b/>
          <w:bCs/>
          <w:sz w:val="28"/>
          <w:szCs w:val="28"/>
        </w:rPr>
      </w:pPr>
      <w:r w:rsidRPr="00C72500">
        <w:rPr>
          <w:b/>
          <w:bCs/>
          <w:sz w:val="28"/>
          <w:szCs w:val="28"/>
        </w:rPr>
        <w:t>Электродная масса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Использование термоантрацита АПГ взамен термоантрацита ГКА экономически целесообразно, поскольку из состава исключается технический графит (табл. 5), для производства которого требуется низкосернистый</w:t>
      </w:r>
      <w:r>
        <w:t xml:space="preserve"> </w:t>
      </w:r>
      <w:r w:rsidRPr="00B22AA7">
        <w:t>нефтяной</w:t>
      </w:r>
      <w:r>
        <w:t xml:space="preserve"> </w:t>
      </w:r>
      <w:r w:rsidRPr="00B22AA7">
        <w:t>кокс,</w:t>
      </w:r>
      <w:r>
        <w:t xml:space="preserve"> </w:t>
      </w:r>
      <w:r w:rsidRPr="00B22AA7">
        <w:t>а технологический</w:t>
      </w:r>
      <w:r>
        <w:t xml:space="preserve"> </w:t>
      </w:r>
      <w:r w:rsidRPr="00B22AA7">
        <w:t>цикл его получения исчисляется двумя месяцами.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Исключение из рецептуры технического графита позволяет также снизить расход сырьевых и энергетических ресурсов. Выпуск технического графита на</w:t>
      </w:r>
      <w:r>
        <w:t xml:space="preserve"> </w:t>
      </w:r>
      <w:r w:rsidRPr="00B22AA7">
        <w:t>основе нефтяного кокса в электродном производстве сопровождается необходимостью эксплуатации смесильно-прессового оборудования, печей обжига и графитации. Экономическая эффективность применения термоантрацита АПГ вместо термоантрацита ГКА при изготовлении электродной массы составляет около 10 млн рублей за год. Из табл. 6 видно, что электродная масса на основе АПГ существенно превосходит требования потребителей, что гарантирует высокую эффективность ее применения.</w:t>
      </w:r>
    </w:p>
    <w:p w:rsidR="00F43816" w:rsidRPr="004B21E2" w:rsidRDefault="00F43816" w:rsidP="00F43816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Угольные электроды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Результаты изготовления угольных электродов диаметром 1205 мм на основе АПГ также дали хорошие результаты при их эксплуатации. В 2004 г. разработана и освоена технология изготовления угольных электродов по рецептуре на основе АПГ (табл. 5).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Использование АПГ в рецептуре угольных электродов позволило повысить теплопроводность электродов до 18 Вт/мхК (табл. 7). Увеличение показателя теплопроводности угольных электродов при эксплуатации у потребителя приводит к повышению термопрочности электродов и снижению удельного расхода электродов на тонну выплавленного кремния.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 ЗАО «Кремний» (г. Щелехов) в 2005 г. проведены промышленные испытания угольных электродов диаметром 1205 мм на основе термоантрацита АПГ. На основании результатов испытаний специалистами ЗАО «Кремний» сделан вывод — угольные электроды диаметром 1205 мм на основе термоантрацита АПГ соответствуют зарубежным угольным электродам.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Таблица 6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Технические характеристики электродной массы на основе термоантрацита марок АПГ и ГКА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1354"/>
        <w:gridCol w:w="1517"/>
        <w:gridCol w:w="1325"/>
        <w:gridCol w:w="1171"/>
        <w:gridCol w:w="1574"/>
      </w:tblGrid>
      <w:tr w:rsidR="00F43816" w:rsidRPr="00B22AA7" w:rsidTr="00F96565">
        <w:trPr>
          <w:trHeight w:val="470"/>
        </w:trPr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Вид наполнителя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Прочность на разрыв, МПа</w:t>
            </w:r>
          </w:p>
        </w:tc>
        <w:tc>
          <w:tcPr>
            <w:tcW w:w="401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Зола, %</w:t>
            </w:r>
            <w:r>
              <w:t xml:space="preserve"> </w:t>
            </w:r>
            <w:r w:rsidRPr="00B22AA7">
              <w:t>Содержание летучих</w:t>
            </w:r>
            <w:r>
              <w:t xml:space="preserve"> </w:t>
            </w:r>
            <w:r w:rsidRPr="00B22AA7">
              <w:t>Кт веществ, %</w:t>
            </w: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УЭС, мкОм-м</w:t>
            </w:r>
          </w:p>
        </w:tc>
      </w:tr>
      <w:tr w:rsidR="00F43816" w:rsidRPr="00B22AA7" w:rsidTr="00F96565">
        <w:trPr>
          <w:trHeight w:val="240"/>
        </w:trPr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Требования потребителя</w:t>
            </w:r>
          </w:p>
        </w:tc>
        <w:tc>
          <w:tcPr>
            <w:tcW w:w="13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не менее 1,76</w:t>
            </w:r>
          </w:p>
        </w:tc>
        <w:tc>
          <w:tcPr>
            <w:tcW w:w="15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не более 6,0</w:t>
            </w:r>
          </w:p>
        </w:tc>
        <w:tc>
          <w:tcPr>
            <w:tcW w:w="13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13-16</w:t>
            </w:r>
          </w:p>
        </w:tc>
        <w:tc>
          <w:tcPr>
            <w:tcW w:w="11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1,8-2,3</w:t>
            </w:r>
          </w:p>
        </w:tc>
        <w:tc>
          <w:tcPr>
            <w:tcW w:w="157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не более 80</w:t>
            </w:r>
          </w:p>
        </w:tc>
      </w:tr>
      <w:tr w:rsidR="00F43816" w:rsidRPr="00B22AA7" w:rsidTr="00F96565">
        <w:trPr>
          <w:trHeight w:val="23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АПГ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2,8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2,5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14,3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2,2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F43816" w:rsidRPr="00B22AA7" w:rsidRDefault="00F43816" w:rsidP="00F96565">
            <w:r w:rsidRPr="00B22AA7">
              <w:t>61</w:t>
            </w:r>
          </w:p>
        </w:tc>
      </w:tr>
      <w:tr w:rsidR="00F43816" w:rsidRPr="00B22AA7" w:rsidTr="00F96565">
        <w:trPr>
          <w:trHeight w:val="250"/>
        </w:trPr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ПСА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2,3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2,0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1,9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43816" w:rsidRPr="00B22AA7" w:rsidRDefault="00F43816" w:rsidP="00F96565">
            <w:r w:rsidRPr="00B22AA7">
              <w:t>73</w:t>
            </w:r>
          </w:p>
        </w:tc>
      </w:tr>
    </w:tbl>
    <w:p w:rsidR="00F43816" w:rsidRPr="00B22AA7" w:rsidRDefault="00F43816" w:rsidP="00F43816">
      <w:pPr>
        <w:spacing w:before="120"/>
        <w:ind w:firstLine="567"/>
        <w:jc w:val="both"/>
      </w:pPr>
      <w:r w:rsidRPr="00B22AA7">
        <w:t>В ЗАО «НовЭЗ», наряду с традиционными направлениями применения термоантрацита для изготовления подовых и боковых блоков, электродной массы, угольных электродов, изучается возможность применения термоантрацита в качестве наполнителя для изготовления других видов углеродной продукции.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Выпуск промышленных партий электродной массы, угольных электродов, подовых блоков и результаты исследовательских работ показали, что, обрабатывая антрацит при различных температурах, мы можем получить качественное сырье для производства многих видов углеродной продукции.</w:t>
      </w:r>
    </w:p>
    <w:p w:rsidR="00F43816" w:rsidRPr="004B21E2" w:rsidRDefault="00F43816" w:rsidP="00F43816">
      <w:pPr>
        <w:spacing w:before="120"/>
        <w:jc w:val="center"/>
        <w:rPr>
          <w:b/>
          <w:bCs/>
          <w:sz w:val="28"/>
          <w:szCs w:val="28"/>
        </w:rPr>
      </w:pPr>
      <w:r w:rsidRPr="004B21E2">
        <w:rPr>
          <w:b/>
          <w:bCs/>
          <w:sz w:val="28"/>
          <w:szCs w:val="28"/>
        </w:rPr>
        <w:t>Список литературы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1.</w:t>
      </w:r>
      <w:r>
        <w:t xml:space="preserve"> </w:t>
      </w:r>
      <w:r w:rsidRPr="00B22AA7">
        <w:t>Селезнев А.Н.</w:t>
      </w:r>
      <w:r>
        <w:t xml:space="preserve"> </w:t>
      </w:r>
      <w:r w:rsidRPr="00B22AA7">
        <w:t>Углеродистое сырье для электродной промышленности. М.: Профиздат, 2000, 256 с.</w:t>
      </w:r>
    </w:p>
    <w:p w:rsidR="00F43816" w:rsidRPr="00B22AA7" w:rsidRDefault="00F43816" w:rsidP="00F43816">
      <w:pPr>
        <w:spacing w:before="120"/>
        <w:ind w:firstLine="567"/>
        <w:jc w:val="both"/>
      </w:pPr>
      <w:r w:rsidRPr="00B22AA7">
        <w:t>2. Угольная база России. Т. П. Угольные бассейны и месторождения Западной Сибири (Кузнецкий, Горловский, Западно-Сибирский</w:t>
      </w:r>
      <w:r>
        <w:t xml:space="preserve"> </w:t>
      </w:r>
      <w:r w:rsidRPr="00B22AA7">
        <w:t>бассейны;</w:t>
      </w:r>
      <w:r>
        <w:t xml:space="preserve"> </w:t>
      </w:r>
      <w:r w:rsidRPr="00B22AA7">
        <w:t>месторождения</w:t>
      </w:r>
      <w:r>
        <w:t xml:space="preserve"> </w:t>
      </w:r>
      <w:r w:rsidRPr="00B22AA7">
        <w:t>Алтайского края и республики Алтай). М.: ООО «Геоинформцентр», 2003, 604 с.</w:t>
      </w:r>
    </w:p>
    <w:p w:rsidR="00F43816" w:rsidRDefault="00F43816" w:rsidP="00F43816">
      <w:pPr>
        <w:spacing w:before="120"/>
        <w:ind w:firstLine="567"/>
        <w:jc w:val="both"/>
      </w:pPr>
      <w:r w:rsidRPr="00B22AA7">
        <w:t>3.</w:t>
      </w:r>
      <w:r>
        <w:t xml:space="preserve"> </w:t>
      </w:r>
      <w:r w:rsidRPr="00B22AA7">
        <w:t>Сорлье М., Ойя Х.А.</w:t>
      </w:r>
      <w:r>
        <w:t xml:space="preserve"> </w:t>
      </w:r>
      <w:r w:rsidRPr="00B22AA7">
        <w:t>Катоды в алюминиевом электролизере. Пер с англ. П.В. Полякова. Красноярск, изд-во Красноярского гос. ун-та, 1997, 460 с.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816"/>
    <w:rsid w:val="004B21E2"/>
    <w:rsid w:val="005051C5"/>
    <w:rsid w:val="006B11B3"/>
    <w:rsid w:val="009135F4"/>
    <w:rsid w:val="00AB38C9"/>
    <w:rsid w:val="00B22AA7"/>
    <w:rsid w:val="00C72500"/>
    <w:rsid w:val="00D07B87"/>
    <w:rsid w:val="00E86237"/>
    <w:rsid w:val="00F43816"/>
    <w:rsid w:val="00F9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298F1D-65EC-4A68-9A3D-FA6FA7BD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3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антрацита как наполнителя углеродной продукции</vt:lpstr>
    </vt:vector>
  </TitlesOfParts>
  <Company>Home</Company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антрацита как наполнителя углеродной продукции</dc:title>
  <dc:subject/>
  <dc:creator>User</dc:creator>
  <cp:keywords/>
  <dc:description/>
  <cp:lastModifiedBy>admin</cp:lastModifiedBy>
  <cp:revision>2</cp:revision>
  <dcterms:created xsi:type="dcterms:W3CDTF">2014-02-14T16:35:00Z</dcterms:created>
  <dcterms:modified xsi:type="dcterms:W3CDTF">2014-02-14T16:35:00Z</dcterms:modified>
</cp:coreProperties>
</file>