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4C6" w:rsidRDefault="004014C6">
      <w:pPr>
        <w:pStyle w:val="a3"/>
        <w:spacing w:line="360" w:lineRule="auto"/>
        <w:rPr>
          <w:rFonts w:ascii="Palatino Linotype" w:hAnsi="Palatino Linotype"/>
          <w:b/>
          <w:bCs/>
          <w:caps/>
          <w:sz w:val="16"/>
          <w:lang w:val="en-US"/>
        </w:rPr>
      </w:pPr>
      <w:r>
        <w:rPr>
          <w:rFonts w:ascii="Palatino Linotype" w:hAnsi="Palatino Linotype"/>
          <w:b/>
          <w:bCs/>
          <w:caps/>
          <w:sz w:val="16"/>
          <w:lang w:val="en-US"/>
        </w:rPr>
        <w:t>this text is the property of kuljabaev samat jumabekovich - american university in kyrgyzstan</w:t>
      </w:r>
    </w:p>
    <w:p w:rsidR="004014C6" w:rsidRDefault="004014C6">
      <w:pPr>
        <w:pStyle w:val="a3"/>
        <w:spacing w:before="120" w:after="120" w:line="360" w:lineRule="auto"/>
        <w:rPr>
          <w:rFonts w:ascii="Palatino Linotype" w:hAnsi="Palatino Linotype"/>
          <w:sz w:val="20"/>
        </w:rPr>
      </w:pPr>
      <w:r>
        <w:rPr>
          <w:rFonts w:ascii="Palatino Linotype" w:hAnsi="Palatino Linotype"/>
          <w:b/>
          <w:bCs/>
          <w:caps/>
          <w:sz w:val="20"/>
        </w:rPr>
        <w:t>План</w:t>
      </w:r>
    </w:p>
    <w:p w:rsidR="004014C6" w:rsidRDefault="004014C6">
      <w:pPr>
        <w:pStyle w:val="a3"/>
        <w:numPr>
          <w:ilvl w:val="0"/>
          <w:numId w:val="9"/>
        </w:numPr>
        <w:spacing w:before="120" w:after="120" w:line="360" w:lineRule="auto"/>
        <w:rPr>
          <w:rFonts w:ascii="Palatino Linotype" w:hAnsi="Palatino Linotype"/>
          <w:sz w:val="20"/>
        </w:rPr>
      </w:pPr>
      <w:r>
        <w:rPr>
          <w:rFonts w:ascii="Palatino Linotype" w:hAnsi="Palatino Linotype"/>
          <w:sz w:val="20"/>
        </w:rPr>
        <w:t>Введение</w:t>
      </w:r>
    </w:p>
    <w:p w:rsidR="004014C6" w:rsidRDefault="004014C6">
      <w:pPr>
        <w:pStyle w:val="a3"/>
        <w:numPr>
          <w:ilvl w:val="0"/>
          <w:numId w:val="9"/>
        </w:numPr>
        <w:spacing w:before="120" w:after="120" w:line="360" w:lineRule="auto"/>
        <w:rPr>
          <w:rFonts w:ascii="Palatino Linotype" w:hAnsi="Palatino Linotype"/>
          <w:sz w:val="20"/>
        </w:rPr>
      </w:pPr>
      <w:r>
        <w:rPr>
          <w:rFonts w:ascii="Palatino Linotype" w:hAnsi="Palatino Linotype"/>
          <w:sz w:val="20"/>
        </w:rPr>
        <w:t>Человек как актив</w:t>
      </w:r>
    </w:p>
    <w:p w:rsidR="004014C6" w:rsidRDefault="004014C6">
      <w:pPr>
        <w:pStyle w:val="a3"/>
        <w:numPr>
          <w:ilvl w:val="0"/>
          <w:numId w:val="9"/>
        </w:numPr>
        <w:spacing w:before="120" w:after="120" w:line="360" w:lineRule="auto"/>
        <w:rPr>
          <w:rFonts w:ascii="Palatino Linotype" w:hAnsi="Palatino Linotype"/>
          <w:sz w:val="20"/>
        </w:rPr>
      </w:pPr>
      <w:r>
        <w:rPr>
          <w:rFonts w:ascii="Palatino Linotype" w:hAnsi="Palatino Linotype"/>
          <w:sz w:val="20"/>
        </w:rPr>
        <w:t>Учет футболистов</w:t>
      </w:r>
    </w:p>
    <w:p w:rsidR="004014C6" w:rsidRDefault="004014C6">
      <w:pPr>
        <w:pStyle w:val="a3"/>
        <w:numPr>
          <w:ilvl w:val="0"/>
          <w:numId w:val="9"/>
        </w:numPr>
        <w:spacing w:before="120" w:after="120" w:line="360" w:lineRule="auto"/>
        <w:rPr>
          <w:rFonts w:ascii="Palatino Linotype" w:hAnsi="Palatino Linotype"/>
          <w:sz w:val="20"/>
        </w:rPr>
      </w:pPr>
      <w:r>
        <w:rPr>
          <w:rFonts w:ascii="Palatino Linotype" w:hAnsi="Palatino Linotype"/>
          <w:sz w:val="20"/>
        </w:rPr>
        <w:t>Отчетность в Манчестер Юнайтед</w:t>
      </w:r>
    </w:p>
    <w:p w:rsidR="004014C6" w:rsidRDefault="004014C6">
      <w:pPr>
        <w:pStyle w:val="a3"/>
        <w:numPr>
          <w:ilvl w:val="0"/>
          <w:numId w:val="9"/>
        </w:numPr>
        <w:spacing w:before="120" w:after="120" w:line="360" w:lineRule="auto"/>
        <w:rPr>
          <w:rFonts w:ascii="Palatino Linotype" w:hAnsi="Palatino Linotype"/>
          <w:sz w:val="20"/>
        </w:rPr>
      </w:pPr>
      <w:r>
        <w:rPr>
          <w:rFonts w:ascii="Palatino Linotype" w:hAnsi="Palatino Linotype"/>
          <w:sz w:val="20"/>
        </w:rPr>
        <w:t>Основные показатели футбольных финансов</w:t>
      </w:r>
    </w:p>
    <w:p w:rsidR="004014C6" w:rsidRDefault="004014C6">
      <w:pPr>
        <w:pStyle w:val="a3"/>
        <w:numPr>
          <w:ilvl w:val="0"/>
          <w:numId w:val="9"/>
        </w:numPr>
        <w:spacing w:before="120" w:after="120" w:line="360" w:lineRule="auto"/>
        <w:rPr>
          <w:rFonts w:ascii="Palatino Linotype" w:hAnsi="Palatino Linotype"/>
          <w:sz w:val="20"/>
        </w:rPr>
      </w:pPr>
      <w:r>
        <w:rPr>
          <w:rFonts w:ascii="Palatino Linotype" w:hAnsi="Palatino Linotype"/>
          <w:sz w:val="20"/>
        </w:rPr>
        <w:t>Заключение</w:t>
      </w:r>
    </w:p>
    <w:p w:rsidR="004014C6" w:rsidRDefault="004014C6">
      <w:pPr>
        <w:pStyle w:val="a3"/>
        <w:spacing w:before="120" w:after="120" w:line="360" w:lineRule="auto"/>
        <w:rPr>
          <w:rFonts w:ascii="Palatino Linotype" w:hAnsi="Palatino Linotype"/>
          <w:b/>
          <w:bCs/>
          <w:i/>
          <w:iCs/>
          <w:sz w:val="20"/>
        </w:rPr>
      </w:pPr>
      <w:r>
        <w:rPr>
          <w:rFonts w:ascii="Palatino Linotype" w:hAnsi="Palatino Linotype"/>
          <w:b/>
          <w:bCs/>
          <w:caps/>
          <w:sz w:val="20"/>
        </w:rPr>
        <w:t>1. Введение</w:t>
      </w:r>
    </w:p>
    <w:p w:rsidR="004014C6" w:rsidRDefault="004014C6">
      <w:pPr>
        <w:pStyle w:val="a3"/>
        <w:spacing w:before="120" w:after="120" w:line="360" w:lineRule="auto"/>
        <w:ind w:firstLine="567"/>
        <w:rPr>
          <w:rFonts w:ascii="Palatino Linotype" w:hAnsi="Palatino Linotype"/>
          <w:sz w:val="20"/>
        </w:rPr>
      </w:pPr>
      <w:r>
        <w:rPr>
          <w:rFonts w:ascii="Palatino Linotype" w:hAnsi="Palatino Linotype"/>
          <w:sz w:val="20"/>
        </w:rPr>
        <w:t xml:space="preserve">Совершенно очевидным является тот факт, что спорт сегодня - это не только здоровый образ жизни, но и большие деньги - огромные капиталовложения, изощренный маркетинг и сотни тысяч людей, вовлеченные в индустрию спорта. По определению, профессиональный спорт - это коммерческо-спортивная деятельность, предусматривающая экономическую эффективность и высокую информационно-развлекательную ценность спортивно-зрелищных мероприятий. Недавнее приобретение известным финансовым гением Романом Абрамовичем знаменитого английского футбольного клуба и ряда звезд футбола наглядный пример тому, что профессиональный спорт приносит огромные прибыли их владельцам. Ведь наверняка не из филантропических побуждений он потратил немалую сумму денег, которые вполне могли быть вложены в нефтяную отрасль. </w:t>
      </w:r>
    </w:p>
    <w:p w:rsidR="004014C6" w:rsidRDefault="004014C6">
      <w:pPr>
        <w:pStyle w:val="a3"/>
        <w:spacing w:before="120" w:after="120" w:line="360" w:lineRule="auto"/>
        <w:ind w:firstLine="567"/>
        <w:rPr>
          <w:rFonts w:ascii="Palatino Linotype" w:hAnsi="Palatino Linotype"/>
          <w:sz w:val="20"/>
        </w:rPr>
      </w:pPr>
      <w:r>
        <w:rPr>
          <w:rFonts w:ascii="Palatino Linotype" w:hAnsi="Palatino Linotype"/>
          <w:sz w:val="20"/>
        </w:rPr>
        <w:t>Ежегодно спортивные клубы вроде “</w:t>
      </w:r>
      <w:r>
        <w:rPr>
          <w:rFonts w:ascii="Palatino Linotype" w:hAnsi="Palatino Linotype"/>
          <w:i/>
          <w:iCs/>
          <w:sz w:val="20"/>
        </w:rPr>
        <w:t>Челси</w:t>
      </w:r>
      <w:r>
        <w:rPr>
          <w:rFonts w:ascii="Palatino Linotype" w:hAnsi="Palatino Linotype"/>
          <w:sz w:val="20"/>
        </w:rPr>
        <w:t>” и “</w:t>
      </w:r>
      <w:r>
        <w:rPr>
          <w:rFonts w:ascii="Palatino Linotype" w:hAnsi="Palatino Linotype"/>
          <w:i/>
          <w:iCs/>
          <w:sz w:val="20"/>
        </w:rPr>
        <w:t>Манчестер Юнайтед</w:t>
      </w:r>
      <w:r>
        <w:rPr>
          <w:rFonts w:ascii="Palatino Linotype" w:hAnsi="Palatino Linotype"/>
          <w:sz w:val="20"/>
        </w:rPr>
        <w:t xml:space="preserve">”  занимаются куплей-продажей прав на определенных спортсменов, и следует отметить, что сумма затрат на приобретение только одного игрока исчисляется десятками миллионов.  Каждая выигранная игра - это многомиллионные  доходы от прав на рекламу и телевещание, высокий спрос на билеты  и, конечно же, увеличение  “стоимости” игроков. Я не зря поставил “кавычки”, так как именно вопрос оценки человека является проблемой данной работы. Можно ли учитывать человека точно также как товарно-материальные запасы  или оборудование? Если придерживаться консервативных взглядов и следовать морально-этическим нормам, то, конечно, нельзя. Но тогда как же быть миллионными доходами и затратами, которые возникают в результате деятельности команд? Не возникают же они по чистой случайности, и каждый знает, что всему есть свое объяснение. Победу в спорте определяют талант, смекалка и сноровка, и все эти черты присущи лишь человеку. </w:t>
      </w:r>
    </w:p>
    <w:p w:rsidR="004014C6" w:rsidRDefault="004014C6">
      <w:pPr>
        <w:pStyle w:val="a3"/>
        <w:spacing w:before="120" w:after="120" w:line="360" w:lineRule="auto"/>
        <w:ind w:firstLine="567"/>
        <w:rPr>
          <w:rFonts w:ascii="Palatino Linotype" w:hAnsi="Palatino Linotype"/>
          <w:sz w:val="20"/>
        </w:rPr>
      </w:pPr>
      <w:r>
        <w:rPr>
          <w:rFonts w:ascii="Palatino Linotype" w:hAnsi="Palatino Linotype"/>
          <w:sz w:val="20"/>
        </w:rPr>
        <w:t xml:space="preserve">Исследовательская работа посвящена ведению финансовой отчетности в футбольных клубах. И для наиболее полного раскрытия информации данная работа будет опираться на стандарт </w:t>
      </w:r>
      <w:r>
        <w:rPr>
          <w:rFonts w:ascii="Palatino Linotype" w:hAnsi="Palatino Linotype"/>
          <w:i/>
          <w:iCs/>
          <w:sz w:val="20"/>
        </w:rPr>
        <w:t>FRS 10: Intangible Fixed Assets and Goodwill</w:t>
      </w:r>
      <w:r>
        <w:rPr>
          <w:rFonts w:ascii="Palatino Linotype" w:hAnsi="Palatino Linotype"/>
          <w:sz w:val="20"/>
        </w:rPr>
        <w:t xml:space="preserve">, схожая с </w:t>
      </w:r>
      <w:r>
        <w:rPr>
          <w:rFonts w:ascii="Palatino Linotype" w:hAnsi="Palatino Linotype"/>
          <w:i/>
          <w:iCs/>
          <w:sz w:val="20"/>
        </w:rPr>
        <w:t>МСФО 38: Учет Нематериальных активов</w:t>
      </w:r>
      <w:r>
        <w:rPr>
          <w:rFonts w:ascii="Palatino Linotype" w:hAnsi="Palatino Linotype"/>
          <w:sz w:val="20"/>
        </w:rPr>
        <w:t xml:space="preserve">, в котором изложены все положения. Также дополнительно используемой литературой будут финансовые отчеты </w:t>
      </w:r>
      <w:r>
        <w:rPr>
          <w:rFonts w:ascii="Palatino Linotype" w:hAnsi="Palatino Linotype"/>
          <w:i/>
          <w:iCs/>
          <w:sz w:val="20"/>
        </w:rPr>
        <w:t xml:space="preserve">ФК “Манчестер Юнайтед” </w:t>
      </w:r>
      <w:r>
        <w:rPr>
          <w:rFonts w:ascii="Palatino Linotype" w:hAnsi="Palatino Linotype"/>
          <w:sz w:val="20"/>
        </w:rPr>
        <w:t xml:space="preserve">и учебник </w:t>
      </w:r>
      <w:r>
        <w:rPr>
          <w:rFonts w:ascii="Palatino Linotype" w:hAnsi="Palatino Linotype"/>
          <w:i/>
          <w:iCs/>
          <w:sz w:val="20"/>
          <w:lang w:val="en-US"/>
        </w:rPr>
        <w:t>Flamholtz</w:t>
      </w:r>
      <w:r>
        <w:rPr>
          <w:rFonts w:ascii="Palatino Linotype" w:hAnsi="Palatino Linotype"/>
          <w:i/>
          <w:iCs/>
          <w:sz w:val="20"/>
        </w:rPr>
        <w:t xml:space="preserve">: </w:t>
      </w:r>
      <w:r>
        <w:rPr>
          <w:rFonts w:ascii="Palatino Linotype" w:hAnsi="Palatino Linotype"/>
          <w:i/>
          <w:iCs/>
          <w:sz w:val="20"/>
          <w:lang w:val="en-US"/>
        </w:rPr>
        <w:t>Human</w:t>
      </w:r>
      <w:r>
        <w:rPr>
          <w:rFonts w:ascii="Palatino Linotype" w:hAnsi="Palatino Linotype"/>
          <w:i/>
          <w:iCs/>
          <w:sz w:val="20"/>
        </w:rPr>
        <w:t xml:space="preserve"> </w:t>
      </w:r>
      <w:r>
        <w:rPr>
          <w:rFonts w:ascii="Palatino Linotype" w:hAnsi="Palatino Linotype"/>
          <w:i/>
          <w:iCs/>
          <w:sz w:val="20"/>
          <w:lang w:val="en-US"/>
        </w:rPr>
        <w:t>Resources</w:t>
      </w:r>
      <w:r>
        <w:rPr>
          <w:rFonts w:ascii="Palatino Linotype" w:hAnsi="Palatino Linotype"/>
          <w:i/>
          <w:iCs/>
          <w:sz w:val="20"/>
        </w:rPr>
        <w:t xml:space="preserve"> </w:t>
      </w:r>
      <w:r>
        <w:rPr>
          <w:rFonts w:ascii="Palatino Linotype" w:hAnsi="Palatino Linotype"/>
          <w:i/>
          <w:iCs/>
          <w:sz w:val="20"/>
          <w:lang w:val="en-US"/>
        </w:rPr>
        <w:t>Accounting</w:t>
      </w:r>
      <w:r>
        <w:rPr>
          <w:rFonts w:ascii="Palatino Linotype" w:hAnsi="Palatino Linotype"/>
          <w:sz w:val="20"/>
        </w:rPr>
        <w:t xml:space="preserve"> для выявления способов учета игроков в Англии. Основная задача этого исследования показать на примере английских футбольных клубов методы учета человека и связанные с ним финансовые операции в отчетности.</w:t>
      </w:r>
    </w:p>
    <w:p w:rsidR="004014C6" w:rsidRDefault="004014C6">
      <w:pPr>
        <w:pStyle w:val="a3"/>
        <w:spacing w:before="120" w:after="120" w:line="360" w:lineRule="auto"/>
        <w:rPr>
          <w:rFonts w:ascii="Palatino Linotype" w:hAnsi="Palatino Linotype"/>
          <w:b/>
          <w:bCs/>
          <w:caps/>
          <w:sz w:val="20"/>
        </w:rPr>
      </w:pPr>
      <w:r>
        <w:rPr>
          <w:rFonts w:ascii="Palatino Linotype" w:hAnsi="Palatino Linotype"/>
          <w:b/>
          <w:bCs/>
          <w:caps/>
          <w:sz w:val="20"/>
        </w:rPr>
        <w:t>2. Человек как актив.</w:t>
      </w:r>
    </w:p>
    <w:p w:rsidR="004014C6" w:rsidRDefault="004014C6">
      <w:pPr>
        <w:pStyle w:val="a3"/>
        <w:spacing w:before="120" w:after="120" w:line="360" w:lineRule="auto"/>
        <w:ind w:firstLine="567"/>
        <w:rPr>
          <w:rFonts w:ascii="Palatino Linotype" w:hAnsi="Palatino Linotype"/>
          <w:sz w:val="20"/>
        </w:rPr>
      </w:pPr>
      <w:r>
        <w:rPr>
          <w:rFonts w:ascii="Palatino Linotype" w:hAnsi="Palatino Linotype"/>
          <w:sz w:val="20"/>
        </w:rPr>
        <w:t>Темой оценки человеческих ресурсов на данный момент заинтересованы многие видные теоретики бухгалтерского учета. Интерес к проблеме учета человеческих ресурсов начал проявляется еще с 1960-х годов, и базовые методы и рекомендации по учету были уже разработаны к концу 70-х  в США, где исследования проводились видным теоретиком Эриком Флэмхолцем. К тому же, с недавнего времени ряд исследований по теме капитализации человека сошлись во мнении, что “человек наиболее существенный актив и трудовые ресурсы наиболее значимый критерий конкурентного преимущества предприятия”</w:t>
      </w:r>
      <w:r>
        <w:rPr>
          <w:rStyle w:val="ac"/>
          <w:rFonts w:ascii="Palatino Linotype" w:hAnsi="Palatino Linotype"/>
          <w:sz w:val="20"/>
        </w:rPr>
        <w:footnoteReference w:id="1"/>
      </w:r>
      <w:r>
        <w:rPr>
          <w:rFonts w:ascii="Palatino Linotype" w:hAnsi="Palatino Linotype"/>
          <w:sz w:val="20"/>
        </w:rPr>
        <w:t>.</w:t>
      </w:r>
    </w:p>
    <w:p w:rsidR="004014C6" w:rsidRDefault="004014C6">
      <w:pPr>
        <w:pStyle w:val="a3"/>
        <w:spacing w:before="120" w:after="120" w:line="360" w:lineRule="auto"/>
        <w:ind w:firstLine="567"/>
        <w:rPr>
          <w:rFonts w:ascii="Palatino Linotype" w:hAnsi="Palatino Linotype"/>
          <w:sz w:val="20"/>
        </w:rPr>
      </w:pPr>
      <w:r>
        <w:rPr>
          <w:rFonts w:ascii="Palatino Linotype" w:hAnsi="Palatino Linotype"/>
          <w:sz w:val="20"/>
        </w:rPr>
        <w:t xml:space="preserve">Проблема коммерческого использования человеческих ресурсов как актив в современной практике — комплексная и многогранная проблема, включающая в себя правовые, экономические, социальные и психологические вопросы. Проблема как теоретическая, так и прикладная: человеческие ресурсы могут продаваться, а значит должны иметь стоимостную оценку. Иными словами, наиболее существенные разногласия вызывает следующий вопрос: являются ли человеческие ресурсы активами и могут ли они вообще включаться в баланс предприятия. </w:t>
      </w:r>
    </w:p>
    <w:p w:rsidR="004014C6" w:rsidRDefault="004014C6">
      <w:pPr>
        <w:pStyle w:val="a3"/>
        <w:spacing w:before="120" w:after="120" w:line="360" w:lineRule="auto"/>
        <w:ind w:firstLine="567"/>
        <w:rPr>
          <w:rFonts w:ascii="Palatino Linotype" w:hAnsi="Palatino Linotype"/>
          <w:sz w:val="20"/>
        </w:rPr>
      </w:pPr>
      <w:r>
        <w:rPr>
          <w:rFonts w:ascii="Palatino Linotype" w:hAnsi="Palatino Linotype"/>
          <w:sz w:val="20"/>
        </w:rPr>
        <w:t>Но сначала мы должны рассмотреть, какими характеристиками должен обладать объект, чтобы квалифицироваться как актив. В соответствии с фундаментальными принципами бухгалтерского учета, “активы - это контролируемые предприятием экономические ресурсы, стоимость которых может быть объективно измерена и использование которых вероятно принесет в будущем прибыль”</w:t>
      </w:r>
      <w:r>
        <w:rPr>
          <w:rStyle w:val="ac"/>
          <w:rFonts w:ascii="Palatino Linotype" w:hAnsi="Palatino Linotype"/>
          <w:sz w:val="20"/>
        </w:rPr>
        <w:footnoteReference w:id="2"/>
      </w:r>
      <w:r>
        <w:rPr>
          <w:rFonts w:ascii="Palatino Linotype" w:hAnsi="Palatino Linotype"/>
          <w:sz w:val="20"/>
        </w:rPr>
        <w:t>. Согласно вышеуказанному определению, возможно ли квалифицировать человека как актив?</w:t>
      </w:r>
    </w:p>
    <w:p w:rsidR="004014C6" w:rsidRDefault="004014C6">
      <w:pPr>
        <w:pStyle w:val="a3"/>
        <w:spacing w:before="120" w:after="120" w:line="360" w:lineRule="auto"/>
        <w:ind w:firstLine="567"/>
        <w:rPr>
          <w:rFonts w:ascii="Palatino Linotype" w:hAnsi="Palatino Linotype"/>
          <w:sz w:val="20"/>
        </w:rPr>
      </w:pPr>
      <w:r>
        <w:rPr>
          <w:rFonts w:ascii="Palatino Linotype" w:hAnsi="Palatino Linotype"/>
          <w:sz w:val="20"/>
        </w:rPr>
        <w:t>Человек важное звено в хозяйственной деятельности футбольных клубов</w:t>
      </w:r>
      <w:r>
        <w:rPr>
          <w:rFonts w:ascii="Palatino Linotype" w:hAnsi="Palatino Linotype"/>
          <w:sz w:val="20"/>
          <w:szCs w:val="20"/>
        </w:rPr>
        <w:t xml:space="preserve"> и доводы в пользу того, что </w:t>
      </w:r>
      <w:r>
        <w:rPr>
          <w:rFonts w:ascii="Palatino Linotype" w:hAnsi="Palatino Linotype"/>
          <w:sz w:val="20"/>
        </w:rPr>
        <w:t>футболисты</w:t>
      </w:r>
      <w:r>
        <w:rPr>
          <w:rFonts w:ascii="Palatino Linotype" w:hAnsi="Palatino Linotype"/>
          <w:sz w:val="20"/>
          <w:szCs w:val="20"/>
        </w:rPr>
        <w:t xml:space="preserve"> являются активами, заключаются в том, что “эти средства” представляют собой будущие экономические выгоды, за которые была выплачена компенсация. В нашем случае в</w:t>
      </w:r>
      <w:r>
        <w:rPr>
          <w:rFonts w:ascii="Palatino Linotype" w:hAnsi="Palatino Linotype"/>
          <w:sz w:val="20"/>
        </w:rPr>
        <w:t>ыгодой является вклад в футбольный успех команды, которая в дальнейшем, возможно, трансформируется в денежный приток. Далеко не секрет,</w:t>
      </w:r>
      <w:r>
        <w:rPr>
          <w:rFonts w:ascii="Palatino Linotype" w:hAnsi="Palatino Linotype"/>
          <w:sz w:val="20"/>
          <w:szCs w:val="20"/>
        </w:rPr>
        <w:t xml:space="preserve"> что </w:t>
      </w:r>
      <w:r>
        <w:rPr>
          <w:rFonts w:ascii="Palatino Linotype" w:hAnsi="Palatino Linotype"/>
          <w:sz w:val="20"/>
        </w:rPr>
        <w:t xml:space="preserve">самые ценные активы футбольных клубов - это их </w:t>
      </w:r>
      <w:r>
        <w:rPr>
          <w:rFonts w:ascii="Palatino Linotype" w:hAnsi="Palatino Linotype"/>
          <w:sz w:val="20"/>
          <w:szCs w:val="20"/>
        </w:rPr>
        <w:t>человеческие ресурсы</w:t>
      </w:r>
      <w:r>
        <w:rPr>
          <w:rFonts w:ascii="Palatino Linotype" w:hAnsi="Palatino Linotype"/>
          <w:sz w:val="20"/>
        </w:rPr>
        <w:t>, так как в некоторых случаях вся стоимость активов клуба может быть меньше совокупной стоимости игроков”</w:t>
      </w:r>
      <w:r>
        <w:rPr>
          <w:rStyle w:val="ac"/>
          <w:rFonts w:ascii="Palatino Linotype" w:hAnsi="Palatino Linotype"/>
          <w:sz w:val="20"/>
        </w:rPr>
        <w:footnoteReference w:id="3"/>
      </w:r>
      <w:r>
        <w:rPr>
          <w:rFonts w:ascii="Palatino Linotype" w:hAnsi="Palatino Linotype"/>
          <w:sz w:val="20"/>
        </w:rPr>
        <w:t xml:space="preserve">. </w:t>
      </w:r>
      <w:r>
        <w:rPr>
          <w:rFonts w:ascii="Palatino Linotype" w:hAnsi="Palatino Linotype"/>
          <w:sz w:val="20"/>
          <w:szCs w:val="20"/>
        </w:rPr>
        <w:t>Однако противники включения человека в отчетности в качестве активов мотивируют свою позицию тем, что будущие экономические выгоды, связанные с ним, за исключением отдельных случаев, невозможно определить с достаточной степенью достоверности. Иными словами, есть немалая доля неопределенности, поскольку компания не может быть уверена, что работник не аннулирует контракт, тем самым, ставя под сомнение вероятность экономических выгод</w:t>
      </w:r>
      <w:r>
        <w:rPr>
          <w:rFonts w:ascii="Palatino Linotype" w:hAnsi="Palatino Linotype"/>
          <w:sz w:val="20"/>
        </w:rPr>
        <w:t>. Мы рассмотрим эту проблему далее.</w:t>
      </w:r>
    </w:p>
    <w:p w:rsidR="004014C6" w:rsidRDefault="004014C6">
      <w:pPr>
        <w:spacing w:before="120" w:after="120" w:line="360" w:lineRule="auto"/>
        <w:ind w:firstLine="720"/>
        <w:jc w:val="both"/>
        <w:rPr>
          <w:rFonts w:ascii="Palatino Linotype" w:hAnsi="Palatino Linotype"/>
          <w:sz w:val="20"/>
          <w:lang w:val="ru-RU"/>
        </w:rPr>
      </w:pPr>
      <w:r>
        <w:rPr>
          <w:rFonts w:ascii="Palatino Linotype" w:hAnsi="Palatino Linotype"/>
          <w:sz w:val="20"/>
          <w:lang w:val="ru-RU"/>
        </w:rPr>
        <w:t>Как и во всех организациях в футбольных клубах также существуют трудовые договора. Игроки подписывают контракт, что подразумевает за собой “прикрепление” к определенному клубу на законных основаниях. Подписав контракт, они не могут покидать клуб или играть за иную команду без разрешения клуба. Стоит отметить, что спортивные контракты сильно отличаются от простых трудовых договоров, поскольку они более требовательны в выполнении условий. В компаниях, где действуют простые трудовые договора, руководство не имеет достаточного контроля над своими работниками и соответственно не имеет законного права включать своих работников в баланс как активы. А именно контроль является одним из основополагающих критериев признания объекта активом. “Контроль – это концепция бухгалтерского учета, схожая с юридической концепцией собственности. Когда компания получает автомобиль в рассрочку, то юридически она может не владеть автомобилем, пока не оплачен последний взнос. Тем не менее, если предприятие несет ответственность за содержание автомобиля, то он рассматривается как полностью контролируемым этим предприятием и является активом”</w:t>
      </w:r>
      <w:r>
        <w:rPr>
          <w:rStyle w:val="ac"/>
          <w:rFonts w:ascii="Palatino Linotype" w:hAnsi="Palatino Linotype"/>
          <w:sz w:val="20"/>
          <w:lang w:val="ru-RU"/>
        </w:rPr>
        <w:footnoteReference w:id="4"/>
      </w:r>
      <w:r>
        <w:rPr>
          <w:rFonts w:ascii="Palatino Linotype" w:hAnsi="Palatino Linotype"/>
          <w:sz w:val="20"/>
          <w:lang w:val="ru-RU"/>
        </w:rPr>
        <w:t>. В нашем случае, человек находится под контролем хозяйствующего субъекта.</w:t>
      </w:r>
    </w:p>
    <w:p w:rsidR="004014C6" w:rsidRDefault="004014C6">
      <w:pPr>
        <w:spacing w:before="120" w:after="120" w:line="360" w:lineRule="auto"/>
        <w:ind w:firstLine="720"/>
        <w:jc w:val="both"/>
        <w:rPr>
          <w:rFonts w:ascii="Palatino Linotype" w:hAnsi="Palatino Linotype"/>
          <w:sz w:val="20"/>
          <w:lang w:val="ru-RU"/>
        </w:rPr>
      </w:pPr>
      <w:r>
        <w:rPr>
          <w:rFonts w:ascii="Palatino Linotype" w:hAnsi="Palatino Linotype"/>
          <w:sz w:val="20"/>
          <w:lang w:val="ru-RU"/>
        </w:rPr>
        <w:t xml:space="preserve">Из концепции стоимости следует, что если предприятие ничего не платит за приобретаемую статью актива, то оно обычно не отражается в учетных регистрах как актив. Поэтому, знания и навыки, накапливаемые по мере функционирования компании, взаимодействия внутри организации, удачные местонахождения, высокая репутация торговой марки, разработанной компанией – все это не отражается как актив на счетах компаний </w:t>
      </w:r>
      <w:r>
        <w:rPr>
          <w:rStyle w:val="ac"/>
          <w:rFonts w:ascii="Palatino Linotype" w:hAnsi="Palatino Linotype"/>
          <w:sz w:val="20"/>
          <w:lang w:val="ru-RU"/>
        </w:rPr>
        <w:footnoteReference w:id="5"/>
      </w:r>
      <w:r>
        <w:rPr>
          <w:rFonts w:ascii="Palatino Linotype" w:hAnsi="Palatino Linotype"/>
          <w:sz w:val="20"/>
          <w:lang w:val="ru-RU"/>
        </w:rPr>
        <w:t xml:space="preserve">. Однако затраты на приобретение футболистов могут быть надежно определены, благодаря существованию активного рынка, где клуб имеет возможность продать игрока, обменять, сдать в аренду или распределить конкретные будущие экономические выгоды, относящиеся к нему, без выбытия будущих экономических выгод. </w:t>
      </w:r>
    </w:p>
    <w:p w:rsidR="004014C6" w:rsidRDefault="004014C6">
      <w:pPr>
        <w:spacing w:before="120" w:after="120" w:line="360" w:lineRule="auto"/>
        <w:ind w:firstLine="720"/>
        <w:jc w:val="both"/>
        <w:rPr>
          <w:rFonts w:ascii="Palatino Linotype" w:hAnsi="Palatino Linotype"/>
          <w:sz w:val="20"/>
          <w:lang w:val="ru-RU"/>
        </w:rPr>
      </w:pPr>
      <w:r>
        <w:rPr>
          <w:rFonts w:ascii="Palatino Linotype" w:hAnsi="Palatino Linotype"/>
          <w:sz w:val="20"/>
          <w:lang w:val="ru-RU"/>
        </w:rPr>
        <w:t>Таким образом, существуют две веских причин для представления человеческих ресурсов в финансовой отчетности. Во-первых, внешним пользователям необходима такого рода информация для реальной оценки финансового положения предприятия. Во-вторых, футболисты соответствуют вышеизоженным критериям для признания их как активы.</w:t>
      </w:r>
      <w:r>
        <w:rPr>
          <w:rFonts w:ascii="Palatino Linotype" w:hAnsi="Palatino Linotype"/>
          <w:sz w:val="20"/>
          <w:szCs w:val="20"/>
          <w:lang w:val="ru-RU"/>
        </w:rPr>
        <w:t xml:space="preserve"> Вместе с тем признавая человека активом, возникает нелегкая задача - дать по возможности, наиболее обобщающие рекомендации по </w:t>
      </w:r>
      <w:r>
        <w:rPr>
          <w:rFonts w:ascii="Palatino Linotype" w:hAnsi="Palatino Linotype"/>
          <w:sz w:val="20"/>
          <w:lang w:val="ru-RU"/>
        </w:rPr>
        <w:t>учету игроков.</w:t>
      </w:r>
    </w:p>
    <w:p w:rsidR="004014C6" w:rsidRDefault="004014C6">
      <w:pPr>
        <w:pStyle w:val="a3"/>
        <w:spacing w:before="120" w:after="120" w:line="360" w:lineRule="auto"/>
        <w:rPr>
          <w:rFonts w:ascii="Palatino Linotype" w:hAnsi="Palatino Linotype"/>
          <w:b/>
          <w:bCs/>
          <w:caps/>
          <w:sz w:val="20"/>
          <w:lang w:val="en-US"/>
        </w:rPr>
      </w:pPr>
    </w:p>
    <w:p w:rsidR="004014C6" w:rsidRDefault="004014C6">
      <w:pPr>
        <w:pStyle w:val="a3"/>
        <w:spacing w:before="120" w:after="120" w:line="360" w:lineRule="auto"/>
        <w:rPr>
          <w:rFonts w:ascii="Palatino Linotype" w:hAnsi="Palatino Linotype"/>
          <w:b/>
          <w:bCs/>
          <w:caps/>
          <w:sz w:val="20"/>
          <w:lang w:val="en-US"/>
        </w:rPr>
      </w:pPr>
    </w:p>
    <w:p w:rsidR="004014C6" w:rsidRDefault="004014C6">
      <w:pPr>
        <w:pStyle w:val="a3"/>
        <w:spacing w:before="120" w:after="120" w:line="360" w:lineRule="auto"/>
        <w:rPr>
          <w:rFonts w:ascii="Palatino Linotype" w:hAnsi="Palatino Linotype"/>
          <w:b/>
          <w:bCs/>
          <w:i/>
          <w:iCs/>
          <w:sz w:val="20"/>
        </w:rPr>
      </w:pPr>
      <w:r>
        <w:rPr>
          <w:rFonts w:ascii="Palatino Linotype" w:hAnsi="Palatino Linotype"/>
          <w:b/>
          <w:bCs/>
          <w:caps/>
          <w:sz w:val="20"/>
        </w:rPr>
        <w:t>3. Учет футболистов</w:t>
      </w:r>
      <w:r>
        <w:rPr>
          <w:rFonts w:ascii="Palatino Linotype" w:hAnsi="Palatino Linotype"/>
          <w:b/>
          <w:bCs/>
          <w:caps/>
          <w:sz w:val="20"/>
        </w:rPr>
        <w:tab/>
      </w:r>
    </w:p>
    <w:p w:rsidR="004014C6" w:rsidRDefault="004014C6">
      <w:pPr>
        <w:pStyle w:val="a5"/>
        <w:spacing w:before="120" w:beforeAutospacing="0" w:after="120" w:afterAutospacing="0" w:line="360" w:lineRule="auto"/>
        <w:ind w:firstLine="720"/>
        <w:jc w:val="both"/>
        <w:rPr>
          <w:rFonts w:ascii="Palatino Linotype" w:eastAsia="Times New Roman" w:hAnsi="Palatino Linotype" w:cs="Times New Roman"/>
          <w:i/>
          <w:iCs/>
          <w:color w:val="auto"/>
          <w:sz w:val="20"/>
          <w:lang w:val="ru-RU"/>
        </w:rPr>
      </w:pPr>
      <w:r>
        <w:rPr>
          <w:rFonts w:ascii="Palatino Linotype" w:eastAsia="Times New Roman" w:hAnsi="Palatino Linotype" w:cs="Times New Roman"/>
          <w:color w:val="auto"/>
          <w:sz w:val="20"/>
          <w:lang w:val="ru-RU"/>
        </w:rPr>
        <w:t>В предыдущей главе было доказано, что человека не только можно, но и нужно  квалифицировать как актив. В данном разделе мы рассмотрим некоторые задачи в области учета человеческих ресурсов в футбольных клубах:</w:t>
      </w:r>
    </w:p>
    <w:p w:rsidR="004014C6" w:rsidRDefault="004014C6">
      <w:pPr>
        <w:pStyle w:val="a5"/>
        <w:numPr>
          <w:ilvl w:val="0"/>
          <w:numId w:val="4"/>
        </w:numPr>
        <w:spacing w:before="120" w:beforeAutospacing="0" w:after="120" w:afterAutospacing="0" w:line="360" w:lineRule="auto"/>
        <w:rPr>
          <w:rFonts w:ascii="Palatino Linotype" w:eastAsia="Times New Roman" w:hAnsi="Palatino Linotype" w:cs="Times New Roman"/>
          <w:i/>
          <w:iCs/>
          <w:color w:val="auto"/>
          <w:sz w:val="20"/>
          <w:lang w:val="ru-RU"/>
        </w:rPr>
      </w:pPr>
      <w:r>
        <w:rPr>
          <w:rFonts w:ascii="Palatino Linotype" w:eastAsia="Times New Roman" w:hAnsi="Palatino Linotype" w:cs="Times New Roman"/>
          <w:i/>
          <w:iCs/>
          <w:color w:val="auto"/>
          <w:sz w:val="20"/>
          <w:lang w:val="ru-RU"/>
        </w:rPr>
        <w:t>Как представлять игроков в финансовой  отчетности?</w:t>
      </w:r>
    </w:p>
    <w:p w:rsidR="004014C6" w:rsidRDefault="004014C6">
      <w:pPr>
        <w:pStyle w:val="a5"/>
        <w:numPr>
          <w:ilvl w:val="0"/>
          <w:numId w:val="4"/>
        </w:numPr>
        <w:spacing w:before="120" w:beforeAutospacing="0" w:after="120" w:afterAutospacing="0" w:line="360" w:lineRule="auto"/>
        <w:rPr>
          <w:rFonts w:ascii="Palatino Linotype" w:eastAsia="Times New Roman" w:hAnsi="Palatino Linotype" w:cs="Times New Roman"/>
          <w:i/>
          <w:iCs/>
          <w:color w:val="auto"/>
          <w:sz w:val="20"/>
          <w:lang w:val="ru-RU"/>
        </w:rPr>
      </w:pPr>
      <w:r>
        <w:rPr>
          <w:rFonts w:ascii="Palatino Linotype" w:eastAsia="Times New Roman" w:hAnsi="Palatino Linotype" w:cs="Times New Roman"/>
          <w:i/>
          <w:iCs/>
          <w:color w:val="auto"/>
          <w:sz w:val="20"/>
          <w:lang w:val="ru-RU"/>
        </w:rPr>
        <w:t>По какой стоимости следует капитализировать игроков в балансе?</w:t>
      </w:r>
    </w:p>
    <w:p w:rsidR="004014C6" w:rsidRDefault="004014C6">
      <w:pPr>
        <w:pStyle w:val="a5"/>
        <w:numPr>
          <w:ilvl w:val="0"/>
          <w:numId w:val="4"/>
        </w:numPr>
        <w:spacing w:before="120" w:beforeAutospacing="0" w:after="120" w:afterAutospacing="0" w:line="360" w:lineRule="auto"/>
        <w:rPr>
          <w:rFonts w:ascii="Palatino Linotype" w:eastAsia="Times New Roman" w:hAnsi="Palatino Linotype" w:cs="Times New Roman"/>
          <w:i/>
          <w:iCs/>
          <w:color w:val="auto"/>
          <w:sz w:val="20"/>
          <w:lang w:val="ru-RU"/>
        </w:rPr>
      </w:pPr>
      <w:r>
        <w:rPr>
          <w:rFonts w:ascii="Palatino Linotype" w:eastAsia="Times New Roman" w:hAnsi="Palatino Linotype" w:cs="Times New Roman"/>
          <w:i/>
          <w:iCs/>
          <w:color w:val="auto"/>
          <w:sz w:val="20"/>
          <w:lang w:val="ru-RU"/>
        </w:rPr>
        <w:t>Следует ли амортизировать игроков, если да то на какой период?</w:t>
      </w:r>
    </w:p>
    <w:p w:rsidR="004014C6" w:rsidRDefault="004014C6">
      <w:pPr>
        <w:pStyle w:val="a5"/>
        <w:numPr>
          <w:ilvl w:val="0"/>
          <w:numId w:val="4"/>
        </w:numPr>
        <w:spacing w:before="120" w:beforeAutospacing="0" w:after="120" w:afterAutospacing="0" w:line="360" w:lineRule="auto"/>
        <w:rPr>
          <w:rFonts w:ascii="Palatino Linotype" w:eastAsia="Times New Roman" w:hAnsi="Palatino Linotype" w:cs="Times New Roman"/>
          <w:i/>
          <w:iCs/>
          <w:color w:val="auto"/>
          <w:sz w:val="20"/>
          <w:lang w:val="ru-RU"/>
        </w:rPr>
      </w:pPr>
      <w:r>
        <w:rPr>
          <w:rFonts w:ascii="Palatino Linotype" w:eastAsia="Times New Roman" w:hAnsi="Palatino Linotype" w:cs="Times New Roman"/>
          <w:i/>
          <w:iCs/>
          <w:color w:val="auto"/>
          <w:sz w:val="20"/>
          <w:lang w:val="ru-RU"/>
        </w:rPr>
        <w:t>Возможна ли переоценка игроков?</w:t>
      </w:r>
    </w:p>
    <w:p w:rsidR="004014C6" w:rsidRDefault="004014C6">
      <w:pPr>
        <w:pStyle w:val="a3"/>
        <w:spacing w:before="120" w:after="120" w:line="360" w:lineRule="auto"/>
        <w:rPr>
          <w:rFonts w:ascii="Palatino Linotype" w:hAnsi="Palatino Linotype"/>
          <w:b/>
          <w:bCs/>
          <w:sz w:val="20"/>
          <w:szCs w:val="20"/>
        </w:rPr>
      </w:pPr>
      <w:r>
        <w:rPr>
          <w:rFonts w:ascii="Palatino Linotype" w:hAnsi="Palatino Linotype"/>
          <w:b/>
          <w:bCs/>
          <w:sz w:val="20"/>
          <w:lang w:val="en-US"/>
        </w:rPr>
        <w:t>i</w:t>
      </w:r>
      <w:r>
        <w:rPr>
          <w:rFonts w:ascii="Palatino Linotype" w:hAnsi="Palatino Linotype"/>
          <w:b/>
          <w:bCs/>
          <w:sz w:val="20"/>
        </w:rPr>
        <w:t>. Представление игроков в финансовой отчетности.</w:t>
      </w:r>
    </w:p>
    <w:p w:rsidR="004014C6" w:rsidRDefault="004014C6">
      <w:pPr>
        <w:pStyle w:val="a3"/>
        <w:spacing w:before="120" w:after="120" w:line="360" w:lineRule="auto"/>
        <w:ind w:firstLine="720"/>
        <w:rPr>
          <w:rFonts w:ascii="Palatino Linotype" w:hAnsi="Palatino Linotype"/>
          <w:sz w:val="20"/>
          <w:szCs w:val="20"/>
        </w:rPr>
      </w:pPr>
      <w:r>
        <w:rPr>
          <w:rFonts w:ascii="Palatino Linotype" w:hAnsi="Palatino Linotype"/>
          <w:sz w:val="20"/>
          <w:szCs w:val="20"/>
        </w:rPr>
        <w:t>В современной практике бухгалтерского учета существует четыре метода представления человеческих ресурсов в финансовой отчетности – указание в отчете председателя правления, в отчете об изменении нематериальных активов, в пояснительной записке неподлежащей аудиту либо прямое интегрирование в балансе.</w:t>
      </w:r>
      <w:r>
        <w:rPr>
          <w:rStyle w:val="ac"/>
          <w:rFonts w:ascii="Palatino Linotype" w:hAnsi="Palatino Linotype"/>
          <w:sz w:val="20"/>
          <w:szCs w:val="20"/>
        </w:rPr>
        <w:footnoteReference w:id="6"/>
      </w:r>
      <w:r>
        <w:rPr>
          <w:rFonts w:ascii="Palatino Linotype" w:hAnsi="Palatino Linotype"/>
          <w:sz w:val="20"/>
          <w:szCs w:val="20"/>
        </w:rPr>
        <w:t xml:space="preserve"> Одним из методов представления игроков в отчетности является капитализация, что означает признание обязательств игрока перед хозяйствующим субьектом нематериальным активом. Из отчета об изменении нематериальных активов </w:t>
      </w:r>
      <w:r>
        <w:rPr>
          <w:rFonts w:ascii="Palatino Linotype" w:hAnsi="Palatino Linotype"/>
          <w:i/>
          <w:iCs/>
          <w:sz w:val="20"/>
          <w:szCs w:val="20"/>
        </w:rPr>
        <w:t>ФК</w:t>
      </w:r>
      <w:r>
        <w:rPr>
          <w:rFonts w:ascii="Palatino Linotype" w:hAnsi="Palatino Linotype"/>
          <w:sz w:val="20"/>
          <w:szCs w:val="20"/>
        </w:rPr>
        <w:t xml:space="preserve"> </w:t>
      </w:r>
      <w:r>
        <w:rPr>
          <w:rFonts w:ascii="Palatino Linotype" w:hAnsi="Palatino Linotype"/>
          <w:i/>
          <w:iCs/>
          <w:sz w:val="20"/>
          <w:szCs w:val="20"/>
        </w:rPr>
        <w:t xml:space="preserve">“Манчестер Юнайтед” </w:t>
      </w:r>
      <w:r>
        <w:rPr>
          <w:rFonts w:ascii="Palatino Linotype" w:hAnsi="Palatino Linotype"/>
          <w:sz w:val="20"/>
          <w:szCs w:val="20"/>
        </w:rPr>
        <w:t>следует что</w:t>
      </w:r>
      <w:r>
        <w:rPr>
          <w:rFonts w:ascii="Palatino Linotype" w:hAnsi="Palatino Linotype"/>
          <w:i/>
          <w:iCs/>
          <w:sz w:val="20"/>
          <w:szCs w:val="20"/>
        </w:rPr>
        <w:t xml:space="preserve">, </w:t>
      </w:r>
      <w:r>
        <w:rPr>
          <w:rFonts w:ascii="Palatino Linotype" w:hAnsi="Palatino Linotype"/>
          <w:sz w:val="20"/>
          <w:szCs w:val="20"/>
        </w:rPr>
        <w:t xml:space="preserve">часть затрат была капитализирована как внеоборотные нематериальные активы и </w:t>
      </w:r>
      <w:r>
        <w:rPr>
          <w:rFonts w:ascii="Palatino Linotype" w:hAnsi="Palatino Linotype"/>
          <w:sz w:val="20"/>
        </w:rPr>
        <w:t xml:space="preserve">вносились в учетные регистры как </w:t>
      </w:r>
      <w:r>
        <w:rPr>
          <w:rFonts w:ascii="Palatino Linotype" w:hAnsi="Palatino Linotype"/>
          <w:i/>
          <w:iCs/>
          <w:sz w:val="20"/>
        </w:rPr>
        <w:t>“</w:t>
      </w:r>
      <w:r>
        <w:rPr>
          <w:rFonts w:ascii="Palatino Linotype" w:hAnsi="Palatino Linotype"/>
          <w:i/>
          <w:iCs/>
          <w:sz w:val="20"/>
          <w:lang w:val="en-US"/>
        </w:rPr>
        <w:t>Player</w:t>
      </w:r>
      <w:r>
        <w:rPr>
          <w:rFonts w:ascii="Palatino Linotype" w:hAnsi="Palatino Linotype"/>
          <w:i/>
          <w:iCs/>
          <w:sz w:val="20"/>
        </w:rPr>
        <w:t xml:space="preserve"> </w:t>
      </w:r>
      <w:r>
        <w:rPr>
          <w:rFonts w:ascii="Palatino Linotype" w:hAnsi="Palatino Linotype"/>
          <w:i/>
          <w:iCs/>
          <w:sz w:val="20"/>
          <w:lang w:val="en-US"/>
        </w:rPr>
        <w:t>Registrations</w:t>
      </w:r>
      <w:r>
        <w:rPr>
          <w:rFonts w:ascii="Palatino Linotype" w:hAnsi="Palatino Linotype"/>
          <w:i/>
          <w:iCs/>
          <w:sz w:val="20"/>
        </w:rPr>
        <w:t xml:space="preserve"> </w:t>
      </w:r>
      <w:r>
        <w:rPr>
          <w:rFonts w:ascii="Palatino Linotype" w:hAnsi="Palatino Linotype"/>
          <w:i/>
          <w:iCs/>
          <w:sz w:val="20"/>
          <w:lang w:val="en-US"/>
        </w:rPr>
        <w:t>and</w:t>
      </w:r>
      <w:r>
        <w:rPr>
          <w:rFonts w:ascii="Palatino Linotype" w:hAnsi="Palatino Linotype"/>
          <w:i/>
          <w:iCs/>
          <w:sz w:val="20"/>
        </w:rPr>
        <w:t xml:space="preserve"> </w:t>
      </w:r>
      <w:r>
        <w:rPr>
          <w:rFonts w:ascii="Palatino Linotype" w:hAnsi="Palatino Linotype"/>
          <w:i/>
          <w:iCs/>
          <w:sz w:val="20"/>
          <w:lang w:val="en-US"/>
        </w:rPr>
        <w:t>Contracts</w:t>
      </w:r>
      <w:r>
        <w:rPr>
          <w:rFonts w:ascii="Palatino Linotype" w:hAnsi="Palatino Linotype"/>
          <w:i/>
          <w:iCs/>
          <w:sz w:val="20"/>
        </w:rPr>
        <w:t>”,</w:t>
      </w:r>
      <w:r>
        <w:rPr>
          <w:rFonts w:ascii="Palatino Linotype" w:hAnsi="Palatino Linotype"/>
          <w:sz w:val="20"/>
        </w:rPr>
        <w:t xml:space="preserve"> что означает “регистрация  игроков и контракты”</w:t>
      </w:r>
      <w:r>
        <w:rPr>
          <w:rStyle w:val="ac"/>
          <w:rFonts w:ascii="Palatino Linotype" w:hAnsi="Palatino Linotype"/>
          <w:sz w:val="20"/>
        </w:rPr>
        <w:footnoteReference w:id="7"/>
      </w:r>
      <w:r>
        <w:rPr>
          <w:rFonts w:ascii="Palatino Linotype" w:hAnsi="Palatino Linotype"/>
          <w:sz w:val="20"/>
        </w:rPr>
        <w:t xml:space="preserve">. </w:t>
      </w:r>
    </w:p>
    <w:p w:rsidR="004014C6" w:rsidRDefault="004014C6">
      <w:pPr>
        <w:pStyle w:val="a3"/>
        <w:spacing w:before="120" w:after="120" w:line="360" w:lineRule="auto"/>
        <w:rPr>
          <w:rFonts w:ascii="Palatino Linotype" w:hAnsi="Palatino Linotype"/>
          <w:b/>
          <w:bCs/>
          <w:sz w:val="20"/>
        </w:rPr>
      </w:pPr>
      <w:r>
        <w:rPr>
          <w:rFonts w:ascii="Palatino Linotype" w:hAnsi="Palatino Linotype"/>
          <w:b/>
          <w:bCs/>
          <w:sz w:val="20"/>
          <w:lang w:val="en-US"/>
        </w:rPr>
        <w:t>ii</w:t>
      </w:r>
      <w:r>
        <w:rPr>
          <w:rFonts w:ascii="Palatino Linotype" w:hAnsi="Palatino Linotype"/>
          <w:b/>
          <w:bCs/>
          <w:sz w:val="20"/>
        </w:rPr>
        <w:t>. По какой стоимости следует капитализировать игроков в балансе?</w:t>
      </w:r>
    </w:p>
    <w:p w:rsidR="004014C6" w:rsidRDefault="004014C6">
      <w:pPr>
        <w:pStyle w:val="a3"/>
        <w:spacing w:before="120" w:after="120" w:line="360" w:lineRule="auto"/>
        <w:ind w:firstLine="720"/>
        <w:rPr>
          <w:rFonts w:ascii="Palatino Linotype" w:hAnsi="Palatino Linotype"/>
          <w:sz w:val="20"/>
          <w:szCs w:val="20"/>
        </w:rPr>
      </w:pPr>
      <w:r>
        <w:rPr>
          <w:rFonts w:ascii="Palatino Linotype" w:hAnsi="Palatino Linotype"/>
          <w:sz w:val="20"/>
        </w:rPr>
        <w:t>Определение стоимости нематериальных активов, возможно, является самой тяжелой в работе бухгалтера. Существуют разные методы выявления стоимости такие как -  первоначальная стоимость, стоимость возможной замены и стоимость альтернативн</w:t>
      </w:r>
      <w:r>
        <w:rPr>
          <w:rFonts w:ascii="Palatino Linotype" w:hAnsi="Palatino Linotype"/>
          <w:sz w:val="20"/>
          <w:szCs w:val="20"/>
        </w:rPr>
        <w:t xml:space="preserve">ых издержек. У каждого из них есть свои плюсы и минусы. Тем не менее, наш случай менее комплексен по своему содержанию, поскольку существует активный рынок, где ежегодно ведется купля-продажа игроков. И именно поэтому футбольные клубы могут капитализировать игроков по цене приобретения. </w:t>
      </w:r>
    </w:p>
    <w:p w:rsidR="004014C6" w:rsidRDefault="004014C6">
      <w:pPr>
        <w:pStyle w:val="a3"/>
        <w:spacing w:before="120" w:after="120" w:line="360" w:lineRule="auto"/>
        <w:ind w:firstLine="720"/>
        <w:rPr>
          <w:rFonts w:ascii="Palatino Linotype" w:hAnsi="Palatino Linotype"/>
          <w:sz w:val="20"/>
          <w:szCs w:val="20"/>
        </w:rPr>
      </w:pPr>
      <w:r>
        <w:rPr>
          <w:rFonts w:ascii="Palatino Linotype" w:hAnsi="Palatino Linotype"/>
          <w:sz w:val="20"/>
          <w:szCs w:val="20"/>
        </w:rPr>
        <w:t xml:space="preserve">Но тогда как же быть с неприобретенными игроками точнее с  “разработанными” внутри. Согласно FRS 10 такие игроки не капитализируются, хотя данное противоречит принципу соответствия и не обеспечивает должной информацией потенциальных инвесторов. Некоторые клубы капитализируют затраты связанные с развитием “своих” игроков на основе затратного подхода,  капитализируя все затраты понесенные для доведения их в “рабочее состояние”. Вместе с тем возникает следующая проблема – клуб не может быть уверен, что молодой футболист внесет существенный вклад с успех команды. Руководство Манчестер Юнайтед решила данную проблему творчески – ежегодно клуб приглашает независимую оценочную комиссию, которая измеряет стоимость игроков  в случае спорных ситуаций. Так что данное лишний раз доказывает, что любая проблема решаема. </w:t>
      </w:r>
    </w:p>
    <w:p w:rsidR="004014C6" w:rsidRDefault="004014C6">
      <w:pPr>
        <w:pStyle w:val="a3"/>
        <w:spacing w:before="120" w:after="120" w:line="360" w:lineRule="auto"/>
        <w:rPr>
          <w:rFonts w:ascii="Palatino Linotype" w:hAnsi="Palatino Linotype"/>
          <w:b/>
          <w:bCs/>
          <w:sz w:val="20"/>
        </w:rPr>
      </w:pPr>
      <w:r>
        <w:rPr>
          <w:rFonts w:ascii="Palatino Linotype" w:hAnsi="Palatino Linotype"/>
          <w:b/>
          <w:bCs/>
          <w:sz w:val="20"/>
        </w:rPr>
        <w:t>iii. Следует ли амортизировать игроков, если да то на какой период?</w:t>
      </w:r>
    </w:p>
    <w:p w:rsidR="004014C6" w:rsidRDefault="004014C6">
      <w:pPr>
        <w:pStyle w:val="a3"/>
        <w:spacing w:before="120" w:after="120" w:line="360" w:lineRule="auto"/>
        <w:ind w:firstLine="720"/>
        <w:rPr>
          <w:rFonts w:ascii="Palatino Linotype" w:hAnsi="Palatino Linotype"/>
          <w:sz w:val="20"/>
        </w:rPr>
      </w:pPr>
      <w:r>
        <w:rPr>
          <w:rFonts w:ascii="Palatino Linotype" w:hAnsi="Palatino Linotype"/>
          <w:sz w:val="20"/>
          <w:szCs w:val="20"/>
        </w:rPr>
        <w:t xml:space="preserve">Для установления соответствия между расходами и доходами </w:t>
      </w:r>
      <w:r>
        <w:rPr>
          <w:rFonts w:ascii="Palatino Linotype" w:hAnsi="Palatino Linotype"/>
          <w:sz w:val="20"/>
        </w:rPr>
        <w:t xml:space="preserve">затраты на приобретение распределяют на весь срок действия контракта, а не относят на расходы текущего периода. В нашем случае, это называется амортизацией. Внеоборотные активы обычно вносятся в учетные регистры по цене приобретения и амортизируются на весь срок экономической службы. Амортизационные отчисления за отчетный период признаются в качестве нормальных, деловых расходов. </w:t>
      </w:r>
      <w:r>
        <w:rPr>
          <w:rFonts w:ascii="Palatino Linotype" w:hAnsi="Palatino Linotype"/>
          <w:sz w:val="20"/>
          <w:szCs w:val="20"/>
        </w:rPr>
        <w:t>Для определения величины амортизационных отчислений стоимость нематериального актива на момент окончания срока полезного использования принимается равной нулю, если нет доказательств того, что она может быть иной. Примером такого доказательства может служить наличие активного рынка для объекта, на котором можно будет оценить его стоимость в будущем и высокая вероятность сохранения такого рынка к окончанию срока полезного использования объекта.</w:t>
      </w:r>
    </w:p>
    <w:p w:rsidR="004014C6" w:rsidRDefault="004014C6">
      <w:pPr>
        <w:pStyle w:val="a3"/>
        <w:spacing w:before="120" w:after="120" w:line="360" w:lineRule="auto"/>
        <w:ind w:firstLine="720"/>
        <w:rPr>
          <w:rFonts w:ascii="Palatino Linotype" w:hAnsi="Palatino Linotype"/>
          <w:sz w:val="20"/>
        </w:rPr>
      </w:pPr>
      <w:r>
        <w:rPr>
          <w:rFonts w:ascii="Palatino Linotype" w:hAnsi="Palatino Linotype"/>
          <w:sz w:val="20"/>
        </w:rPr>
        <w:t>В учетной политике футбольного клуба</w:t>
      </w:r>
      <w:r>
        <w:rPr>
          <w:rFonts w:ascii="Palatino Linotype" w:hAnsi="Palatino Linotype"/>
          <w:i/>
          <w:iCs/>
          <w:sz w:val="20"/>
        </w:rPr>
        <w:t xml:space="preserve"> “Манчестер Юнайтед“ </w:t>
      </w:r>
      <w:r>
        <w:rPr>
          <w:rFonts w:ascii="Palatino Linotype" w:hAnsi="Palatino Linotype"/>
          <w:sz w:val="20"/>
        </w:rPr>
        <w:t>сказано что, затраты связанные с приобретением игроков капитализируются как нематериальные активы. На игрока начисляется амортизация в течение срока действия контракта прямолинейным способом. В случае продления контракта неамортизированная стоимость на дату поправки распределяется на новый срок действия контракта</w:t>
      </w:r>
      <w:r>
        <w:rPr>
          <w:rStyle w:val="ac"/>
          <w:rFonts w:ascii="Palatino Linotype" w:hAnsi="Palatino Linotype"/>
          <w:sz w:val="20"/>
        </w:rPr>
        <w:footnoteReference w:id="8"/>
      </w:r>
      <w:r>
        <w:rPr>
          <w:rFonts w:ascii="Palatino Linotype" w:hAnsi="Palatino Linotype"/>
          <w:sz w:val="20"/>
        </w:rPr>
        <w:t xml:space="preserve">. </w:t>
      </w:r>
    </w:p>
    <w:p w:rsidR="004014C6" w:rsidRDefault="004014C6">
      <w:pPr>
        <w:pStyle w:val="a3"/>
        <w:spacing w:before="120" w:after="120" w:line="360" w:lineRule="auto"/>
        <w:rPr>
          <w:rFonts w:ascii="Palatino Linotype" w:hAnsi="Palatino Linotype"/>
          <w:b/>
          <w:bCs/>
          <w:sz w:val="20"/>
        </w:rPr>
      </w:pPr>
      <w:r>
        <w:rPr>
          <w:rFonts w:ascii="Palatino Linotype" w:hAnsi="Palatino Linotype"/>
          <w:b/>
          <w:bCs/>
          <w:sz w:val="20"/>
          <w:lang w:val="en-US"/>
        </w:rPr>
        <w:t>iv</w:t>
      </w:r>
      <w:r>
        <w:rPr>
          <w:rFonts w:ascii="Palatino Linotype" w:hAnsi="Palatino Linotype"/>
          <w:b/>
          <w:bCs/>
          <w:sz w:val="20"/>
        </w:rPr>
        <w:t>. Возможна ли переоценка игроков?</w:t>
      </w:r>
    </w:p>
    <w:p w:rsidR="004014C6" w:rsidRDefault="004014C6">
      <w:pPr>
        <w:pStyle w:val="a3"/>
        <w:spacing w:before="120" w:after="120" w:line="360" w:lineRule="auto"/>
        <w:ind w:firstLine="720"/>
        <w:rPr>
          <w:rFonts w:ascii="Palatino Linotype" w:hAnsi="Palatino Linotype"/>
          <w:sz w:val="20"/>
          <w:szCs w:val="20"/>
          <w:vertAlign w:val="superscript"/>
          <w:lang w:val="en-US"/>
        </w:rPr>
      </w:pPr>
      <w:r>
        <w:rPr>
          <w:rFonts w:ascii="Palatino Linotype" w:hAnsi="Palatino Linotype"/>
          <w:sz w:val="20"/>
          <w:szCs w:val="20"/>
        </w:rPr>
        <w:t xml:space="preserve">После признания на балансе нематериальные активы отражаются по первоначальной стоимости за вычетом накопленной амортизации и убытков от снижения стоимости. Вместе с тем допускается применение альтернативного подхода - переоценка нематериальных активов. В этом случае объект нематериальных активов показывается по </w:t>
      </w:r>
      <w:r>
        <w:rPr>
          <w:rFonts w:ascii="Palatino Linotype" w:hAnsi="Palatino Linotype"/>
          <w:i/>
          <w:iCs/>
          <w:sz w:val="20"/>
          <w:szCs w:val="20"/>
        </w:rPr>
        <w:t>справедливой стоимости</w:t>
      </w:r>
      <w:r>
        <w:rPr>
          <w:rFonts w:ascii="Palatino Linotype" w:hAnsi="Palatino Linotype"/>
          <w:sz w:val="20"/>
          <w:szCs w:val="20"/>
        </w:rPr>
        <w:t xml:space="preserve"> на дату переоценки за минусом накопленной амортизации и убытков от снижения стоимости. Справедливая стоимость определяется только при наличии </w:t>
      </w:r>
      <w:r>
        <w:rPr>
          <w:rFonts w:ascii="Palatino Linotype" w:hAnsi="Palatino Linotype"/>
          <w:i/>
          <w:iCs/>
          <w:sz w:val="20"/>
          <w:szCs w:val="20"/>
        </w:rPr>
        <w:t>активного рынка</w:t>
      </w:r>
      <w:r>
        <w:rPr>
          <w:rFonts w:ascii="Palatino Linotype" w:hAnsi="Palatino Linotype"/>
          <w:sz w:val="20"/>
          <w:szCs w:val="20"/>
        </w:rPr>
        <w:t xml:space="preserve"> для конкретного объекта</w:t>
      </w:r>
      <w:r>
        <w:rPr>
          <w:rFonts w:ascii="Palatino Linotype" w:hAnsi="Palatino Linotype"/>
          <w:sz w:val="20"/>
          <w:vertAlign w:val="superscript"/>
        </w:rPr>
        <w:footnoteReference w:id="9"/>
      </w:r>
      <w:r>
        <w:rPr>
          <w:rFonts w:ascii="Palatino Linotype" w:hAnsi="Palatino Linotype"/>
          <w:sz w:val="20"/>
          <w:szCs w:val="20"/>
        </w:rPr>
        <w:t>.</w:t>
      </w:r>
      <w:r>
        <w:rPr>
          <w:rFonts w:ascii="Palatino Linotype" w:hAnsi="Palatino Linotype"/>
          <w:sz w:val="20"/>
          <w:szCs w:val="20"/>
          <w:vertAlign w:val="superscript"/>
        </w:rPr>
        <w:t xml:space="preserve"> </w:t>
      </w:r>
    </w:p>
    <w:p w:rsidR="004014C6" w:rsidRDefault="004014C6">
      <w:pPr>
        <w:pStyle w:val="a3"/>
        <w:spacing w:before="120" w:after="120" w:line="360" w:lineRule="auto"/>
        <w:ind w:firstLine="720"/>
        <w:rPr>
          <w:rFonts w:ascii="Palatino Linotype" w:hAnsi="Palatino Linotype"/>
          <w:sz w:val="20"/>
          <w:szCs w:val="20"/>
        </w:rPr>
      </w:pPr>
      <w:r>
        <w:rPr>
          <w:rFonts w:ascii="Palatino Linotype" w:hAnsi="Palatino Linotype"/>
          <w:sz w:val="20"/>
          <w:szCs w:val="20"/>
        </w:rPr>
        <w:t>Как и все нематериальные активы, игроки списываются с баланса при выбытии. Кроме того, они должны быть списаны, если не будут приносить будущих экономических выгод. Прибыль или убыток, образующийся при выбытии объекта как разница между тем, что компания получает при его выбытии, и остаточной стоимостью, отражаются в учете как доход или расход. Для снижения неопределенности, на случай если игрок покинет клуб, создается резерв на выбытие. Ниже приводится трансформационная запись</w:t>
      </w:r>
      <w:r>
        <w:rPr>
          <w:rStyle w:val="ac"/>
          <w:rFonts w:ascii="Palatino Linotype" w:hAnsi="Palatino Linotype"/>
          <w:sz w:val="20"/>
          <w:szCs w:val="20"/>
        </w:rPr>
        <w:footnoteReference w:id="10"/>
      </w:r>
      <w:r>
        <w:rPr>
          <w:rFonts w:ascii="Palatino Linotype" w:hAnsi="Palatino Linotype"/>
          <w:sz w:val="20"/>
          <w:szCs w:val="20"/>
        </w:rPr>
        <w:t>:</w:t>
      </w:r>
    </w:p>
    <w:p w:rsidR="004014C6" w:rsidRDefault="004014C6">
      <w:pPr>
        <w:pStyle w:val="a3"/>
        <w:spacing w:before="120" w:after="120"/>
        <w:ind w:firstLine="720"/>
        <w:rPr>
          <w:rFonts w:ascii="Palatino Linotype" w:hAnsi="Palatino Linotype"/>
          <w:sz w:val="20"/>
          <w:szCs w:val="20"/>
        </w:rPr>
      </w:pPr>
      <w:r>
        <w:rPr>
          <w:rFonts w:ascii="Palatino Linotype" w:hAnsi="Palatino Linotype"/>
          <w:sz w:val="20"/>
          <w:szCs w:val="20"/>
        </w:rPr>
        <w:t>Дт Расходы по созданию резерва на выбытие</w:t>
      </w:r>
    </w:p>
    <w:p w:rsidR="004014C6" w:rsidRDefault="004014C6">
      <w:pPr>
        <w:pStyle w:val="a3"/>
        <w:spacing w:before="120" w:after="120"/>
        <w:ind w:left="720" w:firstLine="720"/>
        <w:rPr>
          <w:rFonts w:ascii="Palatino Linotype" w:hAnsi="Palatino Linotype"/>
          <w:b/>
          <w:bCs/>
          <w:i/>
          <w:iCs/>
          <w:sz w:val="20"/>
          <w:szCs w:val="20"/>
        </w:rPr>
      </w:pPr>
      <w:r>
        <w:rPr>
          <w:rFonts w:ascii="Palatino Linotype" w:hAnsi="Palatino Linotype"/>
          <w:sz w:val="20"/>
          <w:szCs w:val="20"/>
        </w:rPr>
        <w:t>Кт Резерв на ожидаемое выбытие</w:t>
      </w:r>
    </w:p>
    <w:p w:rsidR="004014C6" w:rsidRDefault="004014C6">
      <w:pPr>
        <w:pStyle w:val="a3"/>
        <w:spacing w:before="120" w:after="120" w:line="360" w:lineRule="auto"/>
        <w:rPr>
          <w:rFonts w:ascii="Palatino Linotype" w:hAnsi="Palatino Linotype"/>
          <w:b/>
          <w:bCs/>
          <w:i/>
          <w:iCs/>
          <w:sz w:val="20"/>
          <w:szCs w:val="20"/>
        </w:rPr>
      </w:pPr>
      <w:r>
        <w:rPr>
          <w:rFonts w:ascii="Palatino Linotype" w:hAnsi="Palatino Linotype"/>
          <w:b/>
          <w:bCs/>
          <w:caps/>
          <w:sz w:val="20"/>
        </w:rPr>
        <w:t>4. Финансовые отчеты ФК “Манчестер Юнайтед“</w:t>
      </w:r>
    </w:p>
    <w:p w:rsidR="004014C6" w:rsidRDefault="004014C6">
      <w:pPr>
        <w:pStyle w:val="a3"/>
        <w:spacing w:before="120" w:after="120" w:line="360" w:lineRule="auto"/>
        <w:rPr>
          <w:rFonts w:ascii="Palatino Linotype" w:hAnsi="Palatino Linotype"/>
          <w:b/>
          <w:bCs/>
          <w:sz w:val="20"/>
        </w:rPr>
      </w:pPr>
      <w:r>
        <w:rPr>
          <w:rFonts w:ascii="Palatino Linotype" w:hAnsi="Palatino Linotype" w:cs="Arial"/>
          <w:b/>
          <w:bCs/>
          <w:sz w:val="20"/>
          <w:szCs w:val="20"/>
        </w:rPr>
        <w:t>Консолидированный бухгалтерский баланс Manchester United PLC на 31 июля 2003 г *</w:t>
      </w:r>
    </w:p>
    <w:tbl>
      <w:tblPr>
        <w:tblW w:w="8751" w:type="dxa"/>
        <w:tblCellMar>
          <w:left w:w="0" w:type="dxa"/>
          <w:right w:w="0" w:type="dxa"/>
        </w:tblCellMar>
        <w:tblLook w:val="0000" w:firstRow="0" w:lastRow="0" w:firstColumn="0" w:lastColumn="0" w:noHBand="0" w:noVBand="0"/>
      </w:tblPr>
      <w:tblGrid>
        <w:gridCol w:w="6359"/>
        <w:gridCol w:w="1166"/>
        <w:gridCol w:w="1226"/>
      </w:tblGrid>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 xml:space="preserve"> 2002 £’000</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 xml:space="preserve">  2003 £’000</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Внеоборотные активы</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55"/>
        </w:trPr>
        <w:tc>
          <w:tcPr>
            <w:tcW w:w="6359"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 xml:space="preserve">Нематериальные активы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55,299</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82,209</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 xml:space="preserve">Материальные активы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125,526</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128,329</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rPr>
                <w:rFonts w:ascii="Palatino Linotype" w:eastAsia="Times New Roman" w:hAnsi="Palatino Linotype" w:cs="Arial"/>
                <w:lang w:val="ru-RU"/>
              </w:rPr>
            </w:pPr>
            <w:r>
              <w:rPr>
                <w:rFonts w:ascii="Palatino Linotype" w:eastAsia="Times New Roman" w:hAnsi="Palatino Linotype" w:cs="Arial"/>
                <w:lang w:val="ru-RU"/>
              </w:rPr>
              <w:t>Займы в совместную деятельность</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1,000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1,000</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Инвестиции в ассоциированную деятельность</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189</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789</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Инвестиции в собственный капитал</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415</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182,429</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212,327</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Оборотные активы</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Ценные бумаги</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rPr>
            </w:pPr>
            <w:r>
              <w:rPr>
                <w:rFonts w:ascii="Palatino Linotype" w:hAnsi="Palatino Linotype" w:cs="Arial"/>
                <w:b/>
                <w:bCs/>
                <w:sz w:val="20"/>
                <w:szCs w:val="20"/>
              </w:rPr>
              <w:t>208</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rPr>
            </w:pPr>
            <w:r>
              <w:rPr>
                <w:rFonts w:ascii="Palatino Linotype" w:hAnsi="Palatino Linotype" w:cs="Arial"/>
                <w:sz w:val="20"/>
                <w:szCs w:val="20"/>
              </w:rPr>
              <w:t>196</w:t>
            </w:r>
          </w:p>
        </w:tc>
      </w:tr>
      <w:tr w:rsidR="004014C6">
        <w:trPr>
          <w:trHeight w:val="255"/>
        </w:trPr>
        <w:tc>
          <w:tcPr>
            <w:tcW w:w="6359" w:type="dxa"/>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Краткосрочная дебиторская задолженность</w:t>
            </w:r>
          </w:p>
        </w:tc>
        <w:tc>
          <w:tcPr>
            <w:tcW w:w="0" w:type="auto"/>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30,756</w:t>
            </w:r>
          </w:p>
        </w:tc>
        <w:tc>
          <w:tcPr>
            <w:tcW w:w="0" w:type="auto"/>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30,744</w:t>
            </w:r>
          </w:p>
        </w:tc>
      </w:tr>
      <w:tr w:rsidR="004014C6">
        <w:trPr>
          <w:trHeight w:val="255"/>
        </w:trPr>
        <w:tc>
          <w:tcPr>
            <w:tcW w:w="6359"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Долгосрочная дебиторская задолженность</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13,219</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1,535</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Нематериальные активы к продаже</w:t>
            </w:r>
          </w:p>
        </w:tc>
        <w:tc>
          <w:tcPr>
            <w:tcW w:w="0" w:type="auto"/>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11,941</w:t>
            </w:r>
          </w:p>
        </w:tc>
        <w:tc>
          <w:tcPr>
            <w:tcW w:w="0" w:type="auto"/>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Денежные средства и их эквиваленты</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28,576</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933</w:t>
            </w:r>
          </w:p>
        </w:tc>
      </w:tr>
      <w:tr w:rsidR="004014C6">
        <w:trPr>
          <w:trHeight w:val="255"/>
        </w:trPr>
        <w:tc>
          <w:tcPr>
            <w:tcW w:w="6359" w:type="dxa"/>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p>
        </w:tc>
        <w:tc>
          <w:tcPr>
            <w:tcW w:w="0" w:type="auto"/>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84,7</w:t>
            </w:r>
          </w:p>
        </w:tc>
        <w:tc>
          <w:tcPr>
            <w:tcW w:w="0" w:type="auto"/>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33,408</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70"/>
        </w:trPr>
        <w:tc>
          <w:tcPr>
            <w:tcW w:w="6359" w:type="dxa"/>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Краткосрочные обязательства</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rPr>
            </w:pPr>
            <w:r>
              <w:rPr>
                <w:rFonts w:ascii="Palatino Linotype" w:hAnsi="Palatino Linotype" w:cs="Arial"/>
                <w:b/>
                <w:bCs/>
                <w:sz w:val="20"/>
                <w:szCs w:val="20"/>
              </w:rPr>
              <w:t>(</w:t>
            </w:r>
            <w:r>
              <w:rPr>
                <w:rFonts w:ascii="Palatino Linotype" w:hAnsi="Palatino Linotype" w:cs="Arial"/>
                <w:b/>
                <w:bCs/>
                <w:sz w:val="20"/>
                <w:szCs w:val="20"/>
                <w:lang w:val="ru-RU"/>
              </w:rPr>
              <w:t>50,202</w:t>
            </w:r>
            <w:r>
              <w:rPr>
                <w:rFonts w:ascii="Palatino Linotype" w:hAnsi="Palatino Linotype" w:cs="Arial"/>
                <w:b/>
                <w:bCs/>
                <w:sz w:val="20"/>
                <w:szCs w:val="20"/>
              </w:rPr>
              <w:t>)</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rPr>
            </w:pPr>
            <w:r>
              <w:rPr>
                <w:rFonts w:ascii="Palatino Linotype" w:hAnsi="Palatino Linotype" w:cs="Arial"/>
                <w:sz w:val="20"/>
                <w:szCs w:val="20"/>
              </w:rPr>
              <w:t>(</w:t>
            </w:r>
            <w:r>
              <w:rPr>
                <w:rFonts w:ascii="Palatino Linotype" w:hAnsi="Palatino Linotype" w:cs="Arial"/>
                <w:sz w:val="20"/>
                <w:szCs w:val="20"/>
                <w:lang w:val="ru-RU"/>
              </w:rPr>
              <w:t>53,459</w:t>
            </w:r>
            <w:r>
              <w:rPr>
                <w:rFonts w:ascii="Palatino Linotype" w:hAnsi="Palatino Linotype" w:cs="Arial"/>
                <w:sz w:val="20"/>
                <w:szCs w:val="20"/>
              </w:rPr>
              <w:t>)</w:t>
            </w:r>
          </w:p>
        </w:tc>
      </w:tr>
      <w:tr w:rsidR="004014C6">
        <w:trPr>
          <w:trHeight w:val="270"/>
        </w:trPr>
        <w:tc>
          <w:tcPr>
            <w:tcW w:w="6359"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Чистые текущие активы/(обязательства)</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34,498</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(20,051)</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Всего активов за вычетом обязательств</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216,927</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192,276</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70"/>
        </w:trPr>
        <w:tc>
          <w:tcPr>
            <w:tcW w:w="6359"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Долгосрочные обязательства</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(2,391)</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(688)</w:t>
            </w:r>
          </w:p>
        </w:tc>
      </w:tr>
      <w:tr w:rsidR="004014C6">
        <w:trPr>
          <w:trHeight w:val="270"/>
        </w:trPr>
        <w:tc>
          <w:tcPr>
            <w:tcW w:w="6359"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Отчисления для обязательств и на уплату взысканий</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Отсроченные налоги</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rPr>
            </w:pPr>
            <w:r>
              <w:rPr>
                <w:rFonts w:ascii="Palatino Linotype" w:hAnsi="Palatino Linotype" w:cs="Arial"/>
                <w:b/>
                <w:bCs/>
                <w:sz w:val="20"/>
                <w:szCs w:val="20"/>
              </w:rPr>
              <w:t>(</w:t>
            </w:r>
            <w:r>
              <w:rPr>
                <w:rFonts w:ascii="Palatino Linotype" w:hAnsi="Palatino Linotype" w:cs="Arial"/>
                <w:b/>
                <w:bCs/>
                <w:sz w:val="20"/>
                <w:szCs w:val="20"/>
                <w:lang w:val="ru-RU"/>
              </w:rPr>
              <w:t>5,506</w:t>
            </w:r>
            <w:r>
              <w:rPr>
                <w:rFonts w:ascii="Palatino Linotype" w:hAnsi="Palatino Linotype" w:cs="Arial"/>
                <w:b/>
                <w:bCs/>
                <w:sz w:val="20"/>
                <w:szCs w:val="20"/>
              </w:rPr>
              <w:t>)</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rPr>
            </w:pPr>
            <w:r>
              <w:rPr>
                <w:rFonts w:ascii="Palatino Linotype" w:hAnsi="Palatino Linotype" w:cs="Arial"/>
                <w:sz w:val="20"/>
                <w:szCs w:val="20"/>
              </w:rPr>
              <w:t>(</w:t>
            </w:r>
            <w:r>
              <w:rPr>
                <w:rFonts w:ascii="Palatino Linotype" w:hAnsi="Palatino Linotype" w:cs="Arial"/>
                <w:sz w:val="20"/>
                <w:szCs w:val="20"/>
                <w:lang w:val="ru-RU"/>
              </w:rPr>
              <w:t>5,247</w:t>
            </w:r>
            <w:r>
              <w:rPr>
                <w:rFonts w:ascii="Palatino Linotype" w:hAnsi="Palatino Linotype" w:cs="Arial"/>
                <w:sz w:val="20"/>
                <w:szCs w:val="20"/>
              </w:rPr>
              <w:t>)</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Инвестиции в совместную деятельность:</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55"/>
        </w:trPr>
        <w:tc>
          <w:tcPr>
            <w:tcW w:w="6359" w:type="dxa"/>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 Доля в валовых активах</w:t>
            </w:r>
          </w:p>
        </w:tc>
        <w:tc>
          <w:tcPr>
            <w:tcW w:w="0" w:type="auto"/>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375</w:t>
            </w:r>
          </w:p>
        </w:tc>
        <w:tc>
          <w:tcPr>
            <w:tcW w:w="0" w:type="auto"/>
            <w:tcBorders>
              <w:top w:val="nil"/>
              <w:left w:val="nil"/>
              <w:bottom w:val="nil"/>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391</w:t>
            </w:r>
          </w:p>
        </w:tc>
      </w:tr>
      <w:tr w:rsidR="004014C6">
        <w:trPr>
          <w:trHeight w:val="255"/>
        </w:trPr>
        <w:tc>
          <w:tcPr>
            <w:tcW w:w="6359"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 Доля в валовых обязательствах</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rPr>
            </w:pPr>
            <w:r>
              <w:rPr>
                <w:rFonts w:ascii="Palatino Linotype" w:hAnsi="Palatino Linotype" w:cs="Arial"/>
                <w:b/>
                <w:bCs/>
                <w:sz w:val="20"/>
                <w:szCs w:val="20"/>
              </w:rPr>
              <w:t>(</w:t>
            </w:r>
            <w:r>
              <w:rPr>
                <w:rFonts w:ascii="Palatino Linotype" w:hAnsi="Palatino Linotype" w:cs="Arial"/>
                <w:b/>
                <w:bCs/>
                <w:sz w:val="20"/>
                <w:szCs w:val="20"/>
                <w:lang w:val="ru-RU"/>
              </w:rPr>
              <w:t>4,641</w:t>
            </w:r>
            <w:r>
              <w:rPr>
                <w:rFonts w:ascii="Palatino Linotype" w:hAnsi="Palatino Linotype" w:cs="Arial"/>
                <w:b/>
                <w:bCs/>
                <w:sz w:val="20"/>
                <w:szCs w:val="20"/>
              </w:rPr>
              <w:t>)</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rPr>
            </w:pPr>
            <w:r>
              <w:rPr>
                <w:rFonts w:ascii="Palatino Linotype" w:hAnsi="Palatino Linotype" w:cs="Arial"/>
                <w:sz w:val="20"/>
                <w:szCs w:val="20"/>
              </w:rPr>
              <w:t>(</w:t>
            </w:r>
            <w:r>
              <w:rPr>
                <w:rFonts w:ascii="Palatino Linotype" w:hAnsi="Palatino Linotype" w:cs="Arial"/>
                <w:sz w:val="20"/>
                <w:szCs w:val="20"/>
                <w:lang w:val="ru-RU"/>
              </w:rPr>
              <w:t>3,812</w:t>
            </w:r>
            <w:r>
              <w:rPr>
                <w:rFonts w:ascii="Palatino Linotype" w:hAnsi="Palatino Linotype" w:cs="Arial"/>
                <w:sz w:val="20"/>
                <w:szCs w:val="20"/>
              </w:rPr>
              <w:t>)</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4,266</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3,421</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Начисленные и отсроченные доходы</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Отсроченные доходы от основной деятельности</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(1,011)</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(1,941)</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Прочие отсроченные доходы</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(46,920)</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44,283</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Чистые активы</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156,833</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137,443</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Капитал и резервы</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Акционерный капитал</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25,977</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25,977</w:t>
            </w:r>
          </w:p>
        </w:tc>
      </w:tr>
      <w:tr w:rsidR="004014C6">
        <w:trPr>
          <w:trHeight w:val="255"/>
        </w:trPr>
        <w:tc>
          <w:tcPr>
            <w:tcW w:w="6359" w:type="dxa"/>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Прочие резервы</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500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lang w:val="ru-RU"/>
              </w:rPr>
            </w:pPr>
            <w:r>
              <w:rPr>
                <w:rFonts w:ascii="Palatino Linotype" w:hAnsi="Palatino Linotype" w:cs="Arial"/>
                <w:sz w:val="20"/>
                <w:szCs w:val="20"/>
                <w:lang w:val="ru-RU"/>
              </w:rPr>
              <w:t>500</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sz w:val="20"/>
                <w:szCs w:val="20"/>
                <w:lang w:val="ru-RU"/>
              </w:rPr>
            </w:pPr>
            <w:r>
              <w:rPr>
                <w:rFonts w:ascii="Palatino Linotype" w:hAnsi="Palatino Linotype" w:cs="Arial"/>
                <w:sz w:val="20"/>
                <w:szCs w:val="20"/>
                <w:lang w:val="ru-RU"/>
              </w:rPr>
              <w:t>Прибыль и убытки</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rPr>
            </w:pPr>
            <w:r>
              <w:rPr>
                <w:rFonts w:ascii="Palatino Linotype" w:hAnsi="Palatino Linotype" w:cs="Arial"/>
                <w:b/>
                <w:bCs/>
                <w:sz w:val="20"/>
                <w:szCs w:val="20"/>
              </w:rPr>
              <w:t>130,356</w:t>
            </w:r>
          </w:p>
        </w:tc>
        <w:tc>
          <w:tcPr>
            <w:tcW w:w="0" w:type="auto"/>
            <w:tcBorders>
              <w:top w:val="single" w:sz="4" w:space="0" w:color="auto"/>
              <w:left w:val="nil"/>
              <w:bottom w:val="single" w:sz="8" w:space="0" w:color="auto"/>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rPr>
            </w:pPr>
            <w:r>
              <w:rPr>
                <w:rFonts w:ascii="Palatino Linotype" w:hAnsi="Palatino Linotype" w:cs="Arial"/>
                <w:sz w:val="20"/>
                <w:szCs w:val="20"/>
              </w:rPr>
              <w:t>110,966</w:t>
            </w:r>
          </w:p>
        </w:tc>
      </w:tr>
      <w:tr w:rsidR="004014C6">
        <w:trPr>
          <w:trHeight w:val="270"/>
        </w:trPr>
        <w:tc>
          <w:tcPr>
            <w:tcW w:w="6359" w:type="dxa"/>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rPr>
                <w:rFonts w:ascii="Palatino Linotype" w:eastAsia="Arial Unicode MS" w:hAnsi="Palatino Linotype" w:cs="Arial"/>
                <w:b/>
                <w:bCs/>
                <w:sz w:val="20"/>
                <w:szCs w:val="20"/>
              </w:rPr>
            </w:pPr>
            <w:r>
              <w:rPr>
                <w:rFonts w:ascii="Palatino Linotype" w:hAnsi="Palatino Linotype" w:cs="Arial"/>
                <w:b/>
                <w:bCs/>
                <w:sz w:val="20"/>
                <w:szCs w:val="20"/>
                <w:lang w:val="ru-RU"/>
              </w:rPr>
              <w:t>Всего</w:t>
            </w:r>
            <w:r>
              <w:rPr>
                <w:rFonts w:ascii="Palatino Linotype" w:hAnsi="Palatino Linotype" w:cs="Arial"/>
                <w:b/>
                <w:bCs/>
                <w:sz w:val="20"/>
                <w:szCs w:val="20"/>
              </w:rPr>
              <w:t xml:space="preserve"> капитал</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b/>
                <w:bCs/>
                <w:sz w:val="20"/>
                <w:szCs w:val="20"/>
              </w:rPr>
            </w:pPr>
            <w:r>
              <w:rPr>
                <w:rFonts w:ascii="Palatino Linotype" w:hAnsi="Palatino Linotype" w:cs="Arial"/>
                <w:b/>
                <w:bCs/>
                <w:sz w:val="20"/>
                <w:szCs w:val="20"/>
              </w:rPr>
              <w:t>156,833</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4014C6" w:rsidRDefault="004014C6">
            <w:pPr>
              <w:spacing w:before="100" w:beforeAutospacing="1" w:after="100" w:afterAutospacing="1"/>
              <w:jc w:val="right"/>
              <w:rPr>
                <w:rFonts w:ascii="Palatino Linotype" w:eastAsia="Arial Unicode MS" w:hAnsi="Palatino Linotype" w:cs="Arial"/>
                <w:sz w:val="20"/>
                <w:szCs w:val="20"/>
              </w:rPr>
            </w:pPr>
            <w:r>
              <w:rPr>
                <w:rFonts w:ascii="Palatino Linotype" w:hAnsi="Palatino Linotype" w:cs="Arial"/>
                <w:sz w:val="20"/>
                <w:szCs w:val="20"/>
              </w:rPr>
              <w:t>137,443</w:t>
            </w:r>
          </w:p>
        </w:tc>
      </w:tr>
    </w:tbl>
    <w:p w:rsidR="004014C6" w:rsidRDefault="004014C6">
      <w:pPr>
        <w:pStyle w:val="a3"/>
        <w:spacing w:before="100" w:beforeAutospacing="1" w:after="100" w:afterAutospacing="1"/>
        <w:rPr>
          <w:rFonts w:ascii="Palatino Linotype" w:hAnsi="Palatino Linotype" w:cs="Arial"/>
          <w:b/>
          <w:bCs/>
          <w:sz w:val="20"/>
          <w:szCs w:val="20"/>
          <w:lang w:val="en-US"/>
        </w:rPr>
      </w:pPr>
    </w:p>
    <w:p w:rsidR="004014C6" w:rsidRDefault="004014C6">
      <w:pPr>
        <w:pStyle w:val="a3"/>
        <w:spacing w:before="100" w:beforeAutospacing="1" w:after="100" w:afterAutospacing="1"/>
        <w:rPr>
          <w:rFonts w:ascii="Palatino Linotype" w:hAnsi="Palatino Linotype"/>
          <w:b/>
          <w:bCs/>
          <w:sz w:val="20"/>
        </w:rPr>
      </w:pPr>
      <w:r>
        <w:rPr>
          <w:rFonts w:ascii="Palatino Linotype" w:hAnsi="Palatino Linotype" w:cs="Arial"/>
          <w:b/>
          <w:bCs/>
          <w:sz w:val="20"/>
          <w:szCs w:val="20"/>
        </w:rPr>
        <w:t>Отчет об изменении нематериальных активов</w:t>
      </w:r>
      <w:r>
        <w:rPr>
          <w:rFonts w:ascii="Palatino Linotype" w:hAnsi="Palatino Linotype"/>
          <w:b/>
          <w:bCs/>
          <w:sz w:val="20"/>
          <w:szCs w:val="20"/>
        </w:rPr>
        <w:t xml:space="preserve"> </w:t>
      </w:r>
      <w:r>
        <w:rPr>
          <w:rFonts w:ascii="Palatino Linotype" w:hAnsi="Palatino Linotype" w:cs="Arial"/>
          <w:b/>
          <w:bCs/>
          <w:sz w:val="20"/>
          <w:szCs w:val="20"/>
        </w:rPr>
        <w:t>Manchester United PLC на 31 июля 2003 г*</w:t>
      </w:r>
    </w:p>
    <w:tbl>
      <w:tblPr>
        <w:tblpPr w:leftFromText="180" w:rightFromText="180" w:vertAnchor="text" w:tblpY="1"/>
        <w:tblOverlap w:val="never"/>
        <w:tblW w:w="7035" w:type="dxa"/>
        <w:tblLayout w:type="fixed"/>
        <w:tblCellMar>
          <w:left w:w="0" w:type="dxa"/>
          <w:right w:w="0" w:type="dxa"/>
        </w:tblCellMar>
        <w:tblLook w:val="0000" w:firstRow="0" w:lastRow="0" w:firstColumn="0" w:lastColumn="0" w:noHBand="0" w:noVBand="0"/>
      </w:tblPr>
      <w:tblGrid>
        <w:gridCol w:w="5775"/>
        <w:gridCol w:w="1260"/>
      </w:tblGrid>
      <w:tr w:rsidR="004014C6">
        <w:trPr>
          <w:trHeight w:val="270"/>
        </w:trPr>
        <w:tc>
          <w:tcPr>
            <w:tcW w:w="5775" w:type="dxa"/>
            <w:tcBorders>
              <w:top w:val="nil"/>
              <w:left w:val="nil"/>
              <w:bottom w:val="single" w:sz="8" w:space="0" w:color="auto"/>
            </w:tcBorders>
            <w:noWrap/>
            <w:tcMar>
              <w:top w:w="15" w:type="dxa"/>
              <w:left w:w="15" w:type="dxa"/>
              <w:bottom w:w="0" w:type="dxa"/>
              <w:right w:w="15" w:type="dxa"/>
            </w:tcMar>
            <w:vAlign w:val="center"/>
          </w:tcPr>
          <w:p w:rsidR="004014C6" w:rsidRDefault="004014C6">
            <w:pPr>
              <w:rPr>
                <w:rFonts w:ascii="Palatino Linotype" w:eastAsia="Arial Unicode MS" w:hAnsi="Palatino Linotype" w:cs="Arial"/>
                <w:sz w:val="20"/>
                <w:szCs w:val="16"/>
                <w:lang w:val="ru-RU"/>
              </w:rPr>
            </w:pPr>
            <w:r>
              <w:rPr>
                <w:rFonts w:ascii="Palatino Linotype" w:hAnsi="Palatino Linotype" w:cs="Arial"/>
                <w:sz w:val="20"/>
                <w:szCs w:val="16"/>
                <w:lang w:val="ru-RU"/>
              </w:rPr>
              <w:t>Группа</w:t>
            </w:r>
          </w:p>
        </w:tc>
        <w:tc>
          <w:tcPr>
            <w:tcW w:w="1260" w:type="dxa"/>
            <w:tcBorders>
              <w:top w:val="nil"/>
              <w:bottom w:val="single" w:sz="8" w:space="0" w:color="auto"/>
              <w:right w:val="nil"/>
            </w:tcBorders>
            <w:noWrap/>
            <w:tcMar>
              <w:top w:w="15" w:type="dxa"/>
              <w:left w:w="15" w:type="dxa"/>
              <w:bottom w:w="0" w:type="dxa"/>
              <w:right w:w="15" w:type="dxa"/>
            </w:tcMar>
            <w:vAlign w:val="center"/>
          </w:tcPr>
          <w:p w:rsidR="004014C6" w:rsidRDefault="004014C6">
            <w:pPr>
              <w:jc w:val="right"/>
              <w:rPr>
                <w:rFonts w:ascii="Palatino Linotype" w:eastAsia="Arial Unicode MS" w:hAnsi="Palatino Linotype" w:cs="Arial"/>
                <w:sz w:val="20"/>
                <w:szCs w:val="16"/>
                <w:lang w:val="ru-RU"/>
              </w:rPr>
            </w:pPr>
            <w:r>
              <w:rPr>
                <w:rFonts w:ascii="Palatino Linotype" w:hAnsi="Palatino Linotype" w:cs="Arial"/>
                <w:sz w:val="20"/>
                <w:szCs w:val="16"/>
                <w:lang w:val="ru-RU"/>
              </w:rPr>
              <w:t xml:space="preserve"> £’000</w:t>
            </w:r>
          </w:p>
        </w:tc>
      </w:tr>
      <w:tr w:rsidR="004014C6">
        <w:trPr>
          <w:trHeight w:val="270"/>
        </w:trPr>
        <w:tc>
          <w:tcPr>
            <w:tcW w:w="5775" w:type="dxa"/>
            <w:tcBorders>
              <w:top w:val="nil"/>
              <w:left w:val="nil"/>
              <w:bottom w:val="single" w:sz="8"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Затраты на регистрацию игроков</w:t>
            </w:r>
          </w:p>
        </w:tc>
        <w:tc>
          <w:tcPr>
            <w:tcW w:w="1260" w:type="dxa"/>
            <w:tcBorders>
              <w:top w:val="nil"/>
              <w:bottom w:val="single" w:sz="8" w:space="0" w:color="auto"/>
              <w:right w:val="nil"/>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rPr>
              <w:t> </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На 1 августа 2002</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sz w:val="20"/>
                <w:szCs w:val="20"/>
                <w:lang w:val="ru-RU"/>
              </w:rPr>
            </w:pPr>
            <w:r>
              <w:rPr>
                <w:rFonts w:ascii="Palatino Linotype" w:hAnsi="Palatino Linotype" w:cs="Arial"/>
                <w:sz w:val="20"/>
                <w:szCs w:val="20"/>
                <w:lang w:val="ru-RU"/>
              </w:rPr>
              <w:t>108,427</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Приобретения</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sz w:val="20"/>
                <w:szCs w:val="20"/>
                <w:lang w:val="ru-RU"/>
              </w:rPr>
            </w:pPr>
            <w:r>
              <w:rPr>
                <w:rFonts w:ascii="Palatino Linotype" w:hAnsi="Palatino Linotype" w:cs="Arial"/>
                <w:sz w:val="20"/>
                <w:szCs w:val="20"/>
                <w:lang w:val="ru-RU"/>
              </w:rPr>
              <w:t>10,577</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Выбытия</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sz w:val="20"/>
                <w:szCs w:val="20"/>
                <w:lang w:val="ru-RU"/>
              </w:rPr>
            </w:pPr>
            <w:r>
              <w:rPr>
                <w:rFonts w:ascii="Palatino Linotype" w:hAnsi="Palatino Linotype" w:cs="Arial"/>
                <w:sz w:val="20"/>
                <w:szCs w:val="20"/>
                <w:lang w:val="ru-RU"/>
              </w:rPr>
              <w:t>(2,257)</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Перевод в нематериальные активы к продаже</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sz w:val="20"/>
                <w:szCs w:val="20"/>
                <w:lang w:val="ru-RU"/>
              </w:rPr>
            </w:pPr>
            <w:r>
              <w:rPr>
                <w:rFonts w:ascii="Palatino Linotype" w:hAnsi="Palatino Linotype" w:cs="Arial"/>
                <w:sz w:val="20"/>
                <w:szCs w:val="20"/>
                <w:lang w:val="ru-RU"/>
              </w:rPr>
              <w:t>(27,448)</w:t>
            </w:r>
          </w:p>
        </w:tc>
      </w:tr>
      <w:tr w:rsidR="004014C6">
        <w:trPr>
          <w:trHeight w:val="270"/>
        </w:trPr>
        <w:tc>
          <w:tcPr>
            <w:tcW w:w="5775" w:type="dxa"/>
            <w:tcBorders>
              <w:top w:val="nil"/>
              <w:left w:val="nil"/>
              <w:bottom w:val="single" w:sz="8"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На 31 июля 2003</w:t>
            </w:r>
          </w:p>
        </w:tc>
        <w:tc>
          <w:tcPr>
            <w:tcW w:w="1260" w:type="dxa"/>
            <w:tcBorders>
              <w:top w:val="nil"/>
              <w:bottom w:val="single" w:sz="8"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89,299</w:t>
            </w:r>
          </w:p>
        </w:tc>
      </w:tr>
      <w:tr w:rsidR="004014C6">
        <w:trPr>
          <w:trHeight w:val="270"/>
        </w:trPr>
        <w:tc>
          <w:tcPr>
            <w:tcW w:w="5775" w:type="dxa"/>
            <w:tcBorders>
              <w:top w:val="single" w:sz="8" w:space="0" w:color="auto"/>
              <w:left w:val="nil"/>
              <w:bottom w:val="single" w:sz="8"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Амортизация регистраций игроков</w:t>
            </w:r>
          </w:p>
        </w:tc>
        <w:tc>
          <w:tcPr>
            <w:tcW w:w="1260" w:type="dxa"/>
            <w:tcBorders>
              <w:top w:val="single" w:sz="8" w:space="0" w:color="auto"/>
              <w:bottom w:val="single" w:sz="8" w:space="0" w:color="auto"/>
              <w:right w:val="nil"/>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На 1 августа 2002</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sz w:val="20"/>
                <w:szCs w:val="20"/>
                <w:lang w:val="ru-RU"/>
              </w:rPr>
            </w:pPr>
            <w:r>
              <w:rPr>
                <w:rFonts w:ascii="Palatino Linotype" w:hAnsi="Palatino Linotype" w:cs="Arial"/>
                <w:sz w:val="20"/>
                <w:szCs w:val="20"/>
                <w:lang w:val="ru-RU"/>
              </w:rPr>
              <w:t>26,218</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Взыскания за год</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sz w:val="20"/>
                <w:szCs w:val="20"/>
                <w:lang w:val="ru-RU"/>
              </w:rPr>
            </w:pPr>
            <w:r>
              <w:rPr>
                <w:rFonts w:ascii="Palatino Linotype" w:hAnsi="Palatino Linotype" w:cs="Arial"/>
                <w:sz w:val="20"/>
                <w:szCs w:val="20"/>
                <w:lang w:val="ru-RU"/>
              </w:rPr>
              <w:t>21,018</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Резерв на убытки по выбытию</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sz w:val="20"/>
                <w:szCs w:val="20"/>
                <w:lang w:val="ru-RU"/>
              </w:rPr>
            </w:pPr>
            <w:r>
              <w:rPr>
                <w:rFonts w:ascii="Palatino Linotype" w:hAnsi="Palatino Linotype" w:cs="Arial"/>
                <w:sz w:val="20"/>
                <w:szCs w:val="20"/>
                <w:lang w:val="ru-RU"/>
              </w:rPr>
              <w:t>4,528</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Выбытия</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sz w:val="20"/>
                <w:szCs w:val="20"/>
                <w:lang w:val="ru-RU"/>
              </w:rPr>
            </w:pPr>
            <w:r>
              <w:rPr>
                <w:rFonts w:ascii="Palatino Linotype" w:hAnsi="Palatino Linotype" w:cs="Arial"/>
                <w:sz w:val="20"/>
                <w:szCs w:val="20"/>
                <w:lang w:val="ru-RU"/>
              </w:rPr>
              <w:t>(2,257)</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Перевод в нематериальные активы к продаже</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sz w:val="20"/>
                <w:szCs w:val="20"/>
                <w:lang w:val="ru-RU"/>
              </w:rPr>
            </w:pPr>
            <w:r>
              <w:rPr>
                <w:rFonts w:ascii="Palatino Linotype" w:hAnsi="Palatino Linotype" w:cs="Arial"/>
                <w:sz w:val="20"/>
                <w:szCs w:val="20"/>
                <w:lang w:val="ru-RU"/>
              </w:rPr>
              <w:t>(15,507)</w:t>
            </w:r>
          </w:p>
        </w:tc>
      </w:tr>
      <w:tr w:rsidR="004014C6">
        <w:trPr>
          <w:trHeight w:val="270"/>
        </w:trPr>
        <w:tc>
          <w:tcPr>
            <w:tcW w:w="5775" w:type="dxa"/>
            <w:tcBorders>
              <w:top w:val="nil"/>
              <w:left w:val="nil"/>
              <w:bottom w:val="single" w:sz="8"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На 31 июля 2003</w:t>
            </w:r>
          </w:p>
        </w:tc>
        <w:tc>
          <w:tcPr>
            <w:tcW w:w="1260" w:type="dxa"/>
            <w:tcBorders>
              <w:top w:val="nil"/>
              <w:bottom w:val="single" w:sz="8"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34,000</w:t>
            </w:r>
          </w:p>
        </w:tc>
      </w:tr>
      <w:tr w:rsidR="004014C6">
        <w:trPr>
          <w:trHeight w:val="270"/>
        </w:trPr>
        <w:tc>
          <w:tcPr>
            <w:tcW w:w="5775" w:type="dxa"/>
            <w:tcBorders>
              <w:top w:val="single" w:sz="8" w:space="0" w:color="auto"/>
              <w:left w:val="nil"/>
              <w:bottom w:val="single" w:sz="8"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Чистая стоимость регистраций игроков</w:t>
            </w:r>
          </w:p>
        </w:tc>
        <w:tc>
          <w:tcPr>
            <w:tcW w:w="1260" w:type="dxa"/>
            <w:tcBorders>
              <w:top w:val="single" w:sz="8" w:space="0" w:color="auto"/>
              <w:bottom w:val="single" w:sz="8" w:space="0" w:color="auto"/>
              <w:right w:val="nil"/>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rPr>
              <w:t> </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На 31 июля 2003</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55,299</w:t>
            </w:r>
          </w:p>
        </w:tc>
      </w:tr>
      <w:tr w:rsidR="004014C6">
        <w:trPr>
          <w:trHeight w:val="255"/>
        </w:trPr>
        <w:tc>
          <w:tcPr>
            <w:tcW w:w="5775" w:type="dxa"/>
            <w:tcBorders>
              <w:top w:val="nil"/>
              <w:left w:val="nil"/>
              <w:bottom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На 31 июля 2002</w:t>
            </w:r>
          </w:p>
        </w:tc>
        <w:tc>
          <w:tcPr>
            <w:tcW w:w="1260" w:type="dxa"/>
            <w:tcBorders>
              <w:top w:val="nil"/>
              <w:bottom w:val="single" w:sz="4" w:space="0" w:color="auto"/>
              <w:right w:val="nil"/>
            </w:tcBorders>
            <w:noWrap/>
            <w:tcMar>
              <w:top w:w="15" w:type="dxa"/>
              <w:left w:w="15" w:type="dxa"/>
              <w:bottom w:w="0" w:type="dxa"/>
              <w:right w:w="15" w:type="dxa"/>
            </w:tcMar>
            <w:vAlign w:val="bottom"/>
          </w:tcPr>
          <w:p w:rsidR="004014C6" w:rsidRDefault="004014C6">
            <w:pPr>
              <w:jc w:val="right"/>
              <w:rPr>
                <w:rFonts w:ascii="Palatino Linotype" w:eastAsia="Arial Unicode MS" w:hAnsi="Palatino Linotype" w:cs="Arial"/>
                <w:sz w:val="20"/>
                <w:szCs w:val="20"/>
                <w:lang w:val="ru-RU"/>
              </w:rPr>
            </w:pPr>
            <w:r>
              <w:rPr>
                <w:rFonts w:ascii="Palatino Linotype" w:hAnsi="Palatino Linotype" w:cs="Arial"/>
                <w:sz w:val="20"/>
                <w:szCs w:val="20"/>
                <w:lang w:val="ru-RU"/>
              </w:rPr>
              <w:t>82,209</w:t>
            </w:r>
          </w:p>
        </w:tc>
      </w:tr>
    </w:tbl>
    <w:p w:rsidR="004014C6" w:rsidRDefault="004014C6">
      <w:pPr>
        <w:pStyle w:val="a3"/>
        <w:spacing w:before="100" w:beforeAutospacing="1" w:after="100" w:afterAutospacing="1"/>
        <w:ind w:firstLine="360"/>
        <w:rPr>
          <w:rFonts w:ascii="Palatino Linotype" w:hAnsi="Palatino Linotype" w:cs="Arial"/>
          <w:sz w:val="20"/>
          <w:szCs w:val="20"/>
          <w:lang w:val="en-US"/>
        </w:rPr>
      </w:pPr>
      <w:r>
        <w:rPr>
          <w:rFonts w:ascii="Palatino Linotype" w:hAnsi="Palatino Linotype"/>
          <w:b/>
          <w:bCs/>
          <w:sz w:val="20"/>
          <w:lang w:val="en-US"/>
        </w:rPr>
        <w:br w:type="textWrapping" w:clear="all"/>
        <w:t xml:space="preserve">* </w:t>
      </w:r>
      <w:r>
        <w:rPr>
          <w:rFonts w:ascii="Palatino Linotype" w:hAnsi="Palatino Linotype" w:cs="Arial"/>
          <w:sz w:val="20"/>
          <w:szCs w:val="20"/>
        </w:rPr>
        <w:t>Источник</w:t>
      </w:r>
      <w:r>
        <w:rPr>
          <w:rFonts w:ascii="Palatino Linotype" w:hAnsi="Palatino Linotype" w:cs="Arial"/>
          <w:sz w:val="20"/>
          <w:szCs w:val="20"/>
          <w:lang w:val="en-US"/>
        </w:rPr>
        <w:t>: Financial statements of Manchester United PLC for the year ended 31 July 2003</w:t>
      </w:r>
      <w:r>
        <w:rPr>
          <w:rFonts w:ascii="Palatino Linotype" w:hAnsi="Palatino Linotype" w:cs="Arial"/>
          <w:sz w:val="20"/>
          <w:szCs w:val="20"/>
          <w:lang w:val="en-US"/>
        </w:rPr>
        <w:tab/>
      </w:r>
    </w:p>
    <w:p w:rsidR="004014C6" w:rsidRDefault="004014C6">
      <w:pPr>
        <w:pStyle w:val="a3"/>
        <w:spacing w:before="120" w:after="120" w:line="360" w:lineRule="auto"/>
        <w:rPr>
          <w:rFonts w:ascii="Palatino Linotype" w:hAnsi="Palatino Linotype" w:cs="Arial"/>
          <w:b/>
          <w:bCs/>
          <w:i/>
          <w:iCs/>
          <w:sz w:val="20"/>
          <w:szCs w:val="20"/>
        </w:rPr>
      </w:pPr>
      <w:r>
        <w:rPr>
          <w:rFonts w:ascii="Palatino Linotype" w:hAnsi="Palatino Linotype"/>
          <w:b/>
          <w:bCs/>
          <w:caps/>
          <w:sz w:val="20"/>
        </w:rPr>
        <w:t>5.Основные показатели футбольных финансов</w:t>
      </w:r>
      <w:r>
        <w:rPr>
          <w:rFonts w:ascii="Palatino Linotype" w:hAnsi="Palatino Linotype" w:cs="Arial"/>
          <w:b/>
          <w:bCs/>
          <w:i/>
          <w:iCs/>
          <w:sz w:val="20"/>
          <w:szCs w:val="20"/>
        </w:rPr>
        <w:t xml:space="preserve"> </w:t>
      </w:r>
    </w:p>
    <w:p w:rsidR="004014C6" w:rsidRDefault="004014C6">
      <w:pPr>
        <w:pStyle w:val="a3"/>
        <w:spacing w:before="120" w:after="120" w:line="360" w:lineRule="auto"/>
        <w:rPr>
          <w:rFonts w:ascii="Palatino Linotype" w:hAnsi="Palatino Linotype" w:cs="Arial"/>
          <w:b/>
          <w:bCs/>
          <w:sz w:val="20"/>
          <w:szCs w:val="20"/>
        </w:rPr>
      </w:pPr>
      <w:r>
        <w:rPr>
          <w:rFonts w:ascii="Palatino Linotype" w:hAnsi="Palatino Linotype" w:cs="Arial"/>
          <w:b/>
          <w:bCs/>
          <w:sz w:val="20"/>
          <w:szCs w:val="20"/>
        </w:rPr>
        <w:t>10 самых богатых клубов мира(1998/99)</w:t>
      </w:r>
    </w:p>
    <w:tbl>
      <w:tblPr>
        <w:tblW w:w="5940" w:type="dxa"/>
        <w:tblCellMar>
          <w:left w:w="0" w:type="dxa"/>
          <w:right w:w="0" w:type="dxa"/>
        </w:tblCellMar>
        <w:tblLook w:val="0000" w:firstRow="0" w:lastRow="0" w:firstColumn="0" w:lastColumn="0" w:noHBand="0" w:noVBand="0"/>
      </w:tblPr>
      <w:tblGrid>
        <w:gridCol w:w="523"/>
        <w:gridCol w:w="3923"/>
        <w:gridCol w:w="1494"/>
      </w:tblGrid>
      <w:tr w:rsidR="004014C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1</w:t>
            </w:r>
          </w:p>
        </w:tc>
        <w:tc>
          <w:tcPr>
            <w:tcW w:w="0" w:type="auto"/>
            <w:tcBorders>
              <w:top w:val="single" w:sz="4" w:space="0" w:color="auto"/>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rPr>
                <w:rFonts w:ascii="Palatino Linotype" w:eastAsia="Arial Unicode MS" w:hAnsi="Palatino Linotype" w:cs="Arial"/>
                <w:sz w:val="20"/>
                <w:szCs w:val="20"/>
              </w:rPr>
            </w:pPr>
            <w:r>
              <w:rPr>
                <w:rFonts w:ascii="Palatino Linotype" w:hAnsi="Palatino Linotype" w:cs="Arial"/>
                <w:sz w:val="20"/>
                <w:szCs w:val="20"/>
              </w:rPr>
              <w:t xml:space="preserve">Manchester United </w:t>
            </w:r>
          </w:p>
        </w:tc>
        <w:tc>
          <w:tcPr>
            <w:tcW w:w="0" w:type="auto"/>
            <w:tcBorders>
              <w:top w:val="single" w:sz="4" w:space="0" w:color="auto"/>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£111 m</w:t>
            </w:r>
          </w:p>
        </w:tc>
      </w:tr>
      <w:tr w:rsidR="004014C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rPr>
                <w:rFonts w:ascii="Palatino Linotype" w:eastAsia="Arial Unicode MS" w:hAnsi="Palatino Linotype" w:cs="Arial"/>
                <w:sz w:val="20"/>
                <w:szCs w:val="20"/>
              </w:rPr>
            </w:pPr>
            <w:r>
              <w:rPr>
                <w:rFonts w:ascii="Palatino Linotype" w:hAnsi="Palatino Linotype" w:cs="Arial"/>
                <w:sz w:val="20"/>
                <w:szCs w:val="20"/>
              </w:rPr>
              <w:t xml:space="preserve">Bayern Munich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£83.5m</w:t>
            </w:r>
          </w:p>
        </w:tc>
      </w:tr>
      <w:tr w:rsidR="004014C6">
        <w:trPr>
          <w:trHeight w:val="255"/>
        </w:trPr>
        <w:tc>
          <w:tcPr>
            <w:tcW w:w="0" w:type="auto"/>
            <w:tcBorders>
              <w:top w:val="nil"/>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3</w:t>
            </w:r>
          </w:p>
        </w:tc>
        <w:tc>
          <w:tcPr>
            <w:tcW w:w="0" w:type="auto"/>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rPr>
                <w:rFonts w:ascii="Palatino Linotype" w:eastAsia="Arial Unicode MS" w:hAnsi="Palatino Linotype" w:cs="Arial"/>
                <w:sz w:val="20"/>
                <w:szCs w:val="20"/>
              </w:rPr>
            </w:pPr>
            <w:r>
              <w:rPr>
                <w:rFonts w:ascii="Palatino Linotype" w:hAnsi="Palatino Linotype" w:cs="Arial"/>
                <w:sz w:val="20"/>
                <w:szCs w:val="20"/>
              </w:rPr>
              <w:t xml:space="preserve">Real Madrid </w:t>
            </w:r>
          </w:p>
        </w:tc>
        <w:tc>
          <w:tcPr>
            <w:tcW w:w="0" w:type="auto"/>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£76.1m</w:t>
            </w:r>
          </w:p>
        </w:tc>
      </w:tr>
      <w:tr w:rsidR="004014C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rPr>
                <w:rFonts w:ascii="Palatino Linotype" w:eastAsia="Arial Unicode MS" w:hAnsi="Palatino Linotype" w:cs="Arial"/>
                <w:sz w:val="20"/>
                <w:szCs w:val="20"/>
              </w:rPr>
            </w:pPr>
            <w:r>
              <w:rPr>
                <w:rFonts w:ascii="Palatino Linotype" w:hAnsi="Palatino Linotype" w:cs="Arial"/>
                <w:sz w:val="20"/>
                <w:szCs w:val="20"/>
              </w:rPr>
              <w:t>Chelsea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£59.1m</w:t>
            </w:r>
          </w:p>
        </w:tc>
      </w:tr>
      <w:tr w:rsidR="004014C6">
        <w:trPr>
          <w:trHeight w:val="255"/>
        </w:trPr>
        <w:tc>
          <w:tcPr>
            <w:tcW w:w="0" w:type="auto"/>
            <w:tcBorders>
              <w:top w:val="nil"/>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5</w:t>
            </w:r>
          </w:p>
        </w:tc>
        <w:tc>
          <w:tcPr>
            <w:tcW w:w="0" w:type="auto"/>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rPr>
                <w:rFonts w:ascii="Palatino Linotype" w:eastAsia="Times New Roman" w:hAnsi="Palatino Linotype" w:cs="Arial"/>
              </w:rPr>
            </w:pPr>
            <w:r>
              <w:rPr>
                <w:rFonts w:ascii="Palatino Linotype" w:eastAsia="Times New Roman" w:hAnsi="Palatino Linotype" w:cs="Arial"/>
              </w:rPr>
              <w:t>Juventus</w:t>
            </w:r>
          </w:p>
        </w:tc>
        <w:tc>
          <w:tcPr>
            <w:tcW w:w="0" w:type="auto"/>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£58.5</w:t>
            </w:r>
          </w:p>
        </w:tc>
      </w:tr>
      <w:tr w:rsidR="004014C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rPr>
                <w:rFonts w:ascii="Palatino Linotype" w:eastAsia="Arial Unicode MS" w:hAnsi="Palatino Linotype" w:cs="Arial"/>
                <w:sz w:val="20"/>
                <w:szCs w:val="20"/>
              </w:rPr>
            </w:pPr>
            <w:r>
              <w:rPr>
                <w:rFonts w:ascii="Palatino Linotype" w:hAnsi="Palatino Linotype" w:cs="Arial"/>
                <w:sz w:val="20"/>
                <w:szCs w:val="20"/>
              </w:rPr>
              <w:t>Barcelona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£55.7m</w:t>
            </w:r>
          </w:p>
        </w:tc>
      </w:tr>
      <w:tr w:rsidR="004014C6">
        <w:trPr>
          <w:trHeight w:val="255"/>
        </w:trPr>
        <w:tc>
          <w:tcPr>
            <w:tcW w:w="0" w:type="auto"/>
            <w:tcBorders>
              <w:top w:val="nil"/>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7</w:t>
            </w:r>
          </w:p>
        </w:tc>
        <w:tc>
          <w:tcPr>
            <w:tcW w:w="0" w:type="auto"/>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rPr>
                <w:rFonts w:ascii="Palatino Linotype" w:eastAsia="Arial Unicode MS" w:hAnsi="Palatino Linotype" w:cs="Arial"/>
                <w:sz w:val="20"/>
                <w:szCs w:val="20"/>
              </w:rPr>
            </w:pPr>
            <w:r>
              <w:rPr>
                <w:rFonts w:ascii="Palatino Linotype" w:hAnsi="Palatino Linotype" w:cs="Arial"/>
                <w:sz w:val="20"/>
                <w:szCs w:val="20"/>
              </w:rPr>
              <w:t>Milan</w:t>
            </w:r>
          </w:p>
        </w:tc>
        <w:tc>
          <w:tcPr>
            <w:tcW w:w="0" w:type="auto"/>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£54.1m</w:t>
            </w:r>
          </w:p>
        </w:tc>
      </w:tr>
      <w:tr w:rsidR="004014C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rPr>
                <w:rFonts w:ascii="Palatino Linotype" w:eastAsia="Arial Unicode MS" w:hAnsi="Palatino Linotype" w:cs="Arial"/>
                <w:sz w:val="20"/>
                <w:szCs w:val="20"/>
              </w:rPr>
            </w:pPr>
            <w:r>
              <w:rPr>
                <w:rFonts w:ascii="Palatino Linotype" w:hAnsi="Palatino Linotype" w:cs="Arial"/>
                <w:sz w:val="20"/>
                <w:szCs w:val="20"/>
              </w:rPr>
              <w:t>Lazio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£50m</w:t>
            </w:r>
          </w:p>
        </w:tc>
      </w:tr>
      <w:tr w:rsidR="004014C6">
        <w:trPr>
          <w:trHeight w:val="255"/>
        </w:trPr>
        <w:tc>
          <w:tcPr>
            <w:tcW w:w="0" w:type="auto"/>
            <w:tcBorders>
              <w:top w:val="nil"/>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9</w:t>
            </w:r>
          </w:p>
        </w:tc>
        <w:tc>
          <w:tcPr>
            <w:tcW w:w="0" w:type="auto"/>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rPr>
                <w:rFonts w:ascii="Palatino Linotype" w:eastAsia="Arial Unicode MS" w:hAnsi="Palatino Linotype" w:cs="Arial"/>
                <w:sz w:val="20"/>
                <w:szCs w:val="20"/>
              </w:rPr>
            </w:pPr>
            <w:r>
              <w:rPr>
                <w:rFonts w:ascii="Palatino Linotype" w:hAnsi="Palatino Linotype" w:cs="Arial"/>
                <w:sz w:val="20"/>
                <w:szCs w:val="20"/>
              </w:rPr>
              <w:t>Inter Milan</w:t>
            </w:r>
          </w:p>
        </w:tc>
        <w:tc>
          <w:tcPr>
            <w:tcW w:w="0" w:type="auto"/>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£49.1m</w:t>
            </w:r>
          </w:p>
        </w:tc>
      </w:tr>
      <w:tr w:rsidR="004014C6">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rPr>
                <w:rFonts w:ascii="Palatino Linotype" w:eastAsia="Arial Unicode MS" w:hAnsi="Palatino Linotype" w:cs="Arial"/>
                <w:sz w:val="20"/>
                <w:szCs w:val="20"/>
              </w:rPr>
            </w:pPr>
            <w:r>
              <w:rPr>
                <w:rFonts w:ascii="Palatino Linotype" w:hAnsi="Palatino Linotype" w:cs="Arial"/>
                <w:sz w:val="20"/>
                <w:szCs w:val="20"/>
              </w:rPr>
              <w:t>Arsenal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014C6" w:rsidRDefault="004014C6">
            <w:pPr>
              <w:spacing w:before="100" w:beforeAutospacing="1" w:after="100" w:afterAutospacing="1"/>
              <w:jc w:val="center"/>
              <w:rPr>
                <w:rFonts w:ascii="Palatino Linotype" w:eastAsia="Arial Unicode MS" w:hAnsi="Palatino Linotype" w:cs="Arial"/>
                <w:sz w:val="20"/>
                <w:szCs w:val="20"/>
              </w:rPr>
            </w:pPr>
            <w:r>
              <w:rPr>
                <w:rFonts w:ascii="Palatino Linotype" w:hAnsi="Palatino Linotype" w:cs="Arial"/>
                <w:sz w:val="20"/>
                <w:szCs w:val="20"/>
              </w:rPr>
              <w:t>£48.6m</w:t>
            </w:r>
          </w:p>
        </w:tc>
      </w:tr>
    </w:tbl>
    <w:p w:rsidR="004014C6" w:rsidRDefault="004014C6">
      <w:pPr>
        <w:pStyle w:val="a3"/>
        <w:spacing w:before="100" w:beforeAutospacing="1" w:after="100" w:afterAutospacing="1"/>
        <w:rPr>
          <w:rFonts w:ascii="Palatino Linotype" w:hAnsi="Palatino Linotype" w:cs="Arial"/>
          <w:sz w:val="20"/>
          <w:szCs w:val="20"/>
          <w:lang w:val="en-US"/>
        </w:rPr>
      </w:pPr>
      <w:r>
        <w:rPr>
          <w:rFonts w:ascii="Palatino Linotype" w:hAnsi="Palatino Linotype" w:cs="Arial"/>
          <w:sz w:val="20"/>
          <w:szCs w:val="20"/>
          <w:lang w:val="en-US"/>
        </w:rPr>
        <w:t>*</w:t>
      </w:r>
      <w:r>
        <w:rPr>
          <w:rFonts w:ascii="Palatino Linotype" w:hAnsi="Palatino Linotype" w:cs="Arial"/>
          <w:sz w:val="20"/>
          <w:szCs w:val="20"/>
        </w:rPr>
        <w:t>Источник</w:t>
      </w:r>
      <w:r>
        <w:rPr>
          <w:rFonts w:ascii="Palatino Linotype" w:hAnsi="Palatino Linotype" w:cs="Arial"/>
          <w:sz w:val="20"/>
          <w:szCs w:val="20"/>
          <w:lang w:val="en-US"/>
        </w:rPr>
        <w:t xml:space="preserve"> The Guardian 6 December 2000</w:t>
      </w:r>
    </w:p>
    <w:p w:rsidR="004014C6" w:rsidRDefault="004014C6">
      <w:pPr>
        <w:pStyle w:val="a3"/>
        <w:spacing w:before="100" w:beforeAutospacing="1" w:after="100" w:afterAutospacing="1"/>
        <w:rPr>
          <w:rFonts w:ascii="Palatino Linotype" w:hAnsi="Palatino Linotype"/>
          <w:b/>
          <w:bCs/>
          <w:sz w:val="20"/>
        </w:rPr>
      </w:pPr>
      <w:r>
        <w:rPr>
          <w:rFonts w:ascii="Palatino Linotype" w:hAnsi="Palatino Linotype" w:cs="Arial"/>
          <w:b/>
          <w:bCs/>
          <w:sz w:val="20"/>
          <w:szCs w:val="20"/>
        </w:rPr>
        <w:t>Доходы и расходы премьер лиги Ассоциации Футбола Англии в 1999/00 (£ млн.)</w:t>
      </w:r>
    </w:p>
    <w:tbl>
      <w:tblPr>
        <w:tblW w:w="9195" w:type="dxa"/>
        <w:tblLayout w:type="fixed"/>
        <w:tblCellMar>
          <w:left w:w="0" w:type="dxa"/>
          <w:right w:w="0" w:type="dxa"/>
        </w:tblCellMar>
        <w:tblLook w:val="0000" w:firstRow="0" w:lastRow="0" w:firstColumn="0" w:lastColumn="0" w:noHBand="0" w:noVBand="0"/>
      </w:tblPr>
      <w:tblGrid>
        <w:gridCol w:w="3075"/>
        <w:gridCol w:w="1260"/>
        <w:gridCol w:w="3600"/>
        <w:gridCol w:w="1260"/>
      </w:tblGrid>
      <w:tr w:rsidR="004014C6">
        <w:trPr>
          <w:trHeight w:val="255"/>
        </w:trPr>
        <w:tc>
          <w:tcPr>
            <w:tcW w:w="30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Доходы</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w:t>
            </w:r>
            <w:r>
              <w:rPr>
                <w:rFonts w:ascii="Palatino Linotype" w:hAnsi="Palatino Linotype" w:cs="Arial"/>
                <w:sz w:val="20"/>
                <w:szCs w:val="20"/>
              </w:rPr>
              <w:t xml:space="preserve"> млн.</w:t>
            </w:r>
          </w:p>
        </w:tc>
        <w:tc>
          <w:tcPr>
            <w:tcW w:w="36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Расходы</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w:t>
            </w:r>
            <w:r>
              <w:rPr>
                <w:rFonts w:ascii="Palatino Linotype" w:hAnsi="Palatino Linotype" w:cs="Arial"/>
                <w:sz w:val="20"/>
                <w:szCs w:val="20"/>
              </w:rPr>
              <w:t xml:space="preserve"> млн.</w:t>
            </w:r>
          </w:p>
        </w:tc>
      </w:tr>
      <w:tr w:rsidR="004014C6">
        <w:trPr>
          <w:trHeight w:val="255"/>
        </w:trPr>
        <w:tc>
          <w:tcPr>
            <w:tcW w:w="3075" w:type="dxa"/>
            <w:tcBorders>
              <w:top w:val="nil"/>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 xml:space="preserve">Доходы в день матча </w:t>
            </w:r>
          </w:p>
        </w:tc>
        <w:tc>
          <w:tcPr>
            <w:tcW w:w="1260"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£260</w:t>
            </w:r>
          </w:p>
        </w:tc>
        <w:tc>
          <w:tcPr>
            <w:tcW w:w="3600"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Оплата труда</w:t>
            </w:r>
          </w:p>
        </w:tc>
        <w:tc>
          <w:tcPr>
            <w:tcW w:w="1260"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£471</w:t>
            </w:r>
          </w:p>
        </w:tc>
      </w:tr>
      <w:tr w:rsidR="004014C6">
        <w:trPr>
          <w:trHeight w:val="255"/>
        </w:trPr>
        <w:tc>
          <w:tcPr>
            <w:tcW w:w="30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Доходы от рекламы</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£270</w:t>
            </w:r>
          </w:p>
        </w:tc>
        <w:tc>
          <w:tcPr>
            <w:tcW w:w="36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Операционные расходы</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£224</w:t>
            </w:r>
          </w:p>
        </w:tc>
      </w:tr>
      <w:tr w:rsidR="004014C6">
        <w:trPr>
          <w:trHeight w:val="255"/>
        </w:trPr>
        <w:tc>
          <w:tcPr>
            <w:tcW w:w="3075" w:type="dxa"/>
            <w:tcBorders>
              <w:top w:val="nil"/>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Доходы от телевидения</w:t>
            </w:r>
          </w:p>
        </w:tc>
        <w:tc>
          <w:tcPr>
            <w:tcW w:w="1260"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£242</w:t>
            </w:r>
          </w:p>
        </w:tc>
        <w:tc>
          <w:tcPr>
            <w:tcW w:w="3600"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Приобретение игроков (в Англии)</w:t>
            </w:r>
          </w:p>
        </w:tc>
        <w:tc>
          <w:tcPr>
            <w:tcW w:w="1260" w:type="dxa"/>
            <w:tcBorders>
              <w:top w:val="nil"/>
              <w:left w:val="nil"/>
              <w:bottom w:val="single" w:sz="4" w:space="0" w:color="auto"/>
              <w:right w:val="single" w:sz="4" w:space="0" w:color="auto"/>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£105</w:t>
            </w:r>
          </w:p>
        </w:tc>
      </w:tr>
      <w:tr w:rsidR="004014C6">
        <w:trPr>
          <w:trHeight w:val="255"/>
        </w:trPr>
        <w:tc>
          <w:tcPr>
            <w:tcW w:w="30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Доходы от продажи игроков</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£120</w:t>
            </w:r>
          </w:p>
        </w:tc>
        <w:tc>
          <w:tcPr>
            <w:tcW w:w="36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Приобретение игроков (вне Англии)</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£150</w:t>
            </w:r>
          </w:p>
        </w:tc>
      </w:tr>
      <w:tr w:rsidR="004014C6">
        <w:trPr>
          <w:trHeight w:val="255"/>
        </w:trPr>
        <w:tc>
          <w:tcPr>
            <w:tcW w:w="9195" w:type="dxa"/>
            <w:gridSpan w:val="4"/>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Торговый дефицит премьер лиги Ассоциации Футбола Англии в 1999/00 (млн.) составил £58 млн.</w:t>
            </w:r>
          </w:p>
        </w:tc>
      </w:tr>
    </w:tbl>
    <w:p w:rsidR="004014C6" w:rsidRDefault="004014C6">
      <w:pPr>
        <w:pStyle w:val="a3"/>
        <w:spacing w:before="120" w:after="120"/>
        <w:rPr>
          <w:rFonts w:ascii="Palatino Linotype" w:hAnsi="Palatino Linotype" w:cs="Arial"/>
          <w:sz w:val="20"/>
          <w:szCs w:val="20"/>
        </w:rPr>
      </w:pPr>
      <w:r>
        <w:rPr>
          <w:rFonts w:ascii="Palatino Linotype" w:hAnsi="Palatino Linotype" w:cs="Arial"/>
          <w:sz w:val="20"/>
          <w:szCs w:val="20"/>
          <w:lang w:val="en-US"/>
        </w:rPr>
        <w:t>*Источник: Deloitte &amp; Touché, 2001:</w:t>
      </w:r>
    </w:p>
    <w:p w:rsidR="004014C6" w:rsidRDefault="004014C6">
      <w:pPr>
        <w:pStyle w:val="a3"/>
        <w:spacing w:before="120" w:after="120" w:line="360" w:lineRule="auto"/>
        <w:rPr>
          <w:rFonts w:ascii="Palatino Linotype" w:hAnsi="Palatino Linotype" w:cs="Arial"/>
          <w:b/>
          <w:bCs/>
          <w:sz w:val="20"/>
          <w:szCs w:val="20"/>
          <w:lang w:val="en-US"/>
        </w:rPr>
      </w:pPr>
    </w:p>
    <w:p w:rsidR="004014C6" w:rsidRDefault="004014C6">
      <w:pPr>
        <w:pStyle w:val="a3"/>
        <w:spacing w:before="120" w:after="120" w:line="360" w:lineRule="auto"/>
        <w:rPr>
          <w:rFonts w:ascii="Palatino Linotype" w:hAnsi="Palatino Linotype" w:cs="Arial"/>
          <w:b/>
          <w:bCs/>
          <w:sz w:val="20"/>
          <w:szCs w:val="20"/>
          <w:lang w:val="en-US"/>
        </w:rPr>
      </w:pPr>
    </w:p>
    <w:p w:rsidR="004014C6" w:rsidRDefault="004014C6">
      <w:pPr>
        <w:pStyle w:val="a3"/>
        <w:spacing w:before="120" w:after="120" w:line="360" w:lineRule="auto"/>
        <w:rPr>
          <w:rFonts w:ascii="Palatino Linotype" w:hAnsi="Palatino Linotype" w:cs="Arial"/>
          <w:b/>
          <w:bCs/>
          <w:sz w:val="20"/>
          <w:szCs w:val="20"/>
        </w:rPr>
      </w:pPr>
      <w:r>
        <w:rPr>
          <w:rFonts w:ascii="Palatino Linotype" w:hAnsi="Palatino Linotype" w:cs="Arial"/>
          <w:b/>
          <w:bCs/>
          <w:sz w:val="20"/>
          <w:szCs w:val="20"/>
        </w:rPr>
        <w:t>Прибыль от продажи игроков Манчестер Юнайтед на 31 июля 2003 г (£ млн.)</w:t>
      </w:r>
    </w:p>
    <w:tbl>
      <w:tblPr>
        <w:tblW w:w="9000" w:type="dxa"/>
        <w:tblInd w:w="15" w:type="dxa"/>
        <w:tblLayout w:type="fixed"/>
        <w:tblCellMar>
          <w:left w:w="0" w:type="dxa"/>
          <w:right w:w="0" w:type="dxa"/>
        </w:tblCellMar>
        <w:tblLook w:val="0000" w:firstRow="0" w:lastRow="0" w:firstColumn="0" w:lastColumn="0" w:noHBand="0" w:noVBand="0"/>
      </w:tblPr>
      <w:tblGrid>
        <w:gridCol w:w="1800"/>
        <w:gridCol w:w="2160"/>
        <w:gridCol w:w="2880"/>
        <w:gridCol w:w="2160"/>
      </w:tblGrid>
      <w:tr w:rsidR="004014C6">
        <w:trPr>
          <w:trHeight w:val="525"/>
        </w:trPr>
        <w:tc>
          <w:tcPr>
            <w:tcW w:w="1800" w:type="dxa"/>
            <w:tcBorders>
              <w:top w:val="single" w:sz="4" w:space="0" w:color="auto"/>
              <w:left w:val="single" w:sz="4" w:space="0" w:color="auto"/>
              <w:bottom w:val="single" w:sz="8" w:space="0" w:color="auto"/>
              <w:right w:val="nil"/>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rPr>
              <w:t> </w:t>
            </w:r>
          </w:p>
        </w:tc>
        <w:tc>
          <w:tcPr>
            <w:tcW w:w="2160" w:type="dxa"/>
            <w:tcBorders>
              <w:top w:val="single" w:sz="4" w:space="0" w:color="auto"/>
              <w:left w:val="single" w:sz="4" w:space="0" w:color="auto"/>
              <w:bottom w:val="single" w:sz="8" w:space="0" w:color="auto"/>
              <w:right w:val="nil"/>
            </w:tcBorders>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Валовая прибыль £млн.</w:t>
            </w:r>
          </w:p>
        </w:tc>
        <w:tc>
          <w:tcPr>
            <w:tcW w:w="2880" w:type="dxa"/>
            <w:tcBorders>
              <w:top w:val="single" w:sz="4" w:space="0" w:color="auto"/>
              <w:left w:val="single" w:sz="4" w:space="0" w:color="auto"/>
              <w:bottom w:val="single" w:sz="8" w:space="0" w:color="auto"/>
              <w:right w:val="nil"/>
            </w:tcBorders>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Чистая прибыль/(убыток)  £млн.</w:t>
            </w:r>
          </w:p>
        </w:tc>
        <w:tc>
          <w:tcPr>
            <w:tcW w:w="2160" w:type="dxa"/>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Денежные средства полученные  £млн.</w:t>
            </w:r>
          </w:p>
        </w:tc>
      </w:tr>
      <w:tr w:rsidR="004014C6">
        <w:trPr>
          <w:trHeight w:val="255"/>
        </w:trPr>
        <w:tc>
          <w:tcPr>
            <w:tcW w:w="1800" w:type="dxa"/>
            <w:tcBorders>
              <w:top w:val="nil"/>
              <w:left w:val="single" w:sz="4" w:space="0" w:color="auto"/>
              <w:bottom w:val="nil"/>
              <w:right w:val="nil"/>
            </w:tcBorders>
            <w:shd w:val="clear" w:color="auto" w:fill="C0C0C0"/>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Бекхэм</w:t>
            </w:r>
          </w:p>
        </w:tc>
        <w:tc>
          <w:tcPr>
            <w:tcW w:w="2160" w:type="dxa"/>
            <w:tcBorders>
              <w:top w:val="nil"/>
              <w:left w:val="single" w:sz="4" w:space="0" w:color="auto"/>
              <w:bottom w:val="nil"/>
              <w:right w:val="nil"/>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17.2</w:t>
            </w:r>
          </w:p>
        </w:tc>
        <w:tc>
          <w:tcPr>
            <w:tcW w:w="2880" w:type="dxa"/>
            <w:tcBorders>
              <w:top w:val="nil"/>
              <w:left w:val="single" w:sz="4" w:space="0" w:color="auto"/>
              <w:bottom w:val="nil"/>
              <w:right w:val="nil"/>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15.9</w:t>
            </w:r>
          </w:p>
        </w:tc>
        <w:tc>
          <w:tcPr>
            <w:tcW w:w="2160" w:type="dxa"/>
            <w:tcBorders>
              <w:top w:val="nil"/>
              <w:left w:val="single" w:sz="4" w:space="0" w:color="auto"/>
              <w:bottom w:val="nil"/>
              <w:right w:val="single" w:sz="8" w:space="0" w:color="auto"/>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4.8</w:t>
            </w:r>
          </w:p>
        </w:tc>
      </w:tr>
      <w:tr w:rsidR="004014C6">
        <w:trPr>
          <w:trHeight w:val="255"/>
        </w:trPr>
        <w:tc>
          <w:tcPr>
            <w:tcW w:w="180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Верон</w:t>
            </w:r>
          </w:p>
        </w:tc>
        <w:tc>
          <w:tcPr>
            <w:tcW w:w="216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13</w:t>
            </w:r>
          </w:p>
        </w:tc>
        <w:tc>
          <w:tcPr>
            <w:tcW w:w="288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(4.5)</w:t>
            </w:r>
          </w:p>
        </w:tc>
        <w:tc>
          <w:tcPr>
            <w:tcW w:w="2160" w:type="dxa"/>
            <w:tcBorders>
              <w:top w:val="single" w:sz="4" w:space="0" w:color="auto"/>
              <w:left w:val="single" w:sz="4" w:space="0" w:color="auto"/>
              <w:bottom w:val="single" w:sz="4" w:space="0" w:color="auto"/>
              <w:right w:val="single" w:sz="8" w:space="0" w:color="auto"/>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w:t>
            </w:r>
          </w:p>
        </w:tc>
      </w:tr>
      <w:tr w:rsidR="004014C6">
        <w:trPr>
          <w:trHeight w:val="255"/>
        </w:trPr>
        <w:tc>
          <w:tcPr>
            <w:tcW w:w="1800" w:type="dxa"/>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Коль</w:t>
            </w:r>
          </w:p>
        </w:tc>
        <w:tc>
          <w:tcPr>
            <w:tcW w:w="2160" w:type="dxa"/>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1</w:t>
            </w:r>
          </w:p>
        </w:tc>
        <w:tc>
          <w:tcPr>
            <w:tcW w:w="2880" w:type="dxa"/>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0.9</w:t>
            </w:r>
          </w:p>
        </w:tc>
        <w:tc>
          <w:tcPr>
            <w:tcW w:w="2160" w:type="dxa"/>
            <w:tcBorders>
              <w:top w:val="nil"/>
              <w:left w:val="single" w:sz="4" w:space="0" w:color="auto"/>
              <w:bottom w:val="single" w:sz="4" w:space="0" w:color="auto"/>
              <w:right w:val="single" w:sz="8" w:space="0" w:color="auto"/>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3.6</w:t>
            </w:r>
          </w:p>
        </w:tc>
      </w:tr>
      <w:tr w:rsidR="004014C6">
        <w:trPr>
          <w:trHeight w:val="270"/>
        </w:trPr>
        <w:tc>
          <w:tcPr>
            <w:tcW w:w="1800" w:type="dxa"/>
            <w:tcBorders>
              <w:top w:val="nil"/>
              <w:left w:val="single" w:sz="4" w:space="0" w:color="auto"/>
              <w:bottom w:val="single" w:sz="8" w:space="0" w:color="auto"/>
              <w:right w:val="nil"/>
            </w:tcBorders>
            <w:noWrap/>
            <w:tcMar>
              <w:top w:w="15" w:type="dxa"/>
              <w:left w:w="15" w:type="dxa"/>
              <w:bottom w:w="0" w:type="dxa"/>
              <w:right w:w="15" w:type="dxa"/>
            </w:tcMar>
            <w:vAlign w:val="bottom"/>
          </w:tcPr>
          <w:p w:rsidR="004014C6" w:rsidRDefault="004014C6">
            <w:pPr>
              <w:rPr>
                <w:rFonts w:ascii="Palatino Linotype" w:eastAsia="Arial Unicode MS" w:hAnsi="Palatino Linotype" w:cs="Arial"/>
                <w:sz w:val="20"/>
                <w:szCs w:val="20"/>
                <w:lang w:val="ru-RU"/>
              </w:rPr>
            </w:pPr>
            <w:r>
              <w:rPr>
                <w:rFonts w:ascii="Palatino Linotype" w:hAnsi="Palatino Linotype" w:cs="Arial"/>
                <w:sz w:val="20"/>
                <w:szCs w:val="20"/>
                <w:lang w:val="ru-RU"/>
              </w:rPr>
              <w:t>Другие</w:t>
            </w:r>
          </w:p>
        </w:tc>
        <w:tc>
          <w:tcPr>
            <w:tcW w:w="2160" w:type="dxa"/>
            <w:tcBorders>
              <w:top w:val="nil"/>
              <w:left w:val="single" w:sz="4" w:space="0" w:color="auto"/>
              <w:bottom w:val="single" w:sz="8" w:space="0" w:color="auto"/>
              <w:right w:val="nil"/>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0.6</w:t>
            </w:r>
          </w:p>
        </w:tc>
        <w:tc>
          <w:tcPr>
            <w:tcW w:w="2880" w:type="dxa"/>
            <w:tcBorders>
              <w:top w:val="nil"/>
              <w:left w:val="single" w:sz="4" w:space="0" w:color="auto"/>
              <w:bottom w:val="single" w:sz="8" w:space="0" w:color="auto"/>
              <w:right w:val="nil"/>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0.6</w:t>
            </w:r>
          </w:p>
        </w:tc>
        <w:tc>
          <w:tcPr>
            <w:tcW w:w="2160"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sz w:val="20"/>
                <w:szCs w:val="20"/>
                <w:lang w:val="ru-RU"/>
              </w:rPr>
            </w:pPr>
            <w:r>
              <w:rPr>
                <w:rFonts w:ascii="Palatino Linotype" w:hAnsi="Palatino Linotype" w:cs="Arial"/>
                <w:sz w:val="20"/>
                <w:szCs w:val="20"/>
                <w:lang w:val="ru-RU"/>
              </w:rPr>
              <w:t>2.7</w:t>
            </w:r>
          </w:p>
        </w:tc>
      </w:tr>
      <w:tr w:rsidR="004014C6">
        <w:trPr>
          <w:trHeight w:val="270"/>
        </w:trPr>
        <w:tc>
          <w:tcPr>
            <w:tcW w:w="1800" w:type="dxa"/>
            <w:tcBorders>
              <w:top w:val="single" w:sz="8" w:space="0" w:color="auto"/>
              <w:left w:val="single" w:sz="4" w:space="0" w:color="auto"/>
              <w:bottom w:val="single" w:sz="8" w:space="0" w:color="auto"/>
              <w:right w:val="nil"/>
            </w:tcBorders>
            <w:shd w:val="clear" w:color="auto" w:fill="C0C0C0"/>
            <w:noWrap/>
            <w:tcMar>
              <w:top w:w="15" w:type="dxa"/>
              <w:left w:w="15" w:type="dxa"/>
              <w:bottom w:w="0" w:type="dxa"/>
              <w:right w:w="15" w:type="dxa"/>
            </w:tcMar>
            <w:vAlign w:val="bottom"/>
          </w:tcPr>
          <w:p w:rsidR="004014C6" w:rsidRDefault="004014C6">
            <w:pP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Итого</w:t>
            </w:r>
          </w:p>
        </w:tc>
        <w:tc>
          <w:tcPr>
            <w:tcW w:w="2160" w:type="dxa"/>
            <w:tcBorders>
              <w:top w:val="single" w:sz="8" w:space="0" w:color="auto"/>
              <w:left w:val="single" w:sz="4" w:space="0" w:color="auto"/>
              <w:bottom w:val="single" w:sz="8" w:space="0" w:color="auto"/>
              <w:right w:val="nil"/>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31.8</w:t>
            </w:r>
          </w:p>
        </w:tc>
        <w:tc>
          <w:tcPr>
            <w:tcW w:w="2880" w:type="dxa"/>
            <w:tcBorders>
              <w:top w:val="single" w:sz="8" w:space="0" w:color="auto"/>
              <w:left w:val="single" w:sz="4" w:space="0" w:color="auto"/>
              <w:bottom w:val="single" w:sz="8" w:space="0" w:color="auto"/>
              <w:right w:val="nil"/>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12.9</w:t>
            </w:r>
          </w:p>
        </w:tc>
        <w:tc>
          <w:tcPr>
            <w:tcW w:w="2160" w:type="dxa"/>
            <w:tcBorders>
              <w:top w:val="single" w:sz="8" w:space="0" w:color="auto"/>
              <w:left w:val="single" w:sz="4" w:space="0" w:color="auto"/>
              <w:bottom w:val="single" w:sz="8" w:space="0" w:color="auto"/>
              <w:right w:val="single" w:sz="8" w:space="0" w:color="auto"/>
            </w:tcBorders>
            <w:shd w:val="clear" w:color="auto" w:fill="C0C0C0"/>
            <w:noWrap/>
            <w:tcMar>
              <w:top w:w="15" w:type="dxa"/>
              <w:left w:w="15" w:type="dxa"/>
              <w:bottom w:w="0" w:type="dxa"/>
              <w:right w:w="15" w:type="dxa"/>
            </w:tcMar>
            <w:vAlign w:val="bottom"/>
          </w:tcPr>
          <w:p w:rsidR="004014C6" w:rsidRDefault="004014C6">
            <w:pPr>
              <w:jc w:val="center"/>
              <w:rPr>
                <w:rFonts w:ascii="Palatino Linotype" w:eastAsia="Arial Unicode MS" w:hAnsi="Palatino Linotype" w:cs="Arial"/>
                <w:b/>
                <w:bCs/>
                <w:sz w:val="20"/>
                <w:szCs w:val="20"/>
                <w:lang w:val="ru-RU"/>
              </w:rPr>
            </w:pPr>
            <w:r>
              <w:rPr>
                <w:rFonts w:ascii="Palatino Linotype" w:hAnsi="Palatino Linotype" w:cs="Arial"/>
                <w:b/>
                <w:bCs/>
                <w:sz w:val="20"/>
                <w:szCs w:val="20"/>
                <w:lang w:val="ru-RU"/>
              </w:rPr>
              <w:t>11.1</w:t>
            </w:r>
          </w:p>
        </w:tc>
      </w:tr>
    </w:tbl>
    <w:p w:rsidR="004014C6" w:rsidRDefault="004014C6">
      <w:pPr>
        <w:pStyle w:val="a3"/>
        <w:spacing w:before="120" w:after="120"/>
        <w:rPr>
          <w:rFonts w:ascii="Palatino Linotype" w:hAnsi="Palatino Linotype"/>
          <w:b/>
          <w:bCs/>
          <w:sz w:val="20"/>
          <w:lang w:val="en-US"/>
        </w:rPr>
      </w:pPr>
      <w:r>
        <w:rPr>
          <w:rFonts w:ascii="Palatino Linotype" w:hAnsi="Palatino Linotype" w:cs="Arial"/>
          <w:sz w:val="20"/>
          <w:szCs w:val="20"/>
          <w:lang w:val="en-US"/>
        </w:rPr>
        <w:t>*</w:t>
      </w:r>
      <w:r>
        <w:rPr>
          <w:rFonts w:ascii="Palatino Linotype" w:hAnsi="Palatino Linotype" w:cs="Arial"/>
          <w:sz w:val="20"/>
          <w:szCs w:val="20"/>
        </w:rPr>
        <w:t>Источник</w:t>
      </w:r>
      <w:r>
        <w:rPr>
          <w:rFonts w:ascii="Palatino Linotype" w:hAnsi="Palatino Linotype" w:cs="Arial"/>
          <w:sz w:val="20"/>
          <w:szCs w:val="20"/>
          <w:lang w:val="en-US"/>
        </w:rPr>
        <w:t>: Manchester United PLC, 2003</w:t>
      </w:r>
    </w:p>
    <w:p w:rsidR="004014C6" w:rsidRDefault="004014C6">
      <w:pPr>
        <w:pStyle w:val="a3"/>
        <w:spacing w:before="120" w:after="120" w:line="360" w:lineRule="auto"/>
        <w:rPr>
          <w:rFonts w:ascii="Palatino Linotype" w:hAnsi="Palatino Linotype"/>
          <w:b/>
          <w:bCs/>
          <w:i/>
          <w:iCs/>
          <w:sz w:val="20"/>
          <w:szCs w:val="20"/>
        </w:rPr>
      </w:pPr>
      <w:r>
        <w:rPr>
          <w:rFonts w:ascii="Palatino Linotype" w:hAnsi="Palatino Linotype"/>
          <w:b/>
          <w:bCs/>
          <w:caps/>
          <w:sz w:val="20"/>
        </w:rPr>
        <w:t>6.Заключение</w:t>
      </w:r>
    </w:p>
    <w:p w:rsidR="004014C6" w:rsidRDefault="004014C6">
      <w:pPr>
        <w:pStyle w:val="a3"/>
        <w:spacing w:before="120" w:after="120" w:line="360" w:lineRule="auto"/>
        <w:ind w:firstLine="720"/>
        <w:rPr>
          <w:rFonts w:ascii="Palatino Linotype" w:hAnsi="Palatino Linotype"/>
          <w:sz w:val="20"/>
        </w:rPr>
      </w:pPr>
      <w:r>
        <w:rPr>
          <w:rFonts w:ascii="Palatino Linotype" w:hAnsi="Palatino Linotype"/>
          <w:sz w:val="20"/>
        </w:rPr>
        <w:t>В нынешних рыночных условиях крайне необходимо учитывать все изменения, дабы не отстать от времени и следить за состоянием рынка. Наступление информационного  века привело к тому, что на данный момент, сфера обслуживания и развлечений показывает все более высокие темпы роста по сравнению с  производством, некогда единственным критерием оценки экономики.</w:t>
      </w:r>
      <w:r>
        <w:rPr>
          <w:rFonts w:ascii="Palatino Linotype" w:hAnsi="Palatino Linotype"/>
          <w:sz w:val="20"/>
          <w:szCs w:val="20"/>
        </w:rPr>
        <w:t xml:space="preserve"> Поэтому я и выбрал для своей исследовательской работы проблему формирования финансовой информации в спорте и раскрытия ее в отчетности клубов. Надеюсь, мое видение проблемы, изложенное в работе, послужит руководством для ведения финансовой отчетности не только в футбольных клубах, но и в модельном бизнесе, адвокатских конторах, в частности, где роль человека, играет значительную роль в хозяйственной деятельности субъектов.</w:t>
      </w:r>
    </w:p>
    <w:p w:rsidR="004014C6" w:rsidRDefault="004014C6">
      <w:pPr>
        <w:pStyle w:val="a3"/>
        <w:spacing w:before="120" w:after="120" w:line="360" w:lineRule="auto"/>
        <w:rPr>
          <w:rFonts w:ascii="Palatino Linotype" w:hAnsi="Palatino Linotype"/>
          <w:b/>
          <w:bCs/>
          <w:sz w:val="20"/>
        </w:rPr>
      </w:pPr>
      <w:r>
        <w:rPr>
          <w:rFonts w:ascii="Palatino Linotype" w:hAnsi="Palatino Linotype"/>
          <w:b/>
          <w:bCs/>
          <w:sz w:val="20"/>
        </w:rPr>
        <w:t>Список использованной литературы:</w:t>
      </w:r>
    </w:p>
    <w:p w:rsidR="004014C6" w:rsidRDefault="004014C6">
      <w:pPr>
        <w:pStyle w:val="a3"/>
        <w:numPr>
          <w:ilvl w:val="0"/>
          <w:numId w:val="8"/>
        </w:numPr>
        <w:spacing w:before="120" w:after="120" w:line="360" w:lineRule="auto"/>
        <w:rPr>
          <w:rFonts w:ascii="Palatino Linotype" w:hAnsi="Palatino Linotype"/>
          <w:sz w:val="20"/>
          <w:lang w:val="en-US"/>
        </w:rPr>
      </w:pPr>
      <w:r>
        <w:rPr>
          <w:rFonts w:ascii="Palatino Linotype" w:hAnsi="Palatino Linotype"/>
          <w:sz w:val="20"/>
          <w:lang w:val="en-US"/>
        </w:rPr>
        <w:t>Deloitte &amp; Touché: “</w:t>
      </w:r>
      <w:r>
        <w:rPr>
          <w:rFonts w:ascii="Palatino Linotype" w:hAnsi="Palatino Linotype"/>
          <w:i/>
          <w:iCs/>
          <w:sz w:val="20"/>
          <w:lang w:val="en-US"/>
        </w:rPr>
        <w:t>Annual Review on Football Finance 2003</w:t>
      </w:r>
      <w:r>
        <w:rPr>
          <w:rFonts w:ascii="Palatino Linotype" w:hAnsi="Palatino Linotype"/>
          <w:sz w:val="20"/>
          <w:lang w:val="en-US"/>
        </w:rPr>
        <w:t xml:space="preserve"> ”, Manchester, 2003</w:t>
      </w:r>
    </w:p>
    <w:p w:rsidR="004014C6" w:rsidRDefault="004014C6">
      <w:pPr>
        <w:pStyle w:val="a3"/>
        <w:numPr>
          <w:ilvl w:val="0"/>
          <w:numId w:val="8"/>
        </w:numPr>
        <w:spacing w:before="120" w:after="120" w:line="360" w:lineRule="auto"/>
        <w:rPr>
          <w:rFonts w:ascii="Palatino Linotype" w:hAnsi="Palatino Linotype"/>
          <w:sz w:val="20"/>
        </w:rPr>
      </w:pPr>
      <w:r>
        <w:rPr>
          <w:rFonts w:ascii="Palatino Linotype" w:hAnsi="Palatino Linotype"/>
          <w:sz w:val="20"/>
        </w:rPr>
        <w:t xml:space="preserve">КМСФО: </w:t>
      </w:r>
      <w:r>
        <w:rPr>
          <w:rFonts w:ascii="Palatino Linotype" w:hAnsi="Palatino Linotype"/>
          <w:i/>
          <w:iCs/>
          <w:sz w:val="20"/>
        </w:rPr>
        <w:t>МСФО № 38 Учет нематериальных активов</w:t>
      </w:r>
      <w:r>
        <w:rPr>
          <w:rFonts w:ascii="Palatino Linotype" w:hAnsi="Palatino Linotype"/>
          <w:sz w:val="20"/>
        </w:rPr>
        <w:t>, Лондон, 1999</w:t>
      </w:r>
    </w:p>
    <w:p w:rsidR="004014C6" w:rsidRDefault="004014C6">
      <w:pPr>
        <w:pStyle w:val="a3"/>
        <w:numPr>
          <w:ilvl w:val="0"/>
          <w:numId w:val="8"/>
        </w:numPr>
        <w:spacing w:before="120" w:after="120" w:line="360" w:lineRule="auto"/>
        <w:rPr>
          <w:rFonts w:ascii="Palatino Linotype" w:hAnsi="Palatino Linotype"/>
          <w:sz w:val="20"/>
          <w:lang w:val="en-US"/>
        </w:rPr>
      </w:pPr>
      <w:r>
        <w:rPr>
          <w:rFonts w:ascii="Palatino Linotype" w:hAnsi="Palatino Linotype"/>
          <w:sz w:val="20"/>
          <w:lang w:val="en-US"/>
        </w:rPr>
        <w:t>Manchester United PLC: “</w:t>
      </w:r>
      <w:r>
        <w:rPr>
          <w:rFonts w:ascii="Palatino Linotype" w:hAnsi="Palatino Linotype"/>
          <w:i/>
          <w:iCs/>
          <w:sz w:val="20"/>
          <w:lang w:val="en-US"/>
        </w:rPr>
        <w:t xml:space="preserve">Consolidated Financial Statetements for the year ended 31 July 2003”, </w:t>
      </w:r>
      <w:r>
        <w:rPr>
          <w:rFonts w:ascii="Palatino Linotype" w:hAnsi="Palatino Linotype"/>
          <w:sz w:val="20"/>
          <w:lang w:val="en-US"/>
        </w:rPr>
        <w:t>http://www.manutd.com/finance</w:t>
      </w:r>
    </w:p>
    <w:p w:rsidR="004014C6" w:rsidRDefault="004014C6">
      <w:pPr>
        <w:pStyle w:val="a3"/>
        <w:numPr>
          <w:ilvl w:val="0"/>
          <w:numId w:val="8"/>
        </w:numPr>
        <w:spacing w:before="120" w:after="120" w:line="360" w:lineRule="auto"/>
        <w:rPr>
          <w:rFonts w:ascii="Palatino Linotype" w:hAnsi="Palatino Linotype"/>
          <w:sz w:val="20"/>
        </w:rPr>
      </w:pPr>
      <w:r>
        <w:rPr>
          <w:rFonts w:ascii="Palatino Linotype" w:hAnsi="Palatino Linotype"/>
          <w:sz w:val="20"/>
        </w:rPr>
        <w:t>Энтони Р., Рис Дж.: “</w:t>
      </w:r>
      <w:r>
        <w:rPr>
          <w:rFonts w:ascii="Palatino Linotype" w:hAnsi="Palatino Linotype"/>
          <w:i/>
          <w:iCs/>
          <w:sz w:val="20"/>
        </w:rPr>
        <w:t>Учет: Ситуации и Примеры</w:t>
      </w:r>
      <w:r>
        <w:rPr>
          <w:rFonts w:ascii="Palatino Linotype" w:hAnsi="Palatino Linotype"/>
          <w:sz w:val="20"/>
        </w:rPr>
        <w:t>”, Финансы и Статистика, 1998</w:t>
      </w:r>
    </w:p>
    <w:p w:rsidR="004014C6" w:rsidRDefault="004014C6">
      <w:pPr>
        <w:pStyle w:val="a3"/>
        <w:numPr>
          <w:ilvl w:val="0"/>
          <w:numId w:val="8"/>
        </w:numPr>
        <w:spacing w:before="120" w:after="120" w:line="360" w:lineRule="auto"/>
        <w:rPr>
          <w:rFonts w:ascii="Palatino Linotype" w:hAnsi="Palatino Linotype"/>
          <w:sz w:val="20"/>
          <w:lang w:val="en-US"/>
        </w:rPr>
      </w:pPr>
      <w:r>
        <w:rPr>
          <w:rFonts w:ascii="Palatino Linotype" w:hAnsi="Palatino Linotype"/>
          <w:sz w:val="20"/>
          <w:lang w:val="en-US"/>
        </w:rPr>
        <w:t>Flamholtz Eric G.: “</w:t>
      </w:r>
      <w:r>
        <w:rPr>
          <w:rFonts w:ascii="Palatino Linotype" w:hAnsi="Palatino Linotype"/>
          <w:i/>
          <w:iCs/>
          <w:sz w:val="20"/>
          <w:lang w:val="en-US"/>
        </w:rPr>
        <w:t>Human Resources Accounting</w:t>
      </w:r>
      <w:r>
        <w:rPr>
          <w:rFonts w:ascii="Palatino Linotype" w:hAnsi="Palatino Linotype"/>
          <w:sz w:val="20"/>
          <w:lang w:val="en-US"/>
        </w:rPr>
        <w:t>”, Jossey-Bass Publishers, 1986</w:t>
      </w:r>
    </w:p>
    <w:p w:rsidR="004014C6" w:rsidRDefault="004014C6">
      <w:pPr>
        <w:pStyle w:val="a3"/>
        <w:numPr>
          <w:ilvl w:val="0"/>
          <w:numId w:val="8"/>
        </w:numPr>
        <w:spacing w:before="120" w:after="120" w:line="360" w:lineRule="auto"/>
        <w:rPr>
          <w:rFonts w:ascii="Palatino Linotype" w:hAnsi="Palatino Linotype"/>
          <w:sz w:val="20"/>
          <w:lang w:val="en-US"/>
        </w:rPr>
      </w:pPr>
      <w:r>
        <w:rPr>
          <w:rFonts w:ascii="Palatino Linotype" w:hAnsi="Palatino Linotype"/>
          <w:sz w:val="20"/>
          <w:lang w:val="en-US"/>
        </w:rPr>
        <w:t xml:space="preserve">Sir Norman Chester Center for Football Research: </w:t>
      </w:r>
      <w:r>
        <w:rPr>
          <w:rFonts w:ascii="Palatino Linotype" w:hAnsi="Palatino Linotype"/>
          <w:i/>
          <w:iCs/>
          <w:sz w:val="20"/>
          <w:lang w:val="en-US"/>
        </w:rPr>
        <w:t>Football Economics,</w:t>
      </w:r>
      <w:r>
        <w:rPr>
          <w:rFonts w:ascii="Palatino Linotype" w:hAnsi="Palatino Linotype"/>
          <w:sz w:val="20"/>
          <w:lang w:val="en-US"/>
        </w:rPr>
        <w:t xml:space="preserve"> University of Leicester, 2000</w:t>
      </w:r>
      <w:bookmarkStart w:id="0" w:name="_GoBack"/>
      <w:bookmarkEnd w:id="0"/>
    </w:p>
    <w:sectPr w:rsidR="004014C6">
      <w:headerReference w:type="default" r:id="rId7"/>
      <w:footerReference w:type="even"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4C6" w:rsidRDefault="004014C6">
      <w:r>
        <w:separator/>
      </w:r>
    </w:p>
  </w:endnote>
  <w:endnote w:type="continuationSeparator" w:id="0">
    <w:p w:rsidR="004014C6" w:rsidRDefault="0040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C6" w:rsidRDefault="004014C6">
    <w:pPr>
      <w:pStyle w:val="a8"/>
      <w:framePr w:wrap="around" w:vAnchor="text" w:hAnchor="margin" w:xAlign="center" w:y="1"/>
      <w:rPr>
        <w:rStyle w:val="a9"/>
      </w:rPr>
    </w:pPr>
  </w:p>
  <w:p w:rsidR="004014C6" w:rsidRDefault="004014C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C6" w:rsidRDefault="00A43612">
    <w:pPr>
      <w:pStyle w:val="a8"/>
      <w:framePr w:wrap="around" w:vAnchor="text" w:hAnchor="margin" w:xAlign="center" w:y="1"/>
      <w:rPr>
        <w:rStyle w:val="a9"/>
        <w:color w:val="999999"/>
        <w:sz w:val="22"/>
      </w:rPr>
    </w:pPr>
    <w:r>
      <w:rPr>
        <w:rStyle w:val="a9"/>
        <w:noProof/>
        <w:color w:val="999999"/>
        <w:sz w:val="22"/>
      </w:rPr>
      <w:t>1</w:t>
    </w:r>
  </w:p>
  <w:p w:rsidR="004014C6" w:rsidRDefault="004014C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4C6" w:rsidRDefault="004014C6">
      <w:r>
        <w:separator/>
      </w:r>
    </w:p>
  </w:footnote>
  <w:footnote w:type="continuationSeparator" w:id="0">
    <w:p w:rsidR="004014C6" w:rsidRDefault="004014C6">
      <w:r>
        <w:continuationSeparator/>
      </w:r>
    </w:p>
  </w:footnote>
  <w:footnote w:id="1">
    <w:p w:rsidR="004014C6" w:rsidRDefault="004014C6">
      <w:pPr>
        <w:pStyle w:val="ab"/>
      </w:pPr>
      <w:r>
        <w:rPr>
          <w:rStyle w:val="ac"/>
        </w:rPr>
        <w:footnoteRef/>
      </w:r>
      <w:r>
        <w:t xml:space="preserve"> Sir Norman Chester Center for Football Research: </w:t>
      </w:r>
      <w:r>
        <w:rPr>
          <w:i/>
          <w:iCs/>
        </w:rPr>
        <w:t>Football Economics,</w:t>
      </w:r>
      <w:r>
        <w:t xml:space="preserve"> University of Leicester, 2000</w:t>
      </w:r>
    </w:p>
  </w:footnote>
  <w:footnote w:id="2">
    <w:p w:rsidR="004014C6" w:rsidRDefault="004014C6">
      <w:pPr>
        <w:pStyle w:val="ab"/>
      </w:pPr>
      <w:r>
        <w:rPr>
          <w:rStyle w:val="ac"/>
        </w:rPr>
        <w:footnoteRef/>
      </w:r>
      <w:r>
        <w:t xml:space="preserve"> </w:t>
      </w:r>
      <w:r>
        <w:rPr>
          <w:lang w:val="ru-RU"/>
        </w:rPr>
        <w:t>Нидлз</w:t>
      </w:r>
      <w:r>
        <w:t xml:space="preserve">, </w:t>
      </w:r>
      <w:r>
        <w:rPr>
          <w:lang w:val="ru-RU"/>
        </w:rPr>
        <w:t>с</w:t>
      </w:r>
      <w:r>
        <w:t>.21</w:t>
      </w:r>
    </w:p>
  </w:footnote>
  <w:footnote w:id="3">
    <w:p w:rsidR="004014C6" w:rsidRDefault="004014C6">
      <w:pPr>
        <w:pStyle w:val="ab"/>
        <w:rPr>
          <w:lang w:val="ru-RU"/>
        </w:rPr>
      </w:pPr>
      <w:r>
        <w:rPr>
          <w:rStyle w:val="ac"/>
        </w:rPr>
        <w:footnoteRef/>
      </w:r>
      <w:r>
        <w:t xml:space="preserve"> Flamholtz, с.37</w:t>
      </w:r>
    </w:p>
  </w:footnote>
  <w:footnote w:id="4">
    <w:p w:rsidR="004014C6" w:rsidRDefault="004014C6">
      <w:pPr>
        <w:pStyle w:val="ab"/>
      </w:pPr>
      <w:r>
        <w:rPr>
          <w:rStyle w:val="ac"/>
        </w:rPr>
        <w:footnoteRef/>
      </w:r>
      <w:r>
        <w:t xml:space="preserve"> </w:t>
      </w:r>
      <w:r>
        <w:rPr>
          <w:lang w:val="ru-RU"/>
        </w:rPr>
        <w:t>Энтони, с.</w:t>
      </w:r>
      <w:r>
        <w:t xml:space="preserve"> 31</w:t>
      </w:r>
    </w:p>
  </w:footnote>
  <w:footnote w:id="5">
    <w:p w:rsidR="004014C6" w:rsidRDefault="004014C6">
      <w:pPr>
        <w:pStyle w:val="ab"/>
        <w:rPr>
          <w:lang w:val="ru-RU"/>
        </w:rPr>
      </w:pPr>
      <w:r>
        <w:rPr>
          <w:rStyle w:val="ac"/>
        </w:rPr>
        <w:footnoteRef/>
      </w:r>
      <w:r>
        <w:rPr>
          <w:lang w:val="ru-RU"/>
        </w:rPr>
        <w:t xml:space="preserve"> Р. Энтони, с.27</w:t>
      </w:r>
    </w:p>
  </w:footnote>
  <w:footnote w:id="6">
    <w:p w:rsidR="004014C6" w:rsidRDefault="004014C6">
      <w:pPr>
        <w:pStyle w:val="ab"/>
      </w:pPr>
      <w:r>
        <w:rPr>
          <w:rStyle w:val="ac"/>
        </w:rPr>
        <w:footnoteRef/>
      </w:r>
      <w:r>
        <w:t xml:space="preserve"> Flamholtz, с.42</w:t>
      </w:r>
    </w:p>
  </w:footnote>
  <w:footnote w:id="7">
    <w:p w:rsidR="004014C6" w:rsidRDefault="004014C6">
      <w:pPr>
        <w:pStyle w:val="ab"/>
      </w:pPr>
      <w:r>
        <w:rPr>
          <w:rStyle w:val="ac"/>
        </w:rPr>
        <w:footnoteRef/>
      </w:r>
      <w:r>
        <w:t xml:space="preserve"> http://www.manutd.com/finance</w:t>
      </w:r>
    </w:p>
  </w:footnote>
  <w:footnote w:id="8">
    <w:p w:rsidR="004014C6" w:rsidRDefault="004014C6">
      <w:pPr>
        <w:pStyle w:val="ab"/>
      </w:pPr>
      <w:r>
        <w:rPr>
          <w:rStyle w:val="ac"/>
        </w:rPr>
        <w:footnoteRef/>
      </w:r>
      <w:r>
        <w:t xml:space="preserve"> http://www.manutd.com/finance</w:t>
      </w:r>
    </w:p>
  </w:footnote>
  <w:footnote w:id="9">
    <w:p w:rsidR="004014C6" w:rsidRDefault="004014C6">
      <w:pPr>
        <w:pStyle w:val="ab"/>
      </w:pPr>
      <w:r>
        <w:rPr>
          <w:rStyle w:val="ac"/>
        </w:rPr>
        <w:footnoteRef/>
      </w:r>
      <w:r>
        <w:t xml:space="preserve"> МСФО № 38</w:t>
      </w:r>
    </w:p>
  </w:footnote>
  <w:footnote w:id="10">
    <w:p w:rsidR="004014C6" w:rsidRDefault="004014C6">
      <w:pPr>
        <w:pStyle w:val="ab"/>
      </w:pPr>
      <w:r>
        <w:rPr>
          <w:rStyle w:val="ac"/>
        </w:rPr>
        <w:footnoteRef/>
      </w:r>
      <w:r>
        <w:t xml:space="preserve"> Flamholtz c</w:t>
      </w:r>
      <w:r>
        <w:rPr>
          <w:lang w:val="ru-RU"/>
        </w:rPr>
        <w:t>.</w:t>
      </w:r>
      <w:r>
        <w:t>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C6" w:rsidRDefault="004014C6">
    <w:pPr>
      <w:pStyle w:val="a7"/>
      <w:jc w:val="right"/>
      <w:rPr>
        <w:rFonts w:ascii="Palatino Linotype" w:hAnsi="Palatino Linotype"/>
        <w:sz w:val="20"/>
        <w:lang w:val="ru-RU"/>
      </w:rPr>
    </w:pPr>
    <w:r>
      <w:rPr>
        <w:rFonts w:ascii="Palatino Linotype" w:hAnsi="Palatino Linotype"/>
        <w:sz w:val="20"/>
        <w:lang w:val="ru-RU"/>
      </w:rPr>
      <w:t>Учет в профессиональном спорте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86A6E"/>
    <w:multiLevelType w:val="hybridMultilevel"/>
    <w:tmpl w:val="9C10A8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F73262"/>
    <w:multiLevelType w:val="hybridMultilevel"/>
    <w:tmpl w:val="DC6E0E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F2169BB"/>
    <w:multiLevelType w:val="hybridMultilevel"/>
    <w:tmpl w:val="EA9E579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0E80EFB"/>
    <w:multiLevelType w:val="hybridMultilevel"/>
    <w:tmpl w:val="DC6E0E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F092912"/>
    <w:multiLevelType w:val="hybridMultilevel"/>
    <w:tmpl w:val="AD900D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626C46"/>
    <w:multiLevelType w:val="hybridMultilevel"/>
    <w:tmpl w:val="EA9E579C"/>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7A3475"/>
    <w:multiLevelType w:val="hybridMultilevel"/>
    <w:tmpl w:val="850EDF9E"/>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BE461CD"/>
    <w:multiLevelType w:val="hybridMultilevel"/>
    <w:tmpl w:val="7D3E2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7C1855"/>
    <w:multiLevelType w:val="hybridMultilevel"/>
    <w:tmpl w:val="72A25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C40522"/>
    <w:multiLevelType w:val="hybridMultilevel"/>
    <w:tmpl w:val="275C46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7596F28"/>
    <w:multiLevelType w:val="hybridMultilevel"/>
    <w:tmpl w:val="57FAA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BF3836"/>
    <w:multiLevelType w:val="hybridMultilevel"/>
    <w:tmpl w:val="D082C74A"/>
    <w:lvl w:ilvl="0" w:tplc="D56870F4">
      <w:start w:val="3"/>
      <w:numFmt w:val="bullet"/>
      <w:lvlText w:val=""/>
      <w:lvlJc w:val="left"/>
      <w:pPr>
        <w:tabs>
          <w:tab w:val="num" w:pos="720"/>
        </w:tabs>
        <w:ind w:left="720" w:hanging="360"/>
      </w:pPr>
      <w:rPr>
        <w:rFonts w:ascii="Symbol" w:eastAsia="Times New Roman" w:hAnsi="Symbol" w:cs="Aria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49027C"/>
    <w:multiLevelType w:val="singleLevel"/>
    <w:tmpl w:val="04090011"/>
    <w:lvl w:ilvl="0">
      <w:start w:val="1"/>
      <w:numFmt w:val="decimal"/>
      <w:lvlText w:val="%1)"/>
      <w:lvlJc w:val="left"/>
      <w:pPr>
        <w:tabs>
          <w:tab w:val="num" w:pos="1080"/>
        </w:tabs>
        <w:ind w:left="1080" w:hanging="360"/>
      </w:pPr>
    </w:lvl>
  </w:abstractNum>
  <w:abstractNum w:abstractNumId="13">
    <w:nsid w:val="5A6A53DA"/>
    <w:multiLevelType w:val="hybridMultilevel"/>
    <w:tmpl w:val="4F886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157826"/>
    <w:multiLevelType w:val="hybridMultilevel"/>
    <w:tmpl w:val="275C46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B8B5E4A"/>
    <w:multiLevelType w:val="hybridMultilevel"/>
    <w:tmpl w:val="FFCE3FFA"/>
    <w:lvl w:ilvl="0" w:tplc="0409001B">
      <w:start w:val="1"/>
      <w:numFmt w:val="lowerRoman"/>
      <w:lvlText w:val="%1."/>
      <w:lvlJc w:val="righ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7BF94338"/>
    <w:multiLevelType w:val="hybridMultilevel"/>
    <w:tmpl w:val="814A836E"/>
    <w:lvl w:ilvl="0" w:tplc="E39C91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C4B270B"/>
    <w:multiLevelType w:val="hybridMultilevel"/>
    <w:tmpl w:val="743C8EA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F930EA"/>
    <w:multiLevelType w:val="hybridMultilevel"/>
    <w:tmpl w:val="9C10A8CC"/>
    <w:lvl w:ilvl="0" w:tplc="0409000F">
      <w:start w:val="1"/>
      <w:numFmt w:val="decimal"/>
      <w:lvlText w:val="%1."/>
      <w:lvlJc w:val="left"/>
      <w:pPr>
        <w:tabs>
          <w:tab w:val="num" w:pos="1080"/>
        </w:tabs>
        <w:ind w:left="1080" w:hanging="360"/>
      </w:pPr>
    </w:lvl>
    <w:lvl w:ilvl="1" w:tplc="0409001B">
      <w:start w:val="1"/>
      <w:numFmt w:val="lowerRoman"/>
      <w:lvlText w:val="%2."/>
      <w:lvlJc w:val="righ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D667CFC"/>
    <w:multiLevelType w:val="hybridMultilevel"/>
    <w:tmpl w:val="24DC7F02"/>
    <w:lvl w:ilvl="0" w:tplc="B4FA511C">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BA0CE4"/>
    <w:multiLevelType w:val="hybridMultilevel"/>
    <w:tmpl w:val="743C8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7"/>
  </w:num>
  <w:num w:numId="4">
    <w:abstractNumId w:val="6"/>
  </w:num>
  <w:num w:numId="5">
    <w:abstractNumId w:val="12"/>
  </w:num>
  <w:num w:numId="6">
    <w:abstractNumId w:val="9"/>
  </w:num>
  <w:num w:numId="7">
    <w:abstractNumId w:val="14"/>
  </w:num>
  <w:num w:numId="8">
    <w:abstractNumId w:val="4"/>
  </w:num>
  <w:num w:numId="9">
    <w:abstractNumId w:val="18"/>
  </w:num>
  <w:num w:numId="10">
    <w:abstractNumId w:val="0"/>
  </w:num>
  <w:num w:numId="11">
    <w:abstractNumId w:val="8"/>
  </w:num>
  <w:num w:numId="12">
    <w:abstractNumId w:val="13"/>
  </w:num>
  <w:num w:numId="13">
    <w:abstractNumId w:val="7"/>
  </w:num>
  <w:num w:numId="14">
    <w:abstractNumId w:val="3"/>
  </w:num>
  <w:num w:numId="15">
    <w:abstractNumId w:val="1"/>
  </w:num>
  <w:num w:numId="16">
    <w:abstractNumId w:val="2"/>
  </w:num>
  <w:num w:numId="17">
    <w:abstractNumId w:val="5"/>
  </w:num>
  <w:num w:numId="18">
    <w:abstractNumId w:val="15"/>
  </w:num>
  <w:num w:numId="19">
    <w:abstractNumId w:val="11"/>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revisionView w:markup="0"/>
  <w:doNotTrackMoves/>
  <w:doNotTrackFormatting/>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612"/>
    <w:rsid w:val="004014C6"/>
    <w:rsid w:val="007E76F5"/>
    <w:rsid w:val="00A43612"/>
    <w:rsid w:val="00BE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88E90529-6B4A-46FC-8CAF-A0B753DE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widowControl w:val="0"/>
      <w:outlineLvl w:val="0"/>
    </w:pPr>
    <w:rPr>
      <w:b/>
      <w:sz w:val="20"/>
      <w:szCs w:val="20"/>
      <w:lang w:val="ru-RU"/>
    </w:rPr>
  </w:style>
  <w:style w:type="paragraph" w:styleId="2">
    <w:name w:val="heading 2"/>
    <w:basedOn w:val="a"/>
    <w:next w:val="a"/>
    <w:qFormat/>
    <w:pPr>
      <w:keepNext/>
      <w:spacing w:before="120" w:after="120" w:line="336" w:lineRule="auto"/>
      <w:jc w:val="both"/>
      <w:outlineLvl w:val="1"/>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lang w:val="ru-RU"/>
    </w:rPr>
  </w:style>
  <w:style w:type="paragraph" w:styleId="a4">
    <w:name w:val="Title"/>
    <w:basedOn w:val="a"/>
    <w:qFormat/>
    <w:pPr>
      <w:jc w:val="center"/>
    </w:pPr>
    <w:rPr>
      <w:b/>
      <w:bCs/>
      <w:lang w:val="ru-RU"/>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5">
    <w:name w:val="Normal (Web)"/>
    <w:basedOn w:val="a"/>
    <w:semiHidden/>
    <w:pPr>
      <w:spacing w:before="100" w:beforeAutospacing="1" w:after="100" w:afterAutospacing="1"/>
    </w:pPr>
    <w:rPr>
      <w:rFonts w:ascii="Arial Unicode MS" w:eastAsia="Arial Unicode MS" w:hAnsi="Arial Unicode MS" w:cs="Arial Unicode MS"/>
      <w:color w:val="000000"/>
    </w:rPr>
  </w:style>
  <w:style w:type="character" w:styleId="HTML0">
    <w:name w:val="HTML Definition"/>
    <w:semiHidden/>
    <w:rPr>
      <w:i/>
      <w:iCs/>
    </w:rPr>
  </w:style>
  <w:style w:type="paragraph" w:styleId="a6">
    <w:name w:val="Subtitle"/>
    <w:basedOn w:val="a"/>
    <w:qFormat/>
    <w:pPr>
      <w:jc w:val="right"/>
    </w:pPr>
    <w:rPr>
      <w:rFonts w:ascii="Courier New" w:hAnsi="Courier New" w:cs="Courier New"/>
      <w:b/>
      <w:bCs/>
      <w:color w:val="999999"/>
      <w:sz w:val="28"/>
      <w:szCs w:val="28"/>
    </w:rPr>
  </w:style>
  <w:style w:type="paragraph" w:styleId="a7">
    <w:name w:val="header"/>
    <w:basedOn w:val="a"/>
    <w:semiHidden/>
    <w:pPr>
      <w:tabs>
        <w:tab w:val="center" w:pos="4844"/>
        <w:tab w:val="right" w:pos="9689"/>
      </w:tabs>
    </w:pPr>
  </w:style>
  <w:style w:type="paragraph" w:styleId="a8">
    <w:name w:val="footer"/>
    <w:basedOn w:val="a"/>
    <w:semiHidden/>
    <w:pPr>
      <w:tabs>
        <w:tab w:val="center" w:pos="4844"/>
        <w:tab w:val="right" w:pos="9689"/>
      </w:tabs>
    </w:pPr>
  </w:style>
  <w:style w:type="character" w:styleId="a9">
    <w:name w:val="page number"/>
    <w:basedOn w:val="a0"/>
    <w:semiHidden/>
  </w:style>
  <w:style w:type="paragraph" w:styleId="aa">
    <w:name w:val="Body Text Indent"/>
    <w:basedOn w:val="a"/>
    <w:semiHidden/>
    <w:pPr>
      <w:autoSpaceDE w:val="0"/>
      <w:autoSpaceDN w:val="0"/>
      <w:jc w:val="both"/>
    </w:pPr>
    <w:rPr>
      <w:rFonts w:ascii="Arial" w:hAnsi="Arial" w:cs="Arial"/>
      <w:b/>
      <w:bCs/>
      <w:lang w:val="ru-RU" w:eastAsia="ru-RU"/>
    </w:rPr>
  </w:style>
  <w:style w:type="paragraph" w:styleId="20">
    <w:name w:val="Body Text Indent 2"/>
    <w:basedOn w:val="a"/>
    <w:semiHidden/>
    <w:pPr>
      <w:spacing w:before="120" w:after="120" w:line="360" w:lineRule="auto"/>
      <w:ind w:firstLine="720"/>
      <w:jc w:val="both"/>
    </w:pPr>
    <w:rPr>
      <w:lang w:val="ru-RU"/>
    </w:rPr>
  </w:style>
  <w:style w:type="paragraph" w:styleId="ab">
    <w:name w:val="footnote text"/>
    <w:basedOn w:val="a"/>
    <w:semiHidden/>
    <w:rPr>
      <w:sz w:val="20"/>
      <w:szCs w:val="20"/>
    </w:rPr>
  </w:style>
  <w:style w:type="character" w:styleId="ac">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2579</Words>
  <Characters>14704</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Учет в профессиональном спорте</vt:lpstr>
      <vt:lpstr>Учет в профессиональном спорте</vt:lpstr>
    </vt:vector>
  </TitlesOfParts>
  <Company>AUCA</Company>
  <LinksUpToDate>false</LinksUpToDate>
  <CharactersWithSpaces>17249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в профессиональном спорте</dc:title>
  <dc:subject/>
  <dc:creator>Кулжабаев Самат</dc:creator>
  <cp:keywords/>
  <dc:description/>
  <cp:lastModifiedBy>Irina</cp:lastModifiedBy>
  <cp:revision>2</cp:revision>
  <dcterms:created xsi:type="dcterms:W3CDTF">2014-08-03T19:23:00Z</dcterms:created>
  <dcterms:modified xsi:type="dcterms:W3CDTF">2014-08-03T19:23:00Z</dcterms:modified>
</cp:coreProperties>
</file>