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574" w:rsidRDefault="00DF1574">
      <w:pPr>
        <w:pStyle w:val="2"/>
        <w:rPr>
          <w:rFonts w:ascii="Times New Roman" w:hAnsi="Times New Roman" w:cs="Times New Roman"/>
          <w:sz w:val="36"/>
        </w:rPr>
      </w:pPr>
    </w:p>
    <w:p w:rsidR="00DF1574" w:rsidRDefault="00DF1574">
      <w:pPr>
        <w:pStyle w:val="2"/>
        <w:rPr>
          <w:rFonts w:ascii="Times New Roman" w:hAnsi="Times New Roman" w:cs="Times New Roman"/>
          <w:sz w:val="36"/>
        </w:rPr>
      </w:pPr>
    </w:p>
    <w:p w:rsidR="00DF1574" w:rsidRDefault="00DF1574">
      <w:pPr>
        <w:pStyle w:val="2"/>
        <w:rPr>
          <w:rFonts w:ascii="Times New Roman" w:hAnsi="Times New Roman" w:cs="Times New Roman"/>
          <w:sz w:val="36"/>
        </w:rPr>
      </w:pPr>
    </w:p>
    <w:p w:rsidR="00DF1574" w:rsidRDefault="00DF1574">
      <w:pPr>
        <w:pStyle w:val="2"/>
        <w:rPr>
          <w:rFonts w:ascii="Times New Roman" w:hAnsi="Times New Roman" w:cs="Times New Roman"/>
          <w:sz w:val="36"/>
        </w:rPr>
      </w:pPr>
    </w:p>
    <w:p w:rsidR="00DF1574" w:rsidRDefault="00DF1574">
      <w:pPr>
        <w:pStyle w:val="2"/>
        <w:rPr>
          <w:rFonts w:ascii="Times New Roman" w:hAnsi="Times New Roman" w:cs="Times New Roman"/>
          <w:sz w:val="36"/>
        </w:rPr>
      </w:pPr>
    </w:p>
    <w:p w:rsidR="00DF1574" w:rsidRDefault="00DF1574">
      <w:pPr>
        <w:pStyle w:val="2"/>
        <w:jc w:val="right"/>
        <w:rPr>
          <w:rFonts w:ascii="Times New Roman" w:hAnsi="Times New Roman" w:cs="Times New Roman"/>
          <w:i/>
          <w:iCs/>
          <w:sz w:val="36"/>
        </w:rPr>
      </w:pPr>
    </w:p>
    <w:p w:rsidR="00DF1574" w:rsidRDefault="00DF1574">
      <w:pPr>
        <w:pStyle w:val="2"/>
        <w:jc w:val="right"/>
        <w:rPr>
          <w:rFonts w:ascii="Times New Roman" w:hAnsi="Times New Roman" w:cs="Times New Roman"/>
          <w:i/>
          <w:iCs/>
          <w:sz w:val="36"/>
        </w:rPr>
      </w:pPr>
    </w:p>
    <w:p w:rsidR="00DF1574" w:rsidRDefault="00DF1574">
      <w:pPr>
        <w:pStyle w:val="2"/>
        <w:jc w:val="right"/>
        <w:rPr>
          <w:rFonts w:ascii="Times New Roman" w:hAnsi="Times New Roman" w:cs="Times New Roman"/>
          <w:i/>
          <w:iCs/>
          <w:sz w:val="36"/>
        </w:rPr>
      </w:pPr>
    </w:p>
    <w:p w:rsidR="00DF1574" w:rsidRDefault="00DF1574">
      <w:pPr>
        <w:pStyle w:val="2"/>
        <w:jc w:val="right"/>
        <w:rPr>
          <w:rFonts w:ascii="Times New Roman" w:hAnsi="Times New Roman" w:cs="Times New Roman"/>
          <w:sz w:val="36"/>
        </w:rPr>
      </w:pPr>
    </w:p>
    <w:p w:rsidR="00DF1574" w:rsidRDefault="00DF1574">
      <w:pPr>
        <w:pStyle w:val="2"/>
        <w:ind w:left="4248" w:firstLine="708"/>
        <w:jc w:val="left"/>
        <w:rPr>
          <w:rFonts w:ascii="Times New Roman" w:hAnsi="Times New Roman" w:cs="Times New Roman"/>
          <w:sz w:val="36"/>
        </w:rPr>
      </w:pPr>
    </w:p>
    <w:p w:rsidR="00DF1574" w:rsidRDefault="00DF1574">
      <w:pPr>
        <w:pStyle w:val="2"/>
        <w:rPr>
          <w:rFonts w:ascii="Times New Roman" w:hAnsi="Times New Roman" w:cs="Times New Roman"/>
          <w:b w:val="0"/>
          <w:bCs w:val="0"/>
          <w:sz w:val="36"/>
        </w:rPr>
      </w:pPr>
    </w:p>
    <w:p w:rsidR="00DF1574" w:rsidRDefault="00DF1574">
      <w:pPr>
        <w:pStyle w:val="2"/>
        <w:jc w:val="left"/>
        <w:rPr>
          <w:rFonts w:ascii="Times New Roman" w:hAnsi="Times New Roman" w:cs="Times New Roman"/>
          <w:b w:val="0"/>
          <w:bCs w:val="0"/>
          <w:sz w:val="36"/>
        </w:rPr>
      </w:pPr>
    </w:p>
    <w:p w:rsidR="00DF1574" w:rsidRDefault="00DF1574">
      <w:pPr>
        <w:pStyle w:val="2"/>
        <w:rPr>
          <w:rFonts w:ascii="Times New Roman" w:hAnsi="Times New Roman" w:cs="Times New Roman"/>
          <w:b w:val="0"/>
          <w:bCs w:val="0"/>
          <w:sz w:val="36"/>
        </w:rPr>
      </w:pPr>
    </w:p>
    <w:p w:rsidR="00DF1574" w:rsidRDefault="00BF63A3">
      <w:pPr>
        <w:pStyle w:val="2"/>
        <w:spacing w:line="360" w:lineRule="auto"/>
        <w:rPr>
          <w:rFonts w:ascii="Times New Roman" w:hAnsi="Times New Roman" w:cs="Times New Roman"/>
          <w:iCs/>
          <w:caps/>
          <w:sz w:val="52"/>
        </w:rPr>
      </w:pPr>
      <w:r>
        <w:rPr>
          <w:rFonts w:ascii="Times New Roman" w:hAnsi="Times New Roman" w:cs="Times New Roman"/>
          <w:iCs/>
          <w:caps/>
          <w:sz w:val="52"/>
        </w:rPr>
        <w:t>Контрольна РОБОТА</w:t>
      </w:r>
    </w:p>
    <w:p w:rsidR="00DF1574" w:rsidRDefault="00BF63A3">
      <w:pPr>
        <w:pStyle w:val="2"/>
        <w:spacing w:line="360" w:lineRule="auto"/>
        <w:rPr>
          <w:rFonts w:ascii="Times New Roman" w:hAnsi="Times New Roman" w:cs="Times New Roman"/>
          <w:iCs/>
          <w:sz w:val="44"/>
        </w:rPr>
      </w:pPr>
      <w:r>
        <w:rPr>
          <w:rFonts w:ascii="Times New Roman" w:hAnsi="Times New Roman" w:cs="Times New Roman"/>
          <w:iCs/>
          <w:sz w:val="44"/>
        </w:rPr>
        <w:t>«Моніторинг</w:t>
      </w:r>
      <w:r>
        <w:rPr>
          <w:rFonts w:ascii="Times New Roman" w:hAnsi="Times New Roman" w:cs="Times New Roman"/>
          <w:iCs/>
          <w:sz w:val="44"/>
          <w:lang w:val="en-US"/>
        </w:rPr>
        <w:t xml:space="preserve"> </w:t>
      </w:r>
      <w:r>
        <w:rPr>
          <w:rFonts w:ascii="Times New Roman" w:hAnsi="Times New Roman" w:cs="Times New Roman"/>
          <w:iCs/>
          <w:sz w:val="44"/>
        </w:rPr>
        <w:t>земель»</w:t>
      </w:r>
    </w:p>
    <w:p w:rsidR="00DF1574" w:rsidRDefault="00DF1574">
      <w:pPr>
        <w:pStyle w:val="2"/>
        <w:rPr>
          <w:rFonts w:ascii="Times New Roman" w:hAnsi="Times New Roman" w:cs="Times New Roman"/>
          <w:b w:val="0"/>
          <w:bCs w:val="0"/>
          <w:sz w:val="36"/>
        </w:rPr>
      </w:pPr>
    </w:p>
    <w:p w:rsidR="00DF1574" w:rsidRDefault="00DF1574">
      <w:pPr>
        <w:pStyle w:val="2"/>
        <w:jc w:val="left"/>
        <w:rPr>
          <w:rFonts w:ascii="Times New Roman" w:hAnsi="Times New Roman" w:cs="Times New Roman"/>
          <w:b w:val="0"/>
          <w:bCs w:val="0"/>
          <w:sz w:val="36"/>
        </w:rPr>
      </w:pPr>
    </w:p>
    <w:p w:rsidR="00DF1574" w:rsidRDefault="00DF1574">
      <w:pPr>
        <w:pStyle w:val="2"/>
        <w:jc w:val="left"/>
        <w:rPr>
          <w:rFonts w:ascii="Times New Roman" w:hAnsi="Times New Roman" w:cs="Times New Roman"/>
          <w:b w:val="0"/>
          <w:bCs w:val="0"/>
          <w:sz w:val="36"/>
        </w:rPr>
      </w:pPr>
    </w:p>
    <w:p w:rsidR="00DF1574" w:rsidRDefault="00DF1574">
      <w:pPr>
        <w:pStyle w:val="2"/>
        <w:jc w:val="left"/>
        <w:rPr>
          <w:rFonts w:ascii="Times New Roman" w:hAnsi="Times New Roman" w:cs="Times New Roman"/>
          <w:b w:val="0"/>
          <w:bCs w:val="0"/>
          <w:sz w:val="36"/>
        </w:rPr>
      </w:pPr>
    </w:p>
    <w:p w:rsidR="00DF1574" w:rsidRDefault="00DF1574">
      <w:pPr>
        <w:pStyle w:val="2"/>
        <w:jc w:val="left"/>
        <w:rPr>
          <w:rFonts w:ascii="Times New Roman" w:hAnsi="Times New Roman" w:cs="Times New Roman"/>
          <w:b w:val="0"/>
          <w:bCs w:val="0"/>
          <w:sz w:val="36"/>
        </w:rPr>
      </w:pPr>
    </w:p>
    <w:p w:rsidR="00DF1574" w:rsidRDefault="00DF1574">
      <w:pPr>
        <w:pStyle w:val="2"/>
        <w:jc w:val="left"/>
        <w:rPr>
          <w:rFonts w:ascii="Times New Roman" w:hAnsi="Times New Roman" w:cs="Times New Roman"/>
          <w:b w:val="0"/>
          <w:bCs w:val="0"/>
          <w:sz w:val="36"/>
        </w:rPr>
      </w:pPr>
    </w:p>
    <w:p w:rsidR="00DF1574" w:rsidRDefault="00DF1574">
      <w:pPr>
        <w:pStyle w:val="2"/>
        <w:jc w:val="left"/>
        <w:rPr>
          <w:rFonts w:ascii="Times New Roman" w:hAnsi="Times New Roman" w:cs="Times New Roman"/>
          <w:b w:val="0"/>
          <w:bCs w:val="0"/>
          <w:sz w:val="36"/>
        </w:rPr>
      </w:pPr>
    </w:p>
    <w:p w:rsidR="00DF1574" w:rsidRDefault="00DF1574">
      <w:pPr>
        <w:pStyle w:val="2"/>
        <w:jc w:val="left"/>
        <w:rPr>
          <w:rFonts w:ascii="Times New Roman" w:hAnsi="Times New Roman" w:cs="Times New Roman"/>
          <w:b w:val="0"/>
          <w:bCs w:val="0"/>
          <w:sz w:val="36"/>
        </w:rPr>
      </w:pPr>
    </w:p>
    <w:p w:rsidR="00DF1574" w:rsidRDefault="00DF1574">
      <w:pPr>
        <w:pStyle w:val="2"/>
        <w:jc w:val="left"/>
        <w:rPr>
          <w:rFonts w:ascii="Times New Roman" w:hAnsi="Times New Roman" w:cs="Times New Roman"/>
          <w:b w:val="0"/>
          <w:bCs w:val="0"/>
          <w:sz w:val="36"/>
        </w:rPr>
      </w:pPr>
    </w:p>
    <w:p w:rsidR="00DF1574" w:rsidRDefault="00DF1574">
      <w:pPr>
        <w:pStyle w:val="2"/>
        <w:jc w:val="left"/>
        <w:rPr>
          <w:rFonts w:ascii="Times New Roman" w:hAnsi="Times New Roman" w:cs="Times New Roman"/>
          <w:b w:val="0"/>
          <w:bCs w:val="0"/>
          <w:sz w:val="36"/>
        </w:rPr>
      </w:pPr>
    </w:p>
    <w:p w:rsidR="00DF1574" w:rsidRDefault="00BF63A3">
      <w:pPr>
        <w:pStyle w:val="2"/>
        <w:ind w:left="5664"/>
        <w:jc w:val="both"/>
        <w:rPr>
          <w:rFonts w:ascii="Times New Roman" w:hAnsi="Times New Roman" w:cs="Times New Roman"/>
          <w:i/>
          <w:iCs/>
          <w:sz w:val="28"/>
        </w:rPr>
      </w:pPr>
      <w:r>
        <w:rPr>
          <w:rFonts w:ascii="Times New Roman" w:hAnsi="Times New Roman" w:cs="Times New Roman"/>
          <w:b w:val="0"/>
          <w:bCs w:val="0"/>
          <w:sz w:val="36"/>
        </w:rPr>
        <w:t xml:space="preserve">          </w:t>
      </w:r>
      <w:r>
        <w:rPr>
          <w:rFonts w:ascii="Times New Roman" w:hAnsi="Times New Roman" w:cs="Times New Roman"/>
          <w:b w:val="0"/>
          <w:bCs w:val="0"/>
          <w:sz w:val="36"/>
        </w:rPr>
        <w:tab/>
      </w:r>
      <w:r>
        <w:rPr>
          <w:rFonts w:ascii="Times New Roman" w:hAnsi="Times New Roman" w:cs="Times New Roman"/>
          <w:b w:val="0"/>
          <w:bCs w:val="0"/>
          <w:sz w:val="36"/>
        </w:rPr>
        <w:tab/>
      </w:r>
      <w:r>
        <w:rPr>
          <w:rFonts w:ascii="Times New Roman" w:hAnsi="Times New Roman" w:cs="Times New Roman"/>
          <w:b w:val="0"/>
          <w:bCs w:val="0"/>
          <w:sz w:val="36"/>
        </w:rPr>
        <w:tab/>
      </w:r>
      <w:r>
        <w:rPr>
          <w:rFonts w:ascii="Times New Roman" w:hAnsi="Times New Roman" w:cs="Times New Roman"/>
          <w:b w:val="0"/>
          <w:bCs w:val="0"/>
          <w:sz w:val="36"/>
        </w:rPr>
        <w:tab/>
      </w:r>
      <w:r>
        <w:rPr>
          <w:rFonts w:ascii="Times New Roman" w:hAnsi="Times New Roman" w:cs="Times New Roman"/>
          <w:b w:val="0"/>
          <w:bCs w:val="0"/>
          <w:sz w:val="36"/>
        </w:rPr>
        <w:tab/>
      </w:r>
      <w:r>
        <w:rPr>
          <w:rFonts w:ascii="Times New Roman" w:hAnsi="Times New Roman" w:cs="Times New Roman"/>
          <w:b w:val="0"/>
          <w:bCs w:val="0"/>
          <w:sz w:val="36"/>
        </w:rPr>
        <w:tab/>
      </w:r>
      <w:r>
        <w:rPr>
          <w:rFonts w:ascii="Times New Roman" w:hAnsi="Times New Roman" w:cs="Times New Roman"/>
          <w:b w:val="0"/>
          <w:bCs w:val="0"/>
          <w:sz w:val="36"/>
        </w:rPr>
        <w:tab/>
      </w:r>
    </w:p>
    <w:p w:rsidR="00DF1574" w:rsidRDefault="00DF1574">
      <w:pPr>
        <w:pStyle w:val="2"/>
        <w:jc w:val="left"/>
        <w:rPr>
          <w:rFonts w:ascii="Times New Roman" w:hAnsi="Times New Roman" w:cs="Times New Roman"/>
          <w:b w:val="0"/>
          <w:bCs w:val="0"/>
          <w:sz w:val="36"/>
        </w:rPr>
      </w:pPr>
    </w:p>
    <w:p w:rsidR="00DF1574" w:rsidRDefault="00DF1574">
      <w:pPr>
        <w:pStyle w:val="2"/>
        <w:rPr>
          <w:rFonts w:ascii="Times New Roman" w:hAnsi="Times New Roman" w:cs="Times New Roman"/>
          <w:sz w:val="36"/>
        </w:rPr>
      </w:pPr>
    </w:p>
    <w:p w:rsidR="00DF1574" w:rsidRDefault="00DF1574">
      <w:pPr>
        <w:pStyle w:val="2"/>
        <w:rPr>
          <w:rFonts w:ascii="Times New Roman" w:hAnsi="Times New Roman" w:cs="Times New Roman"/>
          <w:sz w:val="36"/>
        </w:rPr>
      </w:pPr>
    </w:p>
    <w:p w:rsidR="00DF1574" w:rsidRDefault="00DF1574">
      <w:pPr>
        <w:pStyle w:val="2"/>
        <w:rPr>
          <w:rFonts w:ascii="Times New Roman" w:hAnsi="Times New Roman" w:cs="Times New Roman"/>
          <w:sz w:val="36"/>
        </w:rPr>
      </w:pPr>
    </w:p>
    <w:p w:rsidR="00DF1574" w:rsidRDefault="00DF1574">
      <w:pPr>
        <w:pStyle w:val="2"/>
        <w:rPr>
          <w:rFonts w:ascii="Times New Roman" w:hAnsi="Times New Roman" w:cs="Times New Roman"/>
          <w:sz w:val="36"/>
        </w:rPr>
      </w:pPr>
    </w:p>
    <w:p w:rsidR="00DF1574" w:rsidRDefault="00DF1574">
      <w:pPr>
        <w:pStyle w:val="2"/>
        <w:rPr>
          <w:rFonts w:ascii="Times New Roman" w:hAnsi="Times New Roman" w:cs="Times New Roman"/>
          <w:sz w:val="36"/>
        </w:rPr>
      </w:pPr>
    </w:p>
    <w:p w:rsidR="00DF1574" w:rsidRDefault="00BF63A3">
      <w:pPr>
        <w:pStyle w:val="2"/>
        <w:spacing w:line="360" w:lineRule="auto"/>
        <w:rPr>
          <w:rFonts w:ascii="Times New Roman" w:hAnsi="Times New Roman" w:cs="Times New Roman"/>
          <w:sz w:val="28"/>
        </w:rPr>
      </w:pPr>
      <w:r>
        <w:rPr>
          <w:rFonts w:ascii="Times New Roman" w:hAnsi="Times New Roman" w:cs="Times New Roman"/>
          <w:sz w:val="28"/>
        </w:rPr>
        <w:t>Тема. Мета, завдання, об’єкти і методи моніторингу земель.</w:t>
      </w:r>
    </w:p>
    <w:p w:rsidR="00DF1574" w:rsidRDefault="00BF63A3">
      <w:pPr>
        <w:pStyle w:val="2"/>
        <w:spacing w:line="360" w:lineRule="auto"/>
        <w:ind w:firstLine="708"/>
        <w:jc w:val="both"/>
        <w:rPr>
          <w:rFonts w:ascii="Times New Roman" w:hAnsi="Times New Roman" w:cs="Times New Roman"/>
          <w:b w:val="0"/>
          <w:bCs w:val="0"/>
          <w:sz w:val="28"/>
        </w:rPr>
      </w:pPr>
      <w:r>
        <w:rPr>
          <w:rFonts w:ascii="Times New Roman" w:hAnsi="Times New Roman" w:cs="Times New Roman"/>
          <w:b w:val="0"/>
          <w:bCs w:val="0"/>
          <w:sz w:val="28"/>
        </w:rPr>
        <w:t>Моніторинг земель – це система спостереження за станом земель з метою своєчасного виявлення змін, їх оцінки, відвернення та ліквідації наслідків негативних процесів.</w:t>
      </w:r>
    </w:p>
    <w:p w:rsidR="00DF1574" w:rsidRDefault="00BF63A3">
      <w:pPr>
        <w:pStyle w:val="2"/>
        <w:spacing w:line="360" w:lineRule="auto"/>
        <w:ind w:firstLine="708"/>
        <w:jc w:val="both"/>
        <w:rPr>
          <w:rFonts w:ascii="Times New Roman" w:hAnsi="Times New Roman" w:cs="Times New Roman"/>
          <w:b w:val="0"/>
          <w:bCs w:val="0"/>
          <w:sz w:val="28"/>
        </w:rPr>
      </w:pPr>
      <w:r>
        <w:rPr>
          <w:rFonts w:ascii="Times New Roman" w:hAnsi="Times New Roman" w:cs="Times New Roman"/>
          <w:b w:val="0"/>
          <w:bCs w:val="0"/>
          <w:sz w:val="28"/>
        </w:rPr>
        <w:t>У системі моніторингу земель проводиться збирання, оброблення, передавання, збереження та аналіз інформації про стан земель, прогнозування їх змін і розроблення наукового обґрунтувальних рекомендацій для прийняття рішень щодо запобігання негативним змінам стану земель та дотримання вимог екологічної безпеки. Моніторинг земель є складовою частиною державної системи моніторингу довкілля.</w:t>
      </w:r>
    </w:p>
    <w:p w:rsidR="00DF1574" w:rsidRDefault="00BF63A3">
      <w:pPr>
        <w:pStyle w:val="2"/>
        <w:spacing w:line="360" w:lineRule="auto"/>
        <w:ind w:firstLine="708"/>
        <w:jc w:val="both"/>
        <w:rPr>
          <w:rFonts w:ascii="Times New Roman" w:hAnsi="Times New Roman" w:cs="Times New Roman"/>
          <w:b w:val="0"/>
          <w:bCs w:val="0"/>
          <w:sz w:val="28"/>
        </w:rPr>
      </w:pPr>
      <w:r>
        <w:rPr>
          <w:rFonts w:ascii="Times New Roman" w:hAnsi="Times New Roman" w:cs="Times New Roman"/>
          <w:b w:val="0"/>
          <w:bCs w:val="0"/>
          <w:sz w:val="28"/>
        </w:rPr>
        <w:t>Завданням моніторингу земель є періодичний контроль динаміки основних гнунтових процесів у природних умовах і при антропогенних навантаженнях, прогноз еколого-економічних наслідків деградації земельних ділянок з метою запобігання або усунення дії негативних процесів. До завдань монітор гину земель відносяться: довгострокові систематичні спостереження за станом земель; аналіз екологічного стану земель; своєчасне виявлення змін стану земель, оцінка цих змін, прогноз і вироблення рекомендацій про попередження і усунення наслідків негативних процесів, інформаційне забезпечення ведення державного земельного кадастру, землекористування, землеустрою, державного контролю за використанням і охороною земель, а також власників земельних дільниць.</w:t>
      </w:r>
    </w:p>
    <w:p w:rsidR="00DF1574" w:rsidRDefault="00BF63A3">
      <w:pPr>
        <w:pStyle w:val="2"/>
        <w:spacing w:line="360" w:lineRule="auto"/>
        <w:ind w:firstLine="708"/>
        <w:jc w:val="both"/>
        <w:rPr>
          <w:rFonts w:ascii="Times New Roman" w:hAnsi="Times New Roman" w:cs="Times New Roman"/>
          <w:b w:val="0"/>
          <w:bCs w:val="0"/>
          <w:sz w:val="28"/>
        </w:rPr>
      </w:pPr>
      <w:r>
        <w:rPr>
          <w:rFonts w:ascii="Times New Roman" w:hAnsi="Times New Roman" w:cs="Times New Roman"/>
          <w:b w:val="0"/>
          <w:bCs w:val="0"/>
          <w:sz w:val="28"/>
        </w:rPr>
        <w:t>Інформація, одержана під час спостережень за станом земельного фонду, узагальнюється по районах, містах, областях, а також по окремих природних комплексах і передається в пункти збору автоматизованої інформаційної системи обласних, Київського та Севастопольського міських управлінь земельних ресурсів Держкомзем України. За результатами оцінки стану земельного фонду складаються доповіді, прогнози т рекомендації, що подаються до органів державної влади та Держкомзему України для вжиття заходів відведення і ліквідації наслідків негативних процесів.</w:t>
      </w:r>
    </w:p>
    <w:p w:rsidR="00DF1574" w:rsidRDefault="00BF63A3">
      <w:pPr>
        <w:pStyle w:val="2"/>
        <w:spacing w:line="360" w:lineRule="auto"/>
        <w:ind w:firstLine="708"/>
        <w:jc w:val="both"/>
        <w:rPr>
          <w:rFonts w:ascii="Times New Roman" w:hAnsi="Times New Roman" w:cs="Times New Roman"/>
          <w:b w:val="0"/>
          <w:bCs w:val="0"/>
          <w:sz w:val="28"/>
        </w:rPr>
      </w:pPr>
      <w:r>
        <w:rPr>
          <w:rFonts w:ascii="Times New Roman" w:hAnsi="Times New Roman" w:cs="Times New Roman"/>
          <w:b w:val="0"/>
          <w:bCs w:val="0"/>
          <w:sz w:val="28"/>
        </w:rPr>
        <w:t>Моніторинг земель є однією із функцій управління в сфері використання та охорони земель. Його об’єктом є земельний фонд України незалежно від форм власності на землю, цільового призначення та характеру використання. Моніторинг земель складається із систематичних спостережень за станом земель (зйомки, обстеження і вишукування), виявлення змін, а також оцінки: стану використання угідь, полів, ділянок; процесів, пов’язаних із мінами родючості грунтів, заростанні сільськогосподарських угідь, забруднення земель токсичними речовинами; стану берегових ліній, річок, морів, озер, водосховищ, гідротехнічних споруд; процесів, пов’язаних з утриманням ярів, сальовими потоками, землетрусами та іншими явищами; стану земель населених пунктів, територій, зайнятих нафтогазовими об’єктами, очисними спорудами, а також іншими промисловими об’єктами.</w:t>
      </w:r>
    </w:p>
    <w:p w:rsidR="00DF1574" w:rsidRDefault="00BF63A3">
      <w:pPr>
        <w:pStyle w:val="2"/>
        <w:spacing w:line="360" w:lineRule="auto"/>
        <w:ind w:firstLine="708"/>
        <w:jc w:val="both"/>
        <w:rPr>
          <w:rFonts w:ascii="Times New Roman" w:hAnsi="Times New Roman" w:cs="Times New Roman"/>
          <w:b w:val="0"/>
          <w:bCs w:val="0"/>
          <w:sz w:val="28"/>
        </w:rPr>
      </w:pPr>
      <w:r>
        <w:rPr>
          <w:rFonts w:ascii="Times New Roman" w:hAnsi="Times New Roman" w:cs="Times New Roman"/>
          <w:b w:val="0"/>
          <w:bCs w:val="0"/>
          <w:sz w:val="28"/>
        </w:rPr>
        <w:t>Моніторинг земель здійснюється у відповідності із загальнодержавними і регіональними програмами. Інформація про стан земельних ресурсів та їх використання, яка була отримана в процесі ведення моніторингу, нагромаджується в архівах і банках даних автоматизованої інформаційної системи. На основі зібраної інформації і результатів оцінки стану земель складаються оперативні зведення, наукові прогнози і рекомендації, які надаються до місцевих органів державної виконавчої влади, органів місцевого й регіонального самоврядування, інших держаних органів для вжиття заходів щодо попередження і ліквідації наслідків негативних процесів. Отримані матеріали об’єктивно характеризують фізичні, хімічні,  біологічні процеси в навколишньому середовищі, рівень забруднення грунтів, що дає можливість органам державного управління пред’являти певні вимоги до землекористувачів по усуненню правопорушень в області використання і охорони земель.</w:t>
      </w:r>
    </w:p>
    <w:p w:rsidR="00DF1574" w:rsidRDefault="00BF63A3">
      <w:pPr>
        <w:pStyle w:val="2"/>
        <w:spacing w:line="360" w:lineRule="auto"/>
        <w:ind w:firstLine="708"/>
        <w:jc w:val="both"/>
        <w:rPr>
          <w:rFonts w:ascii="Times New Roman" w:hAnsi="Times New Roman" w:cs="Times New Roman"/>
          <w:b w:val="0"/>
          <w:bCs w:val="0"/>
          <w:sz w:val="28"/>
        </w:rPr>
      </w:pPr>
      <w:r>
        <w:rPr>
          <w:rFonts w:ascii="Times New Roman" w:hAnsi="Times New Roman" w:cs="Times New Roman"/>
          <w:b w:val="0"/>
          <w:bCs w:val="0"/>
          <w:sz w:val="28"/>
        </w:rPr>
        <w:t>Державна система моніторингу навколишнього природного середовища загалом покладається на Міністерство екології та природних ресурсів України. Моніторинг земель – частина загального моніторингу довкілля. Структура, задачі, зміст моніторингу земель визначені в Положенні про моніторинг земель, затверджених постановою Кабінету Міністрів України від 20 серпня 1993 р.</w:t>
      </w:r>
    </w:p>
    <w:p w:rsidR="00DF1574" w:rsidRDefault="00BF63A3">
      <w:pPr>
        <w:pStyle w:val="2"/>
        <w:spacing w:line="360" w:lineRule="auto"/>
        <w:ind w:firstLine="708"/>
        <w:jc w:val="both"/>
        <w:rPr>
          <w:rFonts w:ascii="Times New Roman" w:hAnsi="Times New Roman" w:cs="Times New Roman"/>
          <w:b w:val="0"/>
          <w:bCs w:val="0"/>
          <w:sz w:val="28"/>
        </w:rPr>
      </w:pPr>
      <w:r>
        <w:rPr>
          <w:rFonts w:ascii="Times New Roman" w:hAnsi="Times New Roman" w:cs="Times New Roman"/>
          <w:b w:val="0"/>
          <w:bCs w:val="0"/>
          <w:sz w:val="28"/>
        </w:rPr>
        <w:t>Національний моніторинг охоплює територію, що знаходиться в межах кордонів України. Регіональний моніторинг проводиться на територіях, що характеризуються єдністю фізично-географічних, екологічних та економічних умов. Локальний – це територіях нижче регіонального рівня, до територій окремих земельних ділянок і елементарних структур ландшафтно-екологічних комплексів. Відповідно до міжнародних програм Україна може брати участь в роботах по глобальному моніторингу земель. Крім того, моніторинг земель поділяють в залежності від терміну та періодичності його проведення (базові спостереження, оперативні та  періодичні).</w:t>
      </w:r>
    </w:p>
    <w:p w:rsidR="00DF1574" w:rsidRDefault="00BF63A3">
      <w:pPr>
        <w:pStyle w:val="2"/>
        <w:spacing w:line="360" w:lineRule="auto"/>
        <w:ind w:firstLine="708"/>
        <w:jc w:val="both"/>
        <w:rPr>
          <w:rFonts w:ascii="Times New Roman" w:hAnsi="Times New Roman" w:cs="Times New Roman"/>
          <w:b w:val="0"/>
          <w:bCs w:val="0"/>
          <w:sz w:val="28"/>
        </w:rPr>
      </w:pPr>
      <w:r>
        <w:rPr>
          <w:rFonts w:ascii="Times New Roman" w:hAnsi="Times New Roman" w:cs="Times New Roman"/>
          <w:b w:val="0"/>
          <w:bCs w:val="0"/>
          <w:sz w:val="28"/>
        </w:rPr>
        <w:t xml:space="preserve">Суб’єктами на яких покладено ведення моніторингу земель є Державний комітет України по земельних ресурсах за участю Міністерства аграрної політики України, Національне космічне агентство України, інші зацікавлені міністерства та відомства. Органи Державного комітету України або земельних ресурсах надають усім заінтересованим суб’єктам системи моніторингу інформацію про стан земельного фонду, структуру землекористування, трансформацію земель, заходи щодо запобігання негативним процесам і ліквідації їх наслідків; Міністерство аграрної політики – інформацію про фізичні, геохімічні та біологічні зміни якості грунтів сільськогосподарського призначення; Національне космічне  агентство України надає архівну та поточну інформацію з дистанційного зондування Землі. </w:t>
      </w:r>
    </w:p>
    <w:p w:rsidR="00DF1574" w:rsidRDefault="00BF63A3">
      <w:pPr>
        <w:pStyle w:val="2"/>
        <w:spacing w:line="360" w:lineRule="auto"/>
        <w:ind w:firstLine="708"/>
        <w:jc w:val="both"/>
        <w:rPr>
          <w:rFonts w:ascii="Times New Roman" w:hAnsi="Times New Roman" w:cs="Times New Roman"/>
          <w:b w:val="0"/>
          <w:bCs w:val="0"/>
          <w:sz w:val="28"/>
        </w:rPr>
      </w:pPr>
      <w:r>
        <w:rPr>
          <w:rFonts w:ascii="Times New Roman" w:hAnsi="Times New Roman" w:cs="Times New Roman"/>
          <w:b w:val="0"/>
          <w:bCs w:val="0"/>
          <w:sz w:val="28"/>
        </w:rPr>
        <w:t>Моніторинг земель ведеться з дотриманням принципу сумісності різнорідних даних, заснованого на застосуванні єдиних класифікаторів, кодів, системи одиниць та інші. Для отримання необхідної інформації при моніторингу земель застосовуються дистанційне зондування; наземні зйомки-спостереження; фондові дані. За результатами оцінки стану земельного фонду складаються доповіді, прогнози і рекомендації для прийняття необхідних рішень державними органами в галузі використання та охорони земель. Загальний порядок проведення моніторингу земель урегульовано постановою кабінету Міністрів України “Положення про моніторинг земель.”.</w:t>
      </w:r>
    </w:p>
    <w:p w:rsidR="00DF1574" w:rsidRDefault="00DF1574">
      <w:pPr>
        <w:pStyle w:val="2"/>
        <w:spacing w:line="360" w:lineRule="auto"/>
        <w:ind w:firstLine="708"/>
        <w:jc w:val="both"/>
        <w:rPr>
          <w:rFonts w:ascii="Times New Roman" w:hAnsi="Times New Roman" w:cs="Times New Roman"/>
          <w:b w:val="0"/>
          <w:bCs w:val="0"/>
          <w:sz w:val="28"/>
        </w:rPr>
      </w:pPr>
    </w:p>
    <w:p w:rsidR="00DF1574" w:rsidRDefault="00BF63A3">
      <w:pPr>
        <w:pStyle w:val="2"/>
        <w:spacing w:line="360" w:lineRule="auto"/>
        <w:ind w:firstLine="708"/>
        <w:rPr>
          <w:rFonts w:ascii="Times New Roman" w:hAnsi="Times New Roman" w:cs="Times New Roman"/>
          <w:sz w:val="28"/>
        </w:rPr>
      </w:pPr>
      <w:r>
        <w:rPr>
          <w:rFonts w:ascii="Times New Roman" w:hAnsi="Times New Roman" w:cs="Times New Roman"/>
          <w:sz w:val="28"/>
        </w:rPr>
        <w:br w:type="page"/>
        <w:t>Література:</w:t>
      </w:r>
    </w:p>
    <w:p w:rsidR="00DF1574" w:rsidRDefault="00BF63A3">
      <w:pPr>
        <w:pStyle w:val="2"/>
        <w:numPr>
          <w:ilvl w:val="0"/>
          <w:numId w:val="1"/>
        </w:numPr>
        <w:spacing w:line="360" w:lineRule="auto"/>
        <w:jc w:val="both"/>
        <w:rPr>
          <w:rFonts w:ascii="Times New Roman" w:hAnsi="Times New Roman" w:cs="Times New Roman"/>
          <w:b w:val="0"/>
          <w:bCs w:val="0"/>
          <w:sz w:val="28"/>
        </w:rPr>
      </w:pPr>
      <w:r>
        <w:rPr>
          <w:rFonts w:ascii="Times New Roman" w:hAnsi="Times New Roman" w:cs="Times New Roman"/>
          <w:b w:val="0"/>
          <w:bCs w:val="0"/>
          <w:sz w:val="28"/>
        </w:rPr>
        <w:t>“Земельний кодекс України” коментар “Одісея” Харків, 2002 р. Гетаном А.П., Шульга М.В.</w:t>
      </w:r>
    </w:p>
    <w:p w:rsidR="00DF1574" w:rsidRDefault="00BF63A3">
      <w:pPr>
        <w:pStyle w:val="2"/>
        <w:numPr>
          <w:ilvl w:val="0"/>
          <w:numId w:val="1"/>
        </w:numPr>
        <w:spacing w:line="360" w:lineRule="auto"/>
        <w:jc w:val="both"/>
        <w:rPr>
          <w:rFonts w:ascii="Times New Roman" w:hAnsi="Times New Roman" w:cs="Times New Roman"/>
          <w:b w:val="0"/>
          <w:bCs w:val="0"/>
          <w:sz w:val="28"/>
        </w:rPr>
      </w:pPr>
      <w:r>
        <w:rPr>
          <w:rFonts w:ascii="Times New Roman" w:hAnsi="Times New Roman" w:cs="Times New Roman"/>
          <w:b w:val="0"/>
          <w:bCs w:val="0"/>
          <w:sz w:val="28"/>
        </w:rPr>
        <w:t>“Моніторинг земель”. “Навчальний посібник”. Львів, 1997 р. Сохнич А.Я.</w:t>
      </w:r>
    </w:p>
    <w:p w:rsidR="00DF1574" w:rsidRDefault="00BF63A3">
      <w:pPr>
        <w:pStyle w:val="2"/>
        <w:numPr>
          <w:ilvl w:val="0"/>
          <w:numId w:val="1"/>
        </w:numPr>
        <w:spacing w:line="360" w:lineRule="auto"/>
        <w:jc w:val="both"/>
        <w:rPr>
          <w:rFonts w:ascii="Times New Roman" w:hAnsi="Times New Roman" w:cs="Times New Roman"/>
          <w:b w:val="0"/>
          <w:bCs w:val="0"/>
          <w:sz w:val="28"/>
        </w:rPr>
      </w:pPr>
      <w:r>
        <w:rPr>
          <w:rFonts w:ascii="Times New Roman" w:hAnsi="Times New Roman" w:cs="Times New Roman"/>
          <w:b w:val="0"/>
          <w:bCs w:val="0"/>
          <w:sz w:val="28"/>
        </w:rPr>
        <w:t>“Моніторинг земель і прогнозування земельних ресурсів”. Рівен, 1999 р. Ніщинський А.Г.</w:t>
      </w:r>
    </w:p>
    <w:p w:rsidR="00DF1574" w:rsidRDefault="00DF1574">
      <w:pPr>
        <w:pStyle w:val="2"/>
        <w:spacing w:line="360" w:lineRule="auto"/>
        <w:ind w:left="708"/>
        <w:jc w:val="both"/>
        <w:rPr>
          <w:rFonts w:ascii="Times New Roman" w:hAnsi="Times New Roman" w:cs="Times New Roman"/>
          <w:b w:val="0"/>
          <w:bCs w:val="0"/>
          <w:sz w:val="28"/>
        </w:rPr>
      </w:pPr>
    </w:p>
    <w:p w:rsidR="00DF1574" w:rsidRDefault="00DF1574">
      <w:pPr>
        <w:rPr>
          <w:lang w:val="uk-UA"/>
        </w:rPr>
      </w:pPr>
      <w:bookmarkStart w:id="0" w:name="_GoBack"/>
      <w:bookmarkEnd w:id="0"/>
    </w:p>
    <w:sectPr w:rsidR="00DF157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62028B"/>
    <w:multiLevelType w:val="hybridMultilevel"/>
    <w:tmpl w:val="5EF42C78"/>
    <w:lvl w:ilvl="0" w:tplc="3A6EE75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63A3"/>
    <w:rsid w:val="00812342"/>
    <w:rsid w:val="00BF63A3"/>
    <w:rsid w:val="00DF1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714870-632B-4E2A-9ABB-1397EF87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semiHidden/>
    <w:pPr>
      <w:jc w:val="center"/>
    </w:pPr>
    <w:rPr>
      <w:rFonts w:ascii="Tahoma" w:hAnsi="Tahoma" w:cs="Tahoma"/>
      <w:b/>
      <w:bCs/>
      <w:sz w:val="4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956</Words>
  <Characters>5452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Manager>Природничі науки</Manager>
  <Company>Природничі науки</Company>
  <LinksUpToDate>false</LinksUpToDate>
  <CharactersWithSpaces>6396</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Природничі науки</dc:subject>
  <dc:creator>Природничі науки</dc:creator>
  <cp:keywords>Природничі науки</cp:keywords>
  <dc:description>Природничі науки</dc:description>
  <cp:lastModifiedBy>admin</cp:lastModifiedBy>
  <cp:revision>2</cp:revision>
  <dcterms:created xsi:type="dcterms:W3CDTF">2014-05-11T18:02:00Z</dcterms:created>
  <dcterms:modified xsi:type="dcterms:W3CDTF">2014-05-11T18:02:00Z</dcterms:modified>
  <cp:category>Природничі науки</cp:category>
</cp:coreProperties>
</file>