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3963AD" w:rsidRP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  <w:r w:rsidRPr="003963AD">
        <w:rPr>
          <w:b/>
          <w:bCs/>
          <w:color w:val="000000"/>
          <w:spacing w:val="3"/>
          <w:sz w:val="24"/>
          <w:szCs w:val="24"/>
        </w:rPr>
        <w:t>Реферат</w:t>
      </w:r>
    </w:p>
    <w:p w:rsidR="003963AD" w:rsidRPr="003963AD" w:rsidRDefault="003963AD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</w:p>
    <w:p w:rsidR="00451FAC" w:rsidRPr="003963AD" w:rsidRDefault="00451FAC" w:rsidP="003963AD">
      <w:pPr>
        <w:jc w:val="center"/>
        <w:rPr>
          <w:b/>
          <w:bCs/>
          <w:color w:val="000000"/>
          <w:spacing w:val="3"/>
          <w:sz w:val="24"/>
          <w:szCs w:val="24"/>
        </w:rPr>
      </w:pPr>
      <w:r w:rsidRPr="003963AD">
        <w:rPr>
          <w:b/>
          <w:bCs/>
          <w:color w:val="000000"/>
          <w:spacing w:val="3"/>
          <w:sz w:val="24"/>
          <w:szCs w:val="24"/>
        </w:rPr>
        <w:t xml:space="preserve">на тему:  Изучение среды международного маркетинга на </w:t>
      </w:r>
      <w:r w:rsidR="00792FB1" w:rsidRPr="003963AD">
        <w:rPr>
          <w:b/>
          <w:bCs/>
          <w:color w:val="000000"/>
          <w:spacing w:val="3"/>
          <w:sz w:val="24"/>
          <w:szCs w:val="24"/>
        </w:rPr>
        <w:t>примере Египта</w:t>
      </w: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</w:p>
    <w:p w:rsidR="00451FAC" w:rsidRPr="00451FAC" w:rsidRDefault="00451FAC" w:rsidP="00451FAC">
      <w:pPr>
        <w:jc w:val="center"/>
        <w:rPr>
          <w:color w:val="000000"/>
          <w:spacing w:val="3"/>
          <w:sz w:val="24"/>
          <w:szCs w:val="24"/>
        </w:rPr>
      </w:pPr>
      <w:r w:rsidRPr="00451FAC">
        <w:rPr>
          <w:color w:val="000000"/>
          <w:spacing w:val="3"/>
          <w:sz w:val="24"/>
          <w:szCs w:val="24"/>
        </w:rPr>
        <w:t>2005</w:t>
      </w:r>
    </w:p>
    <w:p w:rsidR="00414670" w:rsidRDefault="00451FAC" w:rsidP="00451FAC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color w:val="000000"/>
          <w:sz w:val="36"/>
          <w:szCs w:val="36"/>
        </w:rPr>
        <w:br w:type="page"/>
      </w:r>
      <w:r w:rsidR="00414670" w:rsidRPr="00414670">
        <w:rPr>
          <w:rFonts w:ascii="Times New Roman" w:hAnsi="Times New Roman" w:cs="Times New Roman"/>
          <w:color w:val="000000"/>
          <w:sz w:val="24"/>
          <w:szCs w:val="24"/>
        </w:rPr>
        <w:t>ЕГИПЕТ - крупнейшая арабская страна, расположенная на северо-востоке Африки. Часть его территории - Синайский полуостров - находится в Азии. Граница между двумя континентами проходит по Суэцкому каналу. Омывается Красным морем - одним из самых теплых и чистых соленых морей мира. Средняя температура воды в феврале колеблется от 18 градусов - на севере до 25 на юге, поэтому п</w:t>
      </w:r>
      <w:r w:rsidR="00DE66B8">
        <w:rPr>
          <w:rFonts w:ascii="Times New Roman" w:hAnsi="Times New Roman" w:cs="Times New Roman"/>
          <w:color w:val="000000"/>
          <w:sz w:val="24"/>
          <w:szCs w:val="24"/>
        </w:rPr>
        <w:t xml:space="preserve">ляжный сезон здесь продолжается </w:t>
      </w:r>
      <w:r w:rsidR="00414670" w:rsidRPr="00414670">
        <w:rPr>
          <w:rFonts w:ascii="Times New Roman" w:hAnsi="Times New Roman" w:cs="Times New Roman"/>
          <w:color w:val="000000"/>
          <w:sz w:val="24"/>
          <w:szCs w:val="24"/>
        </w:rPr>
        <w:t xml:space="preserve">круглый год. </w:t>
      </w:r>
    </w:p>
    <w:p w:rsidR="00DE66B8" w:rsidRDefault="00DE66B8" w:rsidP="00414670">
      <w:pPr>
        <w:pStyle w:val="3"/>
        <w:spacing w:before="0" w:beforeAutospacing="0" w:after="0" w:afterAutospacing="0"/>
        <w:ind w:firstLine="540"/>
        <w:jc w:val="both"/>
        <w:rPr>
          <w:b w:val="0"/>
          <w:bCs w:val="0"/>
          <w:color w:val="000000"/>
          <w:sz w:val="24"/>
          <w:szCs w:val="24"/>
        </w:rPr>
      </w:pPr>
    </w:p>
    <w:p w:rsidR="00DE66B8" w:rsidRDefault="00DE66B8" w:rsidP="00414670">
      <w:pPr>
        <w:pStyle w:val="3"/>
        <w:spacing w:before="0" w:beforeAutospacing="0" w:after="0" w:afterAutospacing="0"/>
        <w:ind w:firstLine="540"/>
        <w:jc w:val="both"/>
        <w:rPr>
          <w:b w:val="0"/>
          <w:bCs w:val="0"/>
          <w:color w:val="000000"/>
          <w:sz w:val="24"/>
          <w:szCs w:val="24"/>
        </w:rPr>
      </w:pPr>
    </w:p>
    <w:p w:rsidR="00414670" w:rsidRPr="00414670" w:rsidRDefault="00DE66B8" w:rsidP="00414670">
      <w:pPr>
        <w:pStyle w:val="3"/>
        <w:spacing w:before="0" w:beforeAutospacing="0" w:after="0" w:afterAutospacing="0"/>
        <w:ind w:firstLine="540"/>
        <w:jc w:val="both"/>
        <w:rPr>
          <w:b w:val="0"/>
          <w:bCs w:val="0"/>
          <w:color w:val="000000"/>
          <w:sz w:val="24"/>
          <w:szCs w:val="24"/>
        </w:rPr>
      </w:pPr>
      <w:r w:rsidRPr="00414670">
        <w:rPr>
          <w:b w:val="0"/>
          <w:bCs w:val="0"/>
          <w:color w:val="000000"/>
          <w:sz w:val="24"/>
          <w:szCs w:val="24"/>
        </w:rPr>
        <w:t>СТОЛИЦА ГОСУДАРСТВА</w:t>
      </w:r>
    </w:p>
    <w:p w:rsidR="00DE66B8" w:rsidRDefault="00DE66B8" w:rsidP="00414670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670" w:rsidRPr="00414670" w:rsidRDefault="00414670" w:rsidP="00414670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670">
        <w:rPr>
          <w:rFonts w:ascii="Times New Roman" w:hAnsi="Times New Roman" w:cs="Times New Roman"/>
          <w:color w:val="000000"/>
          <w:sz w:val="24"/>
          <w:szCs w:val="24"/>
        </w:rPr>
        <w:t xml:space="preserve">- Каир, крупнейший город Африки, который поглотил несколько городов разных эпох - древние Гелиополис и Вавилон Египетский, средневековый Фостат. Это - самый большой город африканского континента, город "тысячи минаретов", "Ворота Востока". Он вплотную подошел ныне к великим пирамидам Гизы. В нем сконцентрировались достижения культуры всех пяти тысяч лет египетской цивилизации. </w:t>
      </w:r>
    </w:p>
    <w:p w:rsidR="00DE66B8" w:rsidRDefault="00DE66B8" w:rsidP="00414670">
      <w:pPr>
        <w:pStyle w:val="3"/>
        <w:spacing w:before="0" w:beforeAutospacing="0" w:after="0" w:afterAutospacing="0"/>
        <w:ind w:firstLine="540"/>
        <w:jc w:val="both"/>
        <w:rPr>
          <w:b w:val="0"/>
          <w:bCs w:val="0"/>
          <w:color w:val="000000"/>
          <w:sz w:val="24"/>
          <w:szCs w:val="24"/>
        </w:rPr>
      </w:pPr>
    </w:p>
    <w:p w:rsidR="00DE66B8" w:rsidRDefault="00DE66B8" w:rsidP="00414670">
      <w:pPr>
        <w:pStyle w:val="3"/>
        <w:spacing w:before="0" w:beforeAutospacing="0" w:after="0" w:afterAutospacing="0"/>
        <w:ind w:firstLine="540"/>
        <w:jc w:val="both"/>
        <w:rPr>
          <w:b w:val="0"/>
          <w:bCs w:val="0"/>
          <w:color w:val="000000"/>
          <w:sz w:val="24"/>
          <w:szCs w:val="24"/>
        </w:rPr>
      </w:pPr>
    </w:p>
    <w:p w:rsidR="00603041" w:rsidRPr="00414670" w:rsidRDefault="00414670" w:rsidP="0060304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414670">
        <w:rPr>
          <w:color w:val="000000"/>
        </w:rPr>
        <w:t>ЭКОНОМИКА</w:t>
      </w:r>
    </w:p>
    <w:p w:rsidR="00603041" w:rsidRDefault="00603041" w:rsidP="00603041">
      <w:pPr>
        <w:pStyle w:val="a3"/>
        <w:spacing w:before="0" w:beforeAutospacing="0" w:after="0" w:afterAutospacing="0"/>
        <w:ind w:firstLine="540"/>
        <w:jc w:val="both"/>
        <w:rPr>
          <w:b/>
          <w:bCs/>
          <w:color w:val="000000"/>
          <w:sz w:val="27"/>
          <w:szCs w:val="27"/>
        </w:rPr>
      </w:pPr>
    </w:p>
    <w:p w:rsidR="00603041" w:rsidRDefault="00603041" w:rsidP="0060304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Выступая в Народном собрании, премьер-министр АРЕ А.Обейд отметил, что египетская экономика находится в стадии рецессии. Экономическое положение Египта  ухудшилось по сравнению с предыдущими годами. Вместо нормальной работы по развитию экономики и социальной сферы правительство было вынуждено в течение года бороться с ростом цен, инфляцией и угрозой долларизации денежного оборота.</w:t>
      </w:r>
    </w:p>
    <w:p w:rsidR="00603041" w:rsidRDefault="00603041" w:rsidP="0060304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Сказалась неудача с реформированием валютно-финансовой сферы, а именно принятое под давлением американской администрации, Всемирного банка и МВФ решение об отказе от поддержания фиксированного курса египетского фунта. Плавающий курс был введен 28 янв. 200</w:t>
      </w:r>
      <w:r w:rsidR="00014470">
        <w:rPr>
          <w:color w:val="000000"/>
        </w:rPr>
        <w:t>3</w:t>
      </w:r>
      <w:r>
        <w:rPr>
          <w:color w:val="000000"/>
        </w:rPr>
        <w:t>г., и на следующий день египетский фунт обесценился на 17%, а к концу мая – на 30%.</w:t>
      </w:r>
    </w:p>
    <w:tbl>
      <w:tblPr>
        <w:tblW w:w="380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81"/>
        <w:gridCol w:w="1927"/>
      </w:tblGrid>
      <w:tr w:rsidR="00603041">
        <w:trPr>
          <w:gridAfter w:val="1"/>
          <w:wAfter w:w="1882" w:type="dxa"/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Макроэкономические показатели в АРЕ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200</w:t>
            </w:r>
            <w:r w:rsidR="00014470">
              <w:t>5</w:t>
            </w:r>
            <w:r>
              <w:t>г.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Прирост ВВП, %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3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ВВП, млрд.долл. (текущие цены)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99,2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Инфляция, %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4,7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Курс египетского фунта к 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6,17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Иностранные инвестиции, млн.долл.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128,3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Поступления от интуризма, млрд.долл.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3,4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Поступления от Суэцкого канала, млрд.долл.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2,5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Доходы от экспорта нефти, млрд.долл.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2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Иностранная фин. помощь, млн.долл.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-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Экспорт, млрд.долл.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9,1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Импорт, млрд.долл.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14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- импорт с отср. до 90 дней, млн.долл.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1070,2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Вывод активов за границу, млрд.долл.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3,1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Вклады в инвал. на депоз. счетах, млрд.долл.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17,8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Сальдо плат. бал. по тек. опер., млн.долл.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+60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Золотовалютный резерв, млрд.долл.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14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Внешняя задолженность, млрд.долл.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29,4</w:t>
            </w:r>
          </w:p>
        </w:tc>
      </w:tr>
      <w:tr w:rsidR="00603041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Внутренний госдолг, млрд.долл.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041" w:rsidRDefault="00603041" w:rsidP="00603041">
            <w:pPr>
              <w:ind w:firstLine="540"/>
              <w:jc w:val="both"/>
              <w:rPr>
                <w:sz w:val="24"/>
                <w:szCs w:val="24"/>
              </w:rPr>
            </w:pPr>
            <w:r>
              <w:t>75,2</w:t>
            </w:r>
          </w:p>
        </w:tc>
      </w:tr>
    </w:tbl>
    <w:p w:rsidR="00603041" w:rsidRDefault="00603041" w:rsidP="0060304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В международных делах Египет в 200</w:t>
      </w:r>
      <w:r w:rsidR="00014470">
        <w:rPr>
          <w:color w:val="000000"/>
        </w:rPr>
        <w:t>4</w:t>
      </w:r>
      <w:r>
        <w:rPr>
          <w:color w:val="000000"/>
        </w:rPr>
        <w:t xml:space="preserve">г. придерживался сбалансированного курса на поддержание нормальных отношений со всеми странами. </w:t>
      </w:r>
      <w:r w:rsidR="00014470">
        <w:rPr>
          <w:color w:val="000000"/>
        </w:rPr>
        <w:t>С</w:t>
      </w:r>
      <w:r>
        <w:rPr>
          <w:color w:val="000000"/>
        </w:rPr>
        <w:t xml:space="preserve">остоялся визит в АРЕ министра иностранных дел РФ И.С.Иванова. США и страны ЕС сохраняют влияние на формирование египетской внешней политики, что объясняется значительной зависимостью АРЕ от их финансовой, экономической и </w:t>
      </w:r>
      <w:r w:rsidR="00014470">
        <w:rPr>
          <w:color w:val="000000"/>
        </w:rPr>
        <w:t xml:space="preserve">военной помощи. На эти страны </w:t>
      </w:r>
      <w:r>
        <w:rPr>
          <w:color w:val="000000"/>
        </w:rPr>
        <w:t>приходилось 68% внешней задолженности Египта.</w:t>
      </w:r>
    </w:p>
    <w:p w:rsidR="00603041" w:rsidRDefault="00136E2B" w:rsidP="0060304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С</w:t>
      </w:r>
      <w:r w:rsidR="00603041">
        <w:rPr>
          <w:color w:val="000000"/>
        </w:rPr>
        <w:t>остоялся</w:t>
      </w:r>
      <w:r>
        <w:rPr>
          <w:color w:val="000000"/>
        </w:rPr>
        <w:t xml:space="preserve"> </w:t>
      </w:r>
      <w:r w:rsidR="00603041">
        <w:rPr>
          <w:color w:val="000000"/>
        </w:rPr>
        <w:t>госвизит в АРЕ канцлера Германии Г.Шредера. На германо-египетских переговорах о торгово-экономическом сотрудничестве основным вопросом было погашение Египтом задолженности по ранее полученным от немецкого правительства и банков кредитам. По данным Центрального банка Египта, долг Египта Германии составляет 2,5 млрд.долл. Немецкие кредиторы с трудом решали вопросы возврата средств, предоставленных своим египетским партнерам, которые, ссылаясь на отсутствие в стране валюты, предлагали в погашение задолженности египетские товары, а также услуги по приему немецких туристов.</w:t>
      </w:r>
    </w:p>
    <w:p w:rsidR="00603041" w:rsidRDefault="00603041" w:rsidP="0060304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Неблагоприятная ситуация сложилась с внешним заимствованием средств. Египтяне смогли использовать в течение года иностранных кредитов на 645 млн.долл., а погасили, включая проценты, 1231 млн.долл. Страны-доноры и МВФ под разными предлогами не давали египтянам воспользоваться уже подписанными кредитными соглашениями и выдвинули жесткие требования к египетскому правительству в части приватизации страховых компаний и ведущих египетских государственных банков, принятия эффективных мер к прекращению отмывания в Египте капиталов, разработки антимонопольного законодательства и рационализации государственных расходов. По мнению кредиторов, в целях контроля за целевым использованием финансовой помощи и займов представители доноров (прежде всего послы) должны ежемесячно встречаться в Каире с руководителем Сектора международного сотрудничества МИД АРЕ госминистром международного сотрудничества Ф.Абу Эн-Нагой.</w:t>
      </w:r>
    </w:p>
    <w:p w:rsidR="00603041" w:rsidRDefault="00603041" w:rsidP="0060304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Валютный кризис обозначил произошедшие за годы рыночных реформ структурные изменения в экономике.</w:t>
      </w:r>
    </w:p>
    <w:p w:rsidR="00603041" w:rsidRDefault="00603041" w:rsidP="0060304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1. Сформировался ориентированный на внешний рынок сектор товаров (производимых с использованием местных ресурсов) и услуг, включая туризм. Предприятия этого сектора в течение 200</w:t>
      </w:r>
      <w:r w:rsidR="00136E2B">
        <w:rPr>
          <w:color w:val="000000"/>
        </w:rPr>
        <w:t>5</w:t>
      </w:r>
      <w:r>
        <w:rPr>
          <w:color w:val="000000"/>
        </w:rPr>
        <w:t>г. находились на подъеме, и их удельный вес в ВВП увеличился до 17%.</w:t>
      </w:r>
    </w:p>
    <w:p w:rsidR="00603041" w:rsidRDefault="00603041" w:rsidP="0060304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2. Сохранился обеспечивающий социальную стабильность египетского общества сектор, объединяющий государственные предприятия, цены на продукцию и услуги которых прямо или косвенно субсидируются государством (энергетика, коммунальное хозяйство, транспорт, пищевая промышленность и производство минеральных удобрений – всего: 15% – ВВП). Эта часть экономики работала в 200</w:t>
      </w:r>
      <w:r w:rsidR="00136E2B">
        <w:rPr>
          <w:color w:val="000000"/>
        </w:rPr>
        <w:t>5</w:t>
      </w:r>
      <w:r>
        <w:rPr>
          <w:color w:val="000000"/>
        </w:rPr>
        <w:t>г. стабильно и реализовала 9 млрд.ег.ф. (1,5 млрд.долл.) прямых и 30 млрд.ег.ф. (5 млрд.долл.) косвенных бюджетных субсидий. Функционировала госсистема бесплатного среднего и высшего образования. В связи с необходимостью поддержания достигнутого в пред.гг. уровня жизни (хотя и невысокого) правительство пошло на дополнительное финансирование сектора,</w:t>
      </w:r>
      <w:r w:rsidR="00136E2B">
        <w:rPr>
          <w:color w:val="000000"/>
        </w:rPr>
        <w:t xml:space="preserve"> и дефицит госбюджета АРЕ в 2005г. увеличился до 40 млрд.ег.ф. </w:t>
      </w:r>
      <w:r>
        <w:rPr>
          <w:color w:val="000000"/>
        </w:rPr>
        <w:t>Отношение дефицита госбюджета к ВВП Египта в 200</w:t>
      </w:r>
      <w:r w:rsidR="00136E2B">
        <w:rPr>
          <w:color w:val="000000"/>
        </w:rPr>
        <w:t>5</w:t>
      </w:r>
      <w:r>
        <w:rPr>
          <w:color w:val="000000"/>
        </w:rPr>
        <w:t>г. оценивается в 7,4%. В соответствие с рекомендациями МВФ этот показатель не должен превышать 5%.</w:t>
      </w:r>
    </w:p>
    <w:p w:rsidR="00603041" w:rsidRDefault="00603041" w:rsidP="0060304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3. Образовался крупный частный, определяющий экономическое положение страны, сектор, предприятия которого работают на внутренний рынок, а также на экспорт, но используют в основном импортное сырье и комплектующие, (удельный вес в ВВП этих производств – 67%). </w:t>
      </w:r>
    </w:p>
    <w:p w:rsidR="00136E2B" w:rsidRDefault="00603041" w:rsidP="0060304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В 200</w:t>
      </w:r>
      <w:r w:rsidR="00136E2B">
        <w:rPr>
          <w:color w:val="000000"/>
        </w:rPr>
        <w:t>5</w:t>
      </w:r>
      <w:r>
        <w:rPr>
          <w:color w:val="000000"/>
        </w:rPr>
        <w:t xml:space="preserve">г. египетские власти широко использовали антидемпинговые процедуры для ограничения импорта в страну ряда товаров в целях регулирования внутреннего рынка и выравнивания торгового и платежного балансов. Высокие таможенные тарифы (20%) и антидемпинговые (40%) пошлины, которые действовали в Египте. по импорту проката черных металлов, явились одной из основных причин спада производства в металлургии и кризиса в строительстве. </w:t>
      </w:r>
    </w:p>
    <w:p w:rsidR="00603041" w:rsidRDefault="00603041" w:rsidP="0060304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В 2003г. экспортные цены на базе ФОБ на российские товары соответствовали уровню мировых цен и не могли рассматриваться египетской стороной как наносящие ущерб местным товаропроизводителям.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В Египте существует две концепции расчета внутреннего госдолга.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1. В сумму внутреннего госдолга включаются правительственная часть, в т.ч. задолженность правительства по ГКО, сальдо по расчетам правительства с банковской системой, задолженность правительства Национальному инвестиционному банку, и хозяйственная часть, в т.ч. задолженность государственных хозяйствующих субъектов Национальному инвестиционному банку и сальдо по расчетам государственных хозяйствующих субъектов с банковской системой.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2. В сумму внутреннего госдолга включаются внутренние долги правительства и государственных хозяйствующих субъектов, внутренний долг (нетто) Национального инвестиционного банка, то есть активы банка за вычетом задолженности правительства и государственных хозяйствующих субъектов этому банку.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При формировании внутреннего госдолга правительство исходит из того, что долгосрочные казначейские облигации и депозитарные расписки являются инструментом заимствования у физических и юридических лиц, в т.ч. банков и страховых компаний, на цели экономического развития, сдерживания инфляции и в случае войны для финансирования военных расходов. Долгосрочные казначейские облигации бывают в Египте трех видов: с погашением до 5 лет, от 5 до 20 лет и свыше 20 лет.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С начала рыночных реформ в Египте используются казначейские векселя – инструмент краткосрочного заимствования правительством денежных средств с условием погашения через 91, 182 и 364 дня. Правительство реализует казначейские векселя через фондовый рынок и торги со скидкой от 10 до 12% от номинала. При учете казначейских векселей выплачивается от 5 до 13,5% годовых. В конце 2003г. дисконт составлял 10%, а учет 3-месячных векселей производился под 6,893%, 6-месячных – 7,314% и годовых – 8,000%.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Минфин использует казначейские векселя как средство привлечения «живых» денег на финансирование экономических реформ и считает их более эффективными, чем другие виды ГКО. Египтяне используют также казначейские векселя для поддержания в приемлемых размерах дефицита госбюджета, замещая ими иностранные кредиты, которые ранее использовались в этих целях. В 80гг. отношение дефицита госбюджета АРЕ к ВВП было значительным</w:t>
      </w:r>
      <w:r w:rsidR="00136E2B">
        <w:rPr>
          <w:color w:val="000000"/>
        </w:rPr>
        <w:t xml:space="preserve">. </w:t>
      </w:r>
      <w:r>
        <w:rPr>
          <w:color w:val="000000"/>
        </w:rPr>
        <w:t>Для покрытия дефицита госбюджета египетское правительство использовало кредиты иностранных банков.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Расчет годовых процентов по государственным евродолларовым облигациям производился на основе схемы расчета годовых по американским казначейским векселям US Treasury bonds.Египетские банки и страховые компании приобрели государственные евродолларовые облигации на 2,5 млрд.ег.ф.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Официальные цели выпуска египетских государственных евродолларовых облигаций: финансирование расходов государства для ускорения темпов роста экономики на фоне сокращения внутреннего накопления средств, необходимых для краткосрочного инвестирования; привлечение в Египет инвалюты под существующий на мировых финансовых рынках процент.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Египетский фондовый рынок был открыт в 1992г. Законодательство обеспечивает прозрачность совершаемых биржевых сделок и доступность информации об участниках рынка. Иностранные физ. и юрлица, как и египетские, имеют такие же права на осуществление эмиссии ценных бумаг и торговлю ими, на создание инвестиционных фондов, страховых и брокерских компаний.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Биржевые структуры эффективно управляют рынком и создают равные условия для всех его участников. В целях обеспечения своевременности расчетов по сделкам основан гарантийный фонд («Сетелмент Гэренти Фанд»), объем произведенных расчетов через который составил. 24 млрд.ег.ф. Торговые площадки египетских фондовых бирж в Каире и Александрии имеют развитую инфраструктуру, в т.ч. автоматизированную торговую систему, включая диалоговую связь между участниками торгов, подсоединенную к государственной контролирующей структуре (Управление фондового рынка – Capital Market Authority).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Правительство предпринимает меры по оживлению фондового рынка. С 5% до 12% увеличено ограничение на рост или понижение стоимости акций египетских предприятий в ходе одной торговой сессии.</w:t>
      </w:r>
    </w:p>
    <w:p w:rsidR="00414670" w:rsidRPr="00414670" w:rsidRDefault="00414670" w:rsidP="00014470">
      <w:pPr>
        <w:pStyle w:val="a3"/>
        <w:spacing w:before="0" w:beforeAutospacing="0" w:after="0" w:afterAutospacing="0"/>
        <w:ind w:firstLine="540"/>
        <w:jc w:val="both"/>
      </w:pPr>
    </w:p>
    <w:p w:rsidR="00014470" w:rsidRPr="00414670" w:rsidRDefault="00414670" w:rsidP="00014470">
      <w:pPr>
        <w:pStyle w:val="a3"/>
        <w:spacing w:before="0" w:beforeAutospacing="0" w:after="0" w:afterAutospacing="0"/>
        <w:ind w:firstLine="540"/>
        <w:jc w:val="both"/>
      </w:pPr>
      <w:r w:rsidRPr="00414670">
        <w:t>ПОЛИТИКА</w:t>
      </w:r>
    </w:p>
    <w:p w:rsidR="00414670" w:rsidRPr="00414670" w:rsidRDefault="00414670" w:rsidP="00014470">
      <w:pPr>
        <w:pStyle w:val="a3"/>
        <w:spacing w:before="0" w:beforeAutospacing="0" w:after="0" w:afterAutospacing="0"/>
        <w:ind w:firstLine="540"/>
        <w:jc w:val="both"/>
      </w:pPr>
    </w:p>
    <w:p w:rsidR="00014470" w:rsidRDefault="00DE66B8" w:rsidP="00014470">
      <w:pPr>
        <w:pStyle w:val="a3"/>
        <w:spacing w:before="0" w:beforeAutospacing="0" w:after="0" w:afterAutospacing="0"/>
        <w:ind w:firstLine="540"/>
        <w:jc w:val="both"/>
      </w:pPr>
      <w:r>
        <w:t>В 2005</w:t>
      </w:r>
      <w:r w:rsidR="00014470">
        <w:t xml:space="preserve"> г. внутриполитическое положение АРЕ оставалось относительно стабильным. Представители оппозиционных партий и групп, сумевшие в ходе выборов в Народное собрание вдвое увеличить в нем численность своих представителей (до 54 человек из 454 депутатов), усилили критику вносимых правительством проектов законов, но оказались не в состоянии ощутимо воздействовать на ход их принятия.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Основными направлениями египетской дипломатии</w:t>
      </w:r>
      <w:r w:rsidR="00DE66B8">
        <w:t xml:space="preserve"> </w:t>
      </w:r>
      <w:r>
        <w:t>оставалось ближневосточное урегулирование. В данном вопросе Египет, осуждая любые формы терроризма, последовательно отстаивает право палестинского народа на свое собственное государство. После терактов в США 11 сентября большое внимание уделялось также выработке единой позиции арабских и мусульманских стран в отношении развернувшейся с октября антитеррористической операции.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 xml:space="preserve">Последствия террористических актов в США оказали заметное негативное воздействие на состояние египетской экономики, которая к сентябрю 2001 г. стала демонстрировать первые признаки улучшения экономической ситуации. Благодаря росту поступлений от экспорта товаров и услуг и ощутимому сокращению платежей по их импорту в I кв. 2001 г. сальдо платежного баланса по текущим операциям впервые за многие годы оказалось положительным. 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Однако, с сентября 2001 г. ситуация кардинальным образом изменилась в результате сокращения текущих поступлений. Ощутимее всего сократились поступления от туризма, которые в последнее время превратились в основной источник иностранной валюты. Уже в сентябре из-за отмены многими туристическими компаниями планировавшихся в АРЕ туров, число туристов, посетивших Египет, снизилось на 18.2% по сравнению с этим же месяцем 2000 г. – до 372 тыс., а число проведенных ими человеко-ночей – на 18,3% – до 3249 тыс.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Для поддержания этой жизненно важной для экономики страны отрасли, с которой напрямую или косвенно связано 2,2 млн. занятых, были разработаны меры, предусматривающие активизацию рекламной кампании по привлечению туристов, в первую очередь из. арабских стран, СНГ и ЮАР, на количество которых последние события не оказали большого воздействия, снижение налогов на туристические предприятия, поощрение инвестиций в туризм. Однако даже в случае полной реализации этих и других мер по поощрению туризма поступления от него в 2001 г. не удалось сохранить на рекордном уровне 2000 г.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Заметно уменьшились и поступления от Суэцкого канала. Так, в I кв. 2001г. они составили 480,6 млн.долл., а во II кв. 2001г. – 468 млн.долл.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Совершенные в США 11 сентября 2001г. теракты и объявленные Америкой широкомасштабные планы борьбы с терроризмом отразятся и на объемах египетского экспорта. Одним из следствий этих событий стало решение Объединенного комитета военного риска, включающего представителей крупнейших страховых компаний мира, объявить с 27 сентября акватории Персидского залива и Красного моря «страховой зоной военного риска». Введенные с этой даты дополнительные сборы за страхование судов колеблются в зависимости от района судоходства в пределах от 0,1 до 0,5% их общей стоимости. В частности, для Суэцкого канала они составили 0,1%, а для Красного моря – 0,15%. Дополнительные сборы для судов, заходящих в порты Саудовской Аравии и ОАЭ, составили 0,175% от из общей стоимости, Ливана, Сирии и Ирана – 0,25%, Пакистана – 0,4% и Ирака – 0,5%.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Рост страховых платежей не мог не отразиться на стоимости фрахта, возросшего, например, при транспортировке 20-футового контейнера в районе Персидского залива на 100 долл., в результате чего конкурентоспособность египетских товаров, итак невысокая, еще больше снизилась. Под воздействием сентябрьских событий и их последствий темпы развития мировой экономики еще более замедлились. В результате действия этих факторов можно ожидать в первую очередь сокращения египетского экспорта в США, главным образом за счет готовых промышленных изделий (тканей, готовой одежды, изделий из кожи и т.п.), а также в страны Западной Европы, которые являются основными рынками египетских товаров.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В результате событий «черного вторника» в США национальный египетский авиаперевозчик компания «Иджиптэйр» понесла убытки в 350 млн.долл.. Дополнительные потери в 100 млн.долл. гражданская авиация понесла в результате увеличения стоимости страхования до 34%.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Заметное ухудшение финансово-экономического положения Египта в IV кв. 2001 года, усилившееся негативным воздействием последствий терактов в США 11 сентября, вынудило президента страны пойти на частичные изменения в кабинете министров и в структуре министерств. 21 ноября 2001 года Хосни Мубарак подписал Указ, в соответствии с которым, министерство экономики и внешней торговли преобразовано в министерство внешней торговли, а бывший министр экономики и внешней торговли Юсеф Бутрус Гали назначен министром внешней торговли. Указом определены основные функции министерства внешней торговли: расширение экспорта, сокращение хронического дисбаланса в сфере внешней торговли, регулирование импорта, защита национальной экономики от пагубных явлений в сфере международной торговли, привлечение иностранных инвестиций и поощрение местных инвесторов. Министерство внешней торговли будет отвечать за активизацию деятельности на бирже и предотвращение сбоев в ее работе. Министерству предоставляется юрисдикция в вопросах, касающихся деятельности «ключевых финансовых и экономических институтов, включая Управление рынком капитала. Центр развития экспорта. Генеральное управление международных выставок и ярмарок. Египетский национальный банк развития экспорта, торговые представительства АРЕ за рубежом. Египетскую компанию по вопросам экспортных гарантий.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Египет, по своему политическому устройству, является Арабской Республикой со всеми внешними атрибутами европейской демократии. В сент. 1999г. на общенародном референдуме ее президент Хосни Мубарак в четвертый раз был переизбран на высший руководящий пост страны еще на шесть лет.</w:t>
      </w:r>
    </w:p>
    <w:p w:rsidR="00451FAC" w:rsidRDefault="00451FAC" w:rsidP="00451FAC">
      <w:pPr>
        <w:pStyle w:val="a3"/>
        <w:spacing w:before="0" w:beforeAutospacing="0" w:after="0" w:afterAutospacing="0"/>
        <w:ind w:firstLine="540"/>
        <w:jc w:val="both"/>
      </w:pPr>
      <w:r>
        <w:t>Политическая система АРЕ</w:t>
      </w:r>
      <w:r w:rsidRPr="00623A8B">
        <w:t xml:space="preserve"> не претерпела изменений. Действующая конституция принята в 1971г. Президент – глава государства руководит исполнительной властью и обладает правом «вето» по вопросам внесения изменений в действующее законодательство. Назначает вице-президентов (этот пост в АРЕ традиционно вакантен), премьер-министра, министров, губернаторов всех 26 провинций, руководство органов госбезопасности, членов верховного суда и с окт. 2002г. управляющего ЦБ Египта. Указ египетского президента имеет силу закона. Президент является верховным главнокомандующим.</w:t>
      </w:r>
    </w:p>
    <w:p w:rsidR="00451FAC" w:rsidRPr="00623A8B" w:rsidRDefault="00451FAC" w:rsidP="00451FAC">
      <w:pPr>
        <w:pStyle w:val="a3"/>
        <w:spacing w:before="0" w:beforeAutospacing="0" w:after="0" w:afterAutospacing="0"/>
        <w:ind w:firstLine="540"/>
        <w:jc w:val="both"/>
      </w:pPr>
      <w:r w:rsidRPr="00623A8B">
        <w:t xml:space="preserve"> Разработкой и принятием законов занимается Народное собрание АРЕ (нижняя палата парламента, имеющая 444 депутатских места) и Консультативный совет АРЕ (верхняя палата парламента; имеющая 264 депутатских места). Выборы в Народное собрание АРЕ состоялись в конце 2000г. Срок полномочий депутатов нижней палаты парламента – 5 лет. Одна треть депутатов Консультативного совета АРЕ назначается президентом. Выборы в верхнюю палату парламента прошли в мае 2001г.</w:t>
      </w:r>
    </w:p>
    <w:p w:rsidR="00451FAC" w:rsidRPr="00623A8B" w:rsidRDefault="00451FAC" w:rsidP="00451FAC">
      <w:pPr>
        <w:pStyle w:val="a3"/>
        <w:spacing w:before="0" w:beforeAutospacing="0" w:after="0" w:afterAutospacing="0"/>
        <w:ind w:firstLine="540"/>
        <w:jc w:val="both"/>
      </w:pPr>
      <w:r w:rsidRPr="00623A8B">
        <w:t>В парламенте доминируют представители Национально-демократической партии (НДП), которая была основана А.Садатом в 1978г. и с тех пор находится у власти. НДП контролирует органы исполнительной власти на местах и в центре, а также средства массовой информации и государственные предприятия.</w:t>
      </w:r>
    </w:p>
    <w:p w:rsidR="00451FAC" w:rsidRPr="00623A8B" w:rsidRDefault="00451FAC" w:rsidP="00451FAC">
      <w:pPr>
        <w:pStyle w:val="a3"/>
        <w:spacing w:before="0" w:beforeAutospacing="0" w:after="0" w:afterAutospacing="0"/>
        <w:ind w:firstLine="540"/>
        <w:jc w:val="both"/>
      </w:pPr>
      <w:r w:rsidRPr="00623A8B">
        <w:t>Египетское правительство формально подотчетно парламенту. Фактически является основным инструментом политики президента. Важнейшие решения, касающиеся деятельности исполнительной власти, принимаются президентом при участии премьер-министра и министров. Ключевыми ведомствами являются министерства обороны, информации, МИД и МВД.</w:t>
      </w:r>
    </w:p>
    <w:p w:rsidR="00451FAC" w:rsidRDefault="00451FAC" w:rsidP="00451FAC">
      <w:pPr>
        <w:pStyle w:val="a3"/>
        <w:spacing w:before="0" w:beforeAutospacing="0" w:after="0" w:afterAutospacing="0"/>
        <w:ind w:firstLine="540"/>
        <w:jc w:val="both"/>
      </w:pPr>
      <w:r w:rsidRPr="00623A8B">
        <w:t>Составной частью политической системы АРЕ считаются вооруженные силы, служба в которых является конституционной обязанностью. Срок службы в армии – 3 года. В сухопутных войсках служат 320 тыс., ПВО – 75 тыс., ВВС – 29 тыс. и ВМФ – 19 тыс. человек. Численность сил безопасности превышает 250 тыс. и национальной гвардии – 60 тыс.чел.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</w:p>
    <w:p w:rsidR="00014470" w:rsidRDefault="00623A8B" w:rsidP="00014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A8B">
        <w:rPr>
          <w:rFonts w:ascii="Times New Roman" w:hAnsi="Times New Roman" w:cs="Times New Roman"/>
          <w:sz w:val="24"/>
          <w:szCs w:val="24"/>
        </w:rPr>
        <w:t xml:space="preserve">ИНВЕСТИЦИИ </w:t>
      </w:r>
    </w:p>
    <w:p w:rsidR="00623A8B" w:rsidRPr="00623A8B" w:rsidRDefault="00623A8B" w:rsidP="00014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 xml:space="preserve">На международной экономической конференции по Бл. Востоку и Сев. Африке (Каир, МЕНА-96) были впервые обнародованы крупные инвестиционные проекты, рассчитанные на освоение 118 млрд.долл. в течение 40 и более лет — урбанизация Синая, а также развитие Верхнего и Среднего Египта </w:t>
      </w:r>
      <w:r w:rsidRPr="00623A8B">
        <w:t>(освоение территории губернаторства Новая Долина или проект канала «Тошка»).</w:t>
      </w:r>
      <w:r>
        <w:t xml:space="preserve"> При этом учитывается, что население страны, составлявшее в 1996 г. 63,5 млн.чел., должно увеличиться к 2017 г. до 80 млн.чел.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 xml:space="preserve">Основные инвестиции в развитие египетской экономики направляются в с/х и ирригацию (проект «Тошка» с освоением более 200 тыс. га пустынных земель, строительство канала Ас-Салям и с/х освоение Сев. Синая), в энергетику (строительство новых ТЭС и ЛЭП), в транспортное строительство (автодороги, мосты, аэропорты, морпорты, трубопроводы, в нефте- и газодобычу, геологоразведку, телекоммуникационные сети, а также в развитие среднего и малого бизнеса, индустрию туризма. </w:t>
      </w:r>
      <w:r w:rsidRPr="00623A8B">
        <w:t xml:space="preserve">Проект прокладки канала и орошения земель в районе Тошка является самым грандиозным общенациональным проектом Египта, </w:t>
      </w:r>
      <w:r>
        <w:t>по значению приравненным к высотной Асуанской плотине. Президент Х.Мубарак на месте закладки насосной станции 9 января 1997 г. заявил, что «выполнение этого проекта позволит Египту достойно войти в XXI век и обеспечить египтянам лучшую жизнь». Предусматривается прорыть в песках канал длиной 350 км. (1 этап), соорудить насосную станцию (18 основных и 3 резервных агрегата, позволяющие осуществить подъем воды на высоту 53 м.), протянуть ЛЭП-220 от Асуанской ГЭС до насосного комплекса. Канал отсечет к западу от Нила 500 тыс.федданов песчаной земли, на которую затем будет уложен слой ила из озера Насер.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 xml:space="preserve">В процессе реализации проекта, который будет осуществляться в несколько этапов, должно быть вовлечено в с/х оборот 2,2 млн. федданов земли, сооружено 25 индустриальных зон, создана разветвленная инфраструктура. Финансирование освоения Новой Долины будет осуществляться совместными усилиями как местного, так и иностранного капитала. </w:t>
      </w:r>
      <w:r w:rsidRPr="00623A8B">
        <w:t xml:space="preserve">Правительство предполагает взять на себя 20 % всех расходов, </w:t>
      </w:r>
      <w:r>
        <w:t xml:space="preserve">а остальное должно приходиться на долю деловых кругов. </w:t>
      </w:r>
      <w:r w:rsidRPr="00623A8B">
        <w:t>Инвесторам предоставляются льготы, в частности освобождение от всех налогов до 20 лет.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Принятые в 1996-97 гг. законы и нормативные акты явились логическим продолжением экономической реформы в АРЕ по созданию благоприятного климата для привлечения иноинвестиций и активизации национального капитала в инвестиционной сфере. Закон № 100/96 отменил монополию государства на строительство и эксплуатацию объектов энергетики и коммунального хозяйства, закон № 229/96 предоставил право инвесторам строить, содержать и эксплуатировать объекты общенациональной и региональной инфраструктуры (автодороги, мосты, аэро- и морпорты). 11 мая 1997 г. издан закон № 8 «О поощрении инвестиций и гарантиях инвесторам». Компании, зарегистрированные в соответствии с этим законом, освобождаются от уплаты налога на корпорации на 5 лет (если они базируются в новых промзонах и отдаленных районах, то этот срок увеличивается до 10 лет, а за пределами долины Нила — до 20 лет). Льготы распространяются на компании: осваивающие пустынные территории с использованием современных методов ирригации; занимающиеся животноводством, птицеводством, рыболовством; промышленные и горнодобывающие; реализующие проекты жилищного строительства не менее чем на 50 домов; развивающие инфраструктуру, включая электро- и водоснабжение, канализацию, автодороги и связь; компании по перевозкам грузов в рефрижераторах; гостиницы, мотели, пансионаты, туристические городки; контейнерные терминалы, зернохранилища, склады-холодильники; компании, специализирующиеся на финансовом лизинге, на размещении ценных бумаг и т.д.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 xml:space="preserve">Закон №8/97 значительно расширил область правового регулирования в инвестиционной сфере, ввел дополнительные гарантии и стимулы, предоставляемые национальным и иностранным инвесторам, независимо от форм собственности, урегулировал вопросы функционирования СЭЗ. </w:t>
      </w:r>
      <w:r w:rsidRPr="00623A8B">
        <w:t xml:space="preserve">Режим свободной зоны, </w:t>
      </w:r>
      <w:r>
        <w:t xml:space="preserve">предоставляемый упомянутым законом и </w:t>
      </w:r>
      <w:r w:rsidRPr="00623A8B">
        <w:t>распространяемый на инвестиционные проекты,</w:t>
      </w:r>
      <w:r>
        <w:t xml:space="preserve"> предусматривает освобождение инвестора от таможенных пошлин, других налогов и выплат на ввозимое в АРЕ оборудование, механизмы и транспортные средства (кроме личных автомобилей). При этом распределение доходов, осуществляемое инвестором после ввода объекта в эксплуатацию, не подпадает под действие налогового законодательства АРЕ.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 xml:space="preserve">Основными способами привлечения инвестиций в АРЕ стали </w:t>
      </w:r>
      <w:r w:rsidRPr="00623A8B">
        <w:t xml:space="preserve">схемы БOT </w:t>
      </w:r>
      <w:r>
        <w:t xml:space="preserve">(строить-управлять-извлекать прибыль), </w:t>
      </w:r>
      <w:r w:rsidRPr="00623A8B">
        <w:t xml:space="preserve">БOOT </w:t>
      </w:r>
      <w:r>
        <w:t xml:space="preserve">(строить-управлять-владеть-извлекать прибыль) и </w:t>
      </w:r>
      <w:r w:rsidRPr="00623A8B">
        <w:t xml:space="preserve">БOO </w:t>
      </w:r>
      <w:r>
        <w:t>(строить-управлять-владеть, Built-Operate-Ownership).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Закон 3/97 в полной мере закрепил и расширил действие этих схем в инвестиционной сфере. При этом, в соответствии с законом 89/98 «О тендерах», основной формой получения заказа становится открытый (международный) тендер, предусматривающий процедуру предквалификации, полное и строгое выполнения тендерных требований по техническим и финансовым аспектам, а также внесение временного депозитного вклада в размере 2% стоимости проекта (Big Bond — гарантия участия). В случае выигрыша тендера инвестор обязан внести окончательный депозитный вклад Perfomance Bond — гарантия исполнения) в размере до 10% стоимости проекта. Однако на практике имеет место взимание в качестве депозитов не 10% от стоимости контракта, а фиксированных сумм от 150 до 350 тыс.долл. Таким образом, государство отказалось от монопольного права привлекать материальные и финансовые ресурсы в основные отрасли экономики страны, оставив за собой такое право лишь в сфере соцстраха, госаппарата и армии, а также Суэцкого канала.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 xml:space="preserve">Многочисленные западноевропейские, американские и японские фирмы, а также компании из Ю. Кореи, Сингапура, Таиланда, Малайзии, Австралии и других стран активно предлагают свои услуги и капиталы на инвестиционном рынке Египта. Американская «Амоко» и итальянская «Аджип» доминируют на рынке нефтегазовой промышленности, строительства объектов нефтехимии. Французские фирмы, реализующие </w:t>
      </w:r>
      <w:r w:rsidRPr="00623A8B">
        <w:t>«Программу Мубарак-Ширак»,</w:t>
      </w:r>
      <w:r>
        <w:t xml:space="preserve"> ведут строительство метро в Каире и Александрии, участвуют в модернизации алюминиевых предприятий, создании системы телекоммуникаций. Немецкие компании по </w:t>
      </w:r>
      <w:r w:rsidRPr="00623A8B">
        <w:t xml:space="preserve">«Программе Мубарак-Коль» </w:t>
      </w:r>
      <w:r>
        <w:t>осуществляют проекты профтехобразования, являются ведущими фирмами и консультантами при строительстве объектов энергетики. Японские организации участвуют в строительстве объектов инфраструктуры, автосборочных производств, ирригации. Даже менее крупные фирмы из Дании, Люксембурга, Голландии, Бельгии, а также из Китая, Индии, Турции и других стран находят свою нишу на инвестиционном рынке Египта. Значительное место занимают также инвестиции соседних арабских стран в развитии туристического и гостиничного бизнеса в АРЕ.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Процессу активности зарубежных фирм способствуют достаточно привлекательные кредитно-финансовые условия, предоставляемые им в рамках реализации инвестиционных проектов: 40% — дар, 40% — т.н. «мягкий» кредит (17-20 лет рассрочка, 10 лет — льготные, 2,5-4% годовых) и 20% — бюджетное финансирование, а также возможность размещения части изготавливаемого технологического оборудования на египетских заводах.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 w:rsidRPr="00623A8B">
        <w:t xml:space="preserve">О порядке представительств и филиалов иностранных юридических лиц. </w:t>
      </w:r>
      <w:r>
        <w:t>Основными актами являются закон №159/1981 о компаниях и исполнительное регулирование к указанному закону, утвержденное декретом № 96/1982. Иностранная компания может быть непосредственно представлена в АРЕ в форме представительства филиала или отделения или АО.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I. Иностранным компаниям открывать свои представительства, научные и технические бюро или осуществлять свое «представительство» в иных формах, целью которых является изучение конъюнктуры рынка или подготовка операций по реализации проектов в отдельных сферах производства; запрещено заниматься посреднической (коммерческой) деятельностью, а также выполнять функции коммерческих агенств.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Представительство должно быть зарегистрировано в Управлении компаний. Требуется представить следующие данные: название иностранной компании, ее юридический статус, местонахождение за границей, ее цели, капитал, отделение в АРЕ, адрес в AРE (если есть отделение), форма представительства, цель открытия, временный или постоянный адрес, наличие финансовых средств на счетах представительства и источник финансирования, номера телефонов. К заявлению прилагаются: устав компании, заверенный нотариусом; перевод на арабский язык основных положений устава; решение иностранной компании об открытии представительства в АРЕ, назначении главы представительства, переведенное на арабский язык. Если глава представительства является иностранцем, то на него должны быть представлены следующие сведения: имя, написанное арабскими буквами, национальность, имя, написанное латинскими буквами, год и место рождения, вероисповедание, номер паспорта, место выдачи паспорта, дата выдачи, должность, дата приезда в АРЕ, срок пребывания, место работы в АРЕ, дата предыдущего приезда и убытия. Если глава представительства египтянин, то необходимо указать: имя из трех слов, национальность, вероисповедание, адрес, номер удостоверения, дату, место выдачи. Необходимо уплатить регистрационный сбор чеком на имя Управления компаний. Представительство обязано уведомить Управление компаний о всех изменениях, касающихся замены главы представительства, его адреса, адреса представительства, номера телефона и пр.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Управление компаний вправе осуществлять проверку деятельности представительств иностранных компаний и знакомиться с документацией и другими финансовыми документами представительства на предмет соответствия их требованиям законодательства.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 xml:space="preserve">Представительство ежегодно направляет в Управление компаний информацию о работниках отделения, их должности, сведения о зарплате. 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В случае если иностранной компании требуется организовать сервисную сеть (по обслуживанию и продвижению своих товаров на рынке) на территории Египта, ей необходимо выбрать коммерческого агента и зарегистрировать свое представительство в рамках закона о коммерческих агенствах. Отказ компании от услуг агента может повлечь за собой отзыв регистрационного разрешения.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II. Иностранная компания может зарегистрировать свое отделение в АРЕ при условии, что она заключила контракт с египетским государственным или частным сектором.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Для того чтобы открыть отделение компании в АРЕ, требуется получение разрешения от Управления по инвестициям. Отделение должно быть также зарегистрировано в коммерческом реестре. До подачи заявки на регистрацию необходимо получить в одном из египетских банков свидетельство об открытии своего счета на сумму не менее 2500 ф. Сама заявка должна включать в себя данные: предмет деятельности; балансовый отчет о деятельности головной компании за последний год; решение органов управления компании об открытии в Египте своего отделения, назначении управляющего и образовании капитала, необходимого для функционирования отделения; копию контракта на совершение операций в АРЕ.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Регистрационное удостоверение (разрешение) действует в течение 5 лет. Отделение иностранной компании должно быть также зарегистрировано в регистре иностранных компаний, ведущемся в Управлении компаний.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Управление делами отделения иностранной компании осуществляется уполномоченным лицом, которое может быть как иностранцем, так и египтянином.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Если отделение иностранной компании подпадает под действие налогового законодательства АРЕ, необходимо также зарегистрироваться в налоговых органах и получить налоговую карточку. Лицо, занимающееся вопросами регистрации отделения, должно иметь доверенность своей компании, легализованную египетским консульством в соответствующей стране.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Отделение компании может начать функционировать только после завершения процедуры регистрации. В статье 170 закона 159/1981 указано на необходимость соблюдения количественных требований в отношении персонала отделения компании: египтяне должны составлять не менее 90% от общего числа занятых, и их зарплата должна быть не менее 80% от общего фонда зарплаты. Кроме того, египтяне должны занимать не менее 75% должностей административного и технического характера, и их зарплата не может быть меньше 70% от общего фонда зарплаты для данной категории работников. Иностранцы, вне зависимости от их должности в отделении компании, должны получить разрешение на работу в АРЕ в установленном порядке. Работники отделения компании вправе участвовать в распределении не менее 10% прибыли отделения и не более общего ежегодного размера выплат по платежным ведомостям.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К таким видам деятельности относятся, в частности, осуществление импорта, объявление торгов с участием правительственных учреждений и организаций госсектора. Однако если отделение иностранной компании изъявит желание осуществлять такого рода деятельность, то оно должно действовать через зарегистрированного в установленном порядке египетского агента.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При налогообложении отделений иностранных компаний учитываются два фактора. Первый — статус «постоянного учреждения» в АРЕ, второй — получение доходов от проводимой в Египте деятельности. Как египетские, так и иностранные работники отделения компании подпадают под действие египетского законодательства о подоходном налоге. При этом различаются налог на зарплату и налог на общий доход. Налог на зарплату взимается в размере 2% от первых 480 ф. и может достигнуть 22% с суммы, превышающей 3840 ф. Работодатель обязан удерживать указанный налог. Общий налог на доход работника взимается от общей суммы полученного чистого дохода в пределах 8% с суммы свыше 2000 ф. и 65% с суммы свыше 200 тыс.ф., за вычетом уплаченного налога по зарплате. В обязательном порядке делаются отчисления на социальное страхование египетских работников.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>Отделение иностранной компании обязано назначить египетского аудитора. Аудитор не вправе участвовать в управлении делами отделения компании, однако ему должна быть предоставлена возможность знакомиться со всеми финансовыми документами отделения.</w:t>
      </w:r>
    </w:p>
    <w:p w:rsidR="00014470" w:rsidRDefault="00014470" w:rsidP="00014470">
      <w:pPr>
        <w:pStyle w:val="a3"/>
        <w:spacing w:before="0" w:beforeAutospacing="0" w:after="0" w:afterAutospacing="0"/>
        <w:ind w:firstLine="540"/>
        <w:jc w:val="both"/>
      </w:pPr>
      <w:r>
        <w:t xml:space="preserve">Еще одной формой, обеспечивающей представительство иностранных компаний в АРЕ, является создание АО или ООО в рамках закона №230/1989 («Об инвестициях») или закона №159/1901 («О компаниях»). Как правило, иностранные компании предпочитают действовать в рамках закона «Об инвестициях», гарантирущего предоставление больших льгот и привилегий. </w:t>
      </w:r>
    </w:p>
    <w:p w:rsidR="00784FC4" w:rsidRDefault="00784FC4" w:rsidP="00623A8B">
      <w:pPr>
        <w:pStyle w:val="a3"/>
        <w:spacing w:before="0" w:beforeAutospacing="0" w:after="0" w:afterAutospacing="0"/>
        <w:ind w:firstLine="540"/>
        <w:jc w:val="both"/>
      </w:pPr>
    </w:p>
    <w:p w:rsidR="00603041" w:rsidRPr="00623A8B" w:rsidRDefault="00623A8B" w:rsidP="00603041">
      <w:pPr>
        <w:pStyle w:val="a3"/>
        <w:spacing w:before="0" w:beforeAutospacing="0" w:after="0" w:afterAutospacing="0"/>
        <w:ind w:firstLine="540"/>
        <w:jc w:val="both"/>
      </w:pPr>
      <w:r w:rsidRPr="00623A8B">
        <w:t>УРОВЕНЬ ЖИЗНИ</w:t>
      </w:r>
    </w:p>
    <w:p w:rsidR="00603041" w:rsidRPr="00623A8B" w:rsidRDefault="00603041" w:rsidP="00603041">
      <w:pPr>
        <w:pStyle w:val="a3"/>
        <w:spacing w:before="0" w:beforeAutospacing="0" w:after="0" w:afterAutospacing="0"/>
        <w:ind w:firstLine="540"/>
        <w:jc w:val="both"/>
      </w:pPr>
    </w:p>
    <w:p w:rsidR="00603041" w:rsidRPr="00623A8B" w:rsidRDefault="00603041" w:rsidP="00603041">
      <w:pPr>
        <w:pStyle w:val="a3"/>
        <w:spacing w:before="0" w:beforeAutospacing="0" w:after="0" w:afterAutospacing="0"/>
        <w:ind w:firstLine="540"/>
        <w:jc w:val="both"/>
      </w:pPr>
      <w:r w:rsidRPr="00623A8B">
        <w:t>Площадь Египта составляет 1001,4 тыс.кв.км, 95% которых занимают пустыни. Под хозяйственные цели используется 35,2 тыс.кв.км.</w:t>
      </w:r>
    </w:p>
    <w:p w:rsidR="00603041" w:rsidRPr="00623A8B" w:rsidRDefault="00603041" w:rsidP="00603041">
      <w:pPr>
        <w:pStyle w:val="a3"/>
        <w:spacing w:before="0" w:beforeAutospacing="0" w:after="0" w:afterAutospacing="0"/>
        <w:ind w:firstLine="540"/>
        <w:jc w:val="both"/>
      </w:pPr>
      <w:r w:rsidRPr="00623A8B">
        <w:t>Население АРЕ на 1 янв. 2004г. достигло 70,2 млн. человек, включая 2,9 млн. египтян, проживающих за границей, из которых 1,9 млн. временно выехали из страны для работы за рубежом. Темпы естественного прироста населения снижаются – в 200</w:t>
      </w:r>
      <w:r w:rsidR="00623A8B">
        <w:t>5</w:t>
      </w:r>
      <w:r w:rsidRPr="00623A8B">
        <w:t>г. они уменьшились до 1,9%. На мужчин приходится 51% населения. По прогнозу Центр. агентства мобилизации и статистики, население Египта к 2029г. удвоится и составит 123 млн. чел.</w:t>
      </w:r>
    </w:p>
    <w:p w:rsidR="00603041" w:rsidRPr="00623A8B" w:rsidRDefault="00603041" w:rsidP="00603041">
      <w:pPr>
        <w:pStyle w:val="a3"/>
        <w:spacing w:before="0" w:beforeAutospacing="0" w:after="0" w:afterAutospacing="0"/>
        <w:ind w:firstLine="540"/>
        <w:jc w:val="both"/>
      </w:pPr>
      <w:r w:rsidRPr="00623A8B">
        <w:t>Египетское законодательство признает трудоспособным лицо, которое достигло 15-летнего возраста. Численность трудоспособного населения АРЕ на 1 янв. 200</w:t>
      </w:r>
      <w:r w:rsidR="00623A8B">
        <w:t>5</w:t>
      </w:r>
      <w:r w:rsidRPr="00623A8B">
        <w:t>г. превысила 20 млн. чел. Число постоянно занятых составило 18 млн. чел. Несмотря на то, что, по оценке экспертов МВФ, реальные потребности государственного сектора экономики АРЕ в рабочей силе не превышают 0,6 млн. чел., в нем занято 6 млн.чел.</w:t>
      </w:r>
    </w:p>
    <w:p w:rsidR="00623A8B" w:rsidRDefault="00603041" w:rsidP="00603041">
      <w:pPr>
        <w:pStyle w:val="a3"/>
        <w:spacing w:before="0" w:beforeAutospacing="0" w:after="0" w:afterAutospacing="0"/>
        <w:ind w:firstLine="540"/>
        <w:jc w:val="both"/>
      </w:pPr>
      <w:r w:rsidRPr="00623A8B">
        <w:t>Число безработных – 2 млн.чел. К временной и сезонной работе привлекался 1 млн. чел., в т.ч. – 0,3 млн. детей в школьном возрасте для уборки хлопка. Через биржи труда  был трудоустроен 1 млн. чел., в т.ч. 0,8 млн. выпускников учебных заведений</w:t>
      </w:r>
      <w:r w:rsidR="00623A8B">
        <w:t>.</w:t>
      </w:r>
    </w:p>
    <w:p w:rsidR="00603041" w:rsidRPr="00623A8B" w:rsidRDefault="00603041" w:rsidP="00603041">
      <w:pPr>
        <w:pStyle w:val="a3"/>
        <w:spacing w:before="0" w:beforeAutospacing="0" w:after="0" w:afterAutospacing="0"/>
        <w:ind w:firstLine="540"/>
        <w:jc w:val="both"/>
      </w:pPr>
      <w:r w:rsidRPr="00623A8B">
        <w:t>На детей в возрасте до 15 лет приходится 37% населения страны. Египтяне в возрасте от 15 до 40 лет составляют 41% населения, от 40 до 60 лет – 16% и старше 60 лет-6%. Продолжительность жизни мужчин в Египте в 2003г. достигла 68 лет и женщин – 72 лет. Среднестатистическая египетская семья состоит из 5 чел.</w:t>
      </w:r>
    </w:p>
    <w:p w:rsidR="00603041" w:rsidRPr="00623A8B" w:rsidRDefault="00603041" w:rsidP="00603041">
      <w:pPr>
        <w:pStyle w:val="a3"/>
        <w:spacing w:before="0" w:beforeAutospacing="0" w:after="0" w:afterAutospacing="0"/>
        <w:ind w:firstLine="540"/>
        <w:jc w:val="both"/>
      </w:pPr>
      <w:r w:rsidRPr="00623A8B">
        <w:t>В дельте Нила живет и работает 97% населения Египта. Плотность населения в этом районе считается одной из самых высоких в мире. В Каире этот показатель составляет 32 тыс. чел. на 1 кв. км.</w:t>
      </w:r>
    </w:p>
    <w:p w:rsidR="00603041" w:rsidRPr="00623A8B" w:rsidRDefault="00603041" w:rsidP="00603041">
      <w:pPr>
        <w:pStyle w:val="a3"/>
        <w:spacing w:before="0" w:beforeAutospacing="0" w:after="0" w:afterAutospacing="0"/>
        <w:ind w:firstLine="540"/>
        <w:jc w:val="both"/>
      </w:pPr>
      <w:r w:rsidRPr="00623A8B">
        <w:t>Одной из трудно разрешимых проблем Египта считаются вопросы, связанные с состоянием окружающей среды. 80% промышленных сточных вод сбрасываются в окружающую среду без какой-либо очистки. Полной и частичной очистке подвергается только 20% сточных вод. Египетская промышленность выбрасывает 10 тонн летучих отходов в минуту. Содержание окиси свинца и кадмия в каирском воздухе в 8 раз превышает допустимый уровень.</w:t>
      </w:r>
    </w:p>
    <w:p w:rsidR="00603041" w:rsidRPr="00623A8B" w:rsidRDefault="00603041" w:rsidP="00603041">
      <w:pPr>
        <w:pStyle w:val="a3"/>
        <w:spacing w:before="0" w:beforeAutospacing="0" w:after="0" w:afterAutospacing="0"/>
        <w:ind w:firstLine="540"/>
        <w:jc w:val="both"/>
      </w:pPr>
      <w:r w:rsidRPr="00623A8B">
        <w:t>В Каире проживает 7,5 млн. чел., в провинции Гиза, относимый египтянами к так называемому большому Каиру – 5,4 млн. чел. и в Александрии – 3,6 млн. чел.</w:t>
      </w:r>
    </w:p>
    <w:p w:rsidR="00603041" w:rsidRPr="00623A8B" w:rsidRDefault="00603041" w:rsidP="00603041">
      <w:pPr>
        <w:pStyle w:val="a3"/>
        <w:spacing w:before="0" w:beforeAutospacing="0" w:after="0" w:afterAutospacing="0"/>
        <w:ind w:firstLine="540"/>
        <w:jc w:val="both"/>
      </w:pPr>
      <w:r w:rsidRPr="00623A8B">
        <w:t>Уровень зарплаты неквалифицированного рабочего составляет 300 ег.ф., квалифицированного-600 ег.ф. в месяц (50 и 100 долл.). На уборке хлопка ставка составляет 15 ег.ф. за двое суток при 12-часовом рабочем дне.</w:t>
      </w:r>
    </w:p>
    <w:p w:rsidR="00603041" w:rsidRPr="00623A8B" w:rsidRDefault="00603041" w:rsidP="00603041">
      <w:pPr>
        <w:pStyle w:val="a3"/>
        <w:spacing w:before="0" w:beforeAutospacing="0" w:after="0" w:afterAutospacing="0"/>
        <w:ind w:firstLine="540"/>
        <w:jc w:val="both"/>
      </w:pPr>
      <w:r w:rsidRPr="00623A8B">
        <w:t>Несмотря на то, что 40 млн. чел. страны живет бедно или находится за чертой бедности, внутриполитическое положение в египетском обществе относительно стабильно. Это объясняется отлаженной системой подавления любого проявления социального недовольства и сохранением в стране чрезвычайного положения, введенного в 1981г. после убийства мусульманскими террористами египетского президента А.Садата.</w:t>
      </w:r>
    </w:p>
    <w:p w:rsidR="00DE66B8" w:rsidRPr="00623A8B" w:rsidRDefault="00DE66B8" w:rsidP="00623A8B">
      <w:pPr>
        <w:pStyle w:val="a3"/>
        <w:spacing w:before="0" w:beforeAutospacing="0" w:after="0" w:afterAutospacing="0"/>
        <w:ind w:firstLine="540"/>
        <w:jc w:val="both"/>
      </w:pPr>
      <w:r w:rsidRPr="00623A8B">
        <w:t xml:space="preserve">Считается, что большая часть населения - мусульмане, а меньшая - исповедующая христианство (копты). Но есть и люди других религий. Опознавательным знаком копта служит вытатуированный на внутренней стороне запястья крест, а нательных крестов копты не носят. </w:t>
      </w:r>
    </w:p>
    <w:p w:rsidR="00603041" w:rsidRDefault="00603041" w:rsidP="00623A8B">
      <w:pPr>
        <w:pStyle w:val="a3"/>
        <w:spacing w:before="0" w:beforeAutospacing="0" w:after="0" w:afterAutospacing="0"/>
        <w:ind w:firstLine="540"/>
        <w:jc w:val="both"/>
      </w:pPr>
      <w:bookmarkStart w:id="0" w:name="_GoBack"/>
      <w:bookmarkEnd w:id="0"/>
    </w:p>
    <w:sectPr w:rsidR="00603041" w:rsidSect="006030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041"/>
    <w:rsid w:val="00014470"/>
    <w:rsid w:val="000F4F7A"/>
    <w:rsid w:val="00120B30"/>
    <w:rsid w:val="00136E2B"/>
    <w:rsid w:val="002E1830"/>
    <w:rsid w:val="003963AD"/>
    <w:rsid w:val="00414670"/>
    <w:rsid w:val="00444537"/>
    <w:rsid w:val="00451FAC"/>
    <w:rsid w:val="00603041"/>
    <w:rsid w:val="00623A8B"/>
    <w:rsid w:val="006A5B47"/>
    <w:rsid w:val="006C0E24"/>
    <w:rsid w:val="00784FC4"/>
    <w:rsid w:val="00792FB1"/>
    <w:rsid w:val="007A7EA7"/>
    <w:rsid w:val="00B946EC"/>
    <w:rsid w:val="00D713F3"/>
    <w:rsid w:val="00D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12B62F5-076F-4DD8-B5CF-8C08D87F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041"/>
    <w:rPr>
      <w:rFonts w:ascii="Arial" w:hAnsi="Arial" w:cs="Arial"/>
    </w:rPr>
  </w:style>
  <w:style w:type="paragraph" w:styleId="3">
    <w:name w:val="heading 3"/>
    <w:basedOn w:val="a"/>
    <w:link w:val="30"/>
    <w:uiPriority w:val="99"/>
    <w:qFormat/>
    <w:rsid w:val="0041467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60304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uiPriority w:val="99"/>
    <w:qFormat/>
    <w:rsid w:val="00603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5325</Words>
  <Characters>30358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Home</Company>
  <LinksUpToDate>false</LinksUpToDate>
  <CharactersWithSpaces>35612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Юля</dc:creator>
  <cp:keywords/>
  <dc:description/>
  <cp:lastModifiedBy>admin</cp:lastModifiedBy>
  <cp:revision>2</cp:revision>
  <dcterms:created xsi:type="dcterms:W3CDTF">2014-02-23T08:23:00Z</dcterms:created>
  <dcterms:modified xsi:type="dcterms:W3CDTF">2014-02-23T08:23:00Z</dcterms:modified>
</cp:coreProperties>
</file>