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210" w:rsidRPr="00951C9D" w:rsidRDefault="00BA7210" w:rsidP="00951C9D">
      <w:pPr>
        <w:suppressAutoHyphens/>
        <w:autoSpaceDE w:val="0"/>
        <w:autoSpaceDN w:val="0"/>
        <w:adjustRightInd w:val="0"/>
        <w:spacing w:line="360" w:lineRule="auto"/>
        <w:ind w:firstLine="709"/>
        <w:jc w:val="both"/>
        <w:rPr>
          <w:b/>
          <w:bCs/>
          <w:caps/>
          <w:sz w:val="28"/>
          <w:szCs w:val="28"/>
        </w:rPr>
      </w:pPr>
      <w:bookmarkStart w:id="0" w:name="OLE_LINK1"/>
      <w:bookmarkStart w:id="1" w:name="OLE_LINK2"/>
      <w:r w:rsidRPr="00951C9D">
        <w:rPr>
          <w:b/>
          <w:bCs/>
          <w:caps/>
          <w:sz w:val="28"/>
          <w:szCs w:val="28"/>
        </w:rPr>
        <w:t>О некоторых вопросах ввоза в Республику Беларусь товаров для переработки</w:t>
      </w:r>
    </w:p>
    <w:bookmarkEnd w:id="0"/>
    <w:bookmarkEnd w:id="1"/>
    <w:p w:rsidR="00951C9D" w:rsidRPr="00951C9D" w:rsidRDefault="00951C9D" w:rsidP="00951C9D">
      <w:pPr>
        <w:suppressAutoHyphens/>
        <w:autoSpaceDE w:val="0"/>
        <w:autoSpaceDN w:val="0"/>
        <w:adjustRightInd w:val="0"/>
        <w:spacing w:line="360" w:lineRule="auto"/>
        <w:ind w:firstLine="709"/>
        <w:jc w:val="both"/>
        <w:rPr>
          <w:sz w:val="28"/>
          <w:szCs w:val="28"/>
        </w:rPr>
      </w:pP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Организации, занимающиеся переработкой иностранного сырья, материалов и комплектующих, зачастую сталкиваются с выбором таможенного режима, который необходимо заявить в отношении ввозимых в Республику Беларусь товаров исходя из условий заключенной внешнеэкономической сделки, а также целей последующего использования и (или) распоряжения продуктами переработки. В настоящей статье рассмотрены основные способы ввоза таких товаров на таможенную территорию Республики Беларусь и сопряженные с ними требования относительно уплаты таможенных платежей, соблюдения ограничений на ввоз товаров и прочие таможенные формальности.</w:t>
      </w:r>
    </w:p>
    <w:p w:rsidR="00BA7210" w:rsidRPr="00951C9D" w:rsidRDefault="00951C9D" w:rsidP="00951C9D">
      <w:pPr>
        <w:suppressAutoHyphens/>
        <w:autoSpaceDE w:val="0"/>
        <w:autoSpaceDN w:val="0"/>
        <w:adjustRightInd w:val="0"/>
        <w:spacing w:line="360" w:lineRule="auto"/>
        <w:ind w:firstLine="709"/>
        <w:jc w:val="both"/>
        <w:rPr>
          <w:b/>
          <w:bCs/>
          <w:i/>
          <w:iCs/>
          <w:sz w:val="28"/>
          <w:szCs w:val="28"/>
        </w:rPr>
      </w:pPr>
      <w:r w:rsidRPr="00951C9D">
        <w:rPr>
          <w:b/>
          <w:bCs/>
          <w:i/>
          <w:iCs/>
          <w:sz w:val="28"/>
          <w:szCs w:val="28"/>
        </w:rPr>
        <w:br w:type="page"/>
      </w:r>
      <w:r w:rsidR="00BA7210" w:rsidRPr="00951C9D">
        <w:rPr>
          <w:b/>
          <w:bCs/>
          <w:i/>
          <w:iCs/>
          <w:sz w:val="28"/>
          <w:szCs w:val="28"/>
        </w:rPr>
        <w:t>I. Товары для переработки ввозятся в Республику Беларусь в рамках таможенного режима свободного обращения. Готовая продукция остается на таможенной территории Республики Бе</w:t>
      </w:r>
      <w:r w:rsidR="00000E51">
        <w:rPr>
          <w:b/>
          <w:bCs/>
          <w:i/>
          <w:iCs/>
          <w:sz w:val="28"/>
          <w:szCs w:val="28"/>
        </w:rPr>
        <w:t>ларусь</w:t>
      </w:r>
    </w:p>
    <w:p w:rsidR="00951C9D" w:rsidRDefault="00951C9D" w:rsidP="00951C9D">
      <w:pPr>
        <w:suppressAutoHyphens/>
        <w:autoSpaceDE w:val="0"/>
        <w:autoSpaceDN w:val="0"/>
        <w:adjustRightInd w:val="0"/>
        <w:spacing w:line="360" w:lineRule="auto"/>
        <w:ind w:firstLine="709"/>
        <w:jc w:val="both"/>
        <w:rPr>
          <w:sz w:val="28"/>
          <w:szCs w:val="28"/>
          <w:lang w:val="en-US"/>
        </w:rPr>
      </w:pP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В соответствии со ст. 159 Таможенного кодекса Республики Беларусь (далее - ТК) рассматриваемый таможенный режим допускает постоянное размещение и использование товаров без ограничений владения, пользования и распоряжения ими, которые предусмотрены таможенным законодательством в отношении использования иностранных товаров на таможенной территории.</w:t>
      </w:r>
    </w:p>
    <w:p w:rsidR="00BA7210" w:rsidRPr="00000E51"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Основным из условий помещения товаров под таможенный режим свободного обращения является уплата необходимых таможенных платежей. К ним можно отнести таможенные сборы за таможенное оформление, ввозную таможенную пошлину, акциз и налог на добавленную стоимость (см. таблицу). Причем согласно ст. 160 ТК такие платежи должны быть уплачены в полном объеме до выдачи свидетельства о помещении товаров под данный таможенный режим.</w:t>
      </w:r>
    </w:p>
    <w:p w:rsidR="00951C9D" w:rsidRPr="00000E51" w:rsidRDefault="00951C9D" w:rsidP="00951C9D">
      <w:pPr>
        <w:suppressAutoHyphens/>
        <w:autoSpaceDE w:val="0"/>
        <w:autoSpaceDN w:val="0"/>
        <w:adjustRightInd w:val="0"/>
        <w:spacing w:line="360" w:lineRule="auto"/>
        <w:ind w:firstLine="709"/>
        <w:jc w:val="both"/>
        <w:rPr>
          <w:sz w:val="28"/>
          <w:szCs w:val="28"/>
        </w:rPr>
      </w:pPr>
    </w:p>
    <w:tbl>
      <w:tblPr>
        <w:tblW w:w="4786" w:type="pct"/>
        <w:jc w:val="center"/>
        <w:tblCellSpacing w:w="-8" w:type="dxa"/>
        <w:tblLayout w:type="fixed"/>
        <w:tblCellMar>
          <w:top w:w="45" w:type="dxa"/>
          <w:left w:w="45" w:type="dxa"/>
          <w:bottom w:w="45" w:type="dxa"/>
          <w:right w:w="45" w:type="dxa"/>
        </w:tblCellMar>
        <w:tblLook w:val="0000" w:firstRow="0" w:lastRow="0" w:firstColumn="0" w:lastColumn="0" w:noHBand="0" w:noVBand="0"/>
      </w:tblPr>
      <w:tblGrid>
        <w:gridCol w:w="2717"/>
        <w:gridCol w:w="6323"/>
      </w:tblGrid>
      <w:tr w:rsidR="00BA7210" w:rsidRPr="00951C9D" w:rsidTr="00951C9D">
        <w:trPr>
          <w:trHeight w:val="635"/>
          <w:tblCellSpacing w:w="-8" w:type="dxa"/>
          <w:jc w:val="center"/>
        </w:trPr>
        <w:tc>
          <w:tcPr>
            <w:tcW w:w="1508" w:type="pct"/>
            <w:tcBorders>
              <w:top w:val="single" w:sz="6" w:space="0" w:color="A3A3A3"/>
              <w:left w:val="single" w:sz="6" w:space="0" w:color="A3A3A3"/>
              <w:bottom w:val="single" w:sz="6" w:space="0" w:color="A3A3A3"/>
              <w:right w:val="single" w:sz="6" w:space="0" w:color="A3A3A3"/>
            </w:tcBorders>
            <w:shd w:val="clear" w:color="auto" w:fill="FFFFFF"/>
          </w:tcPr>
          <w:p w:rsidR="00BA7210" w:rsidRPr="00951C9D" w:rsidRDefault="00BA7210" w:rsidP="00951C9D">
            <w:pPr>
              <w:suppressAutoHyphens/>
              <w:autoSpaceDE w:val="0"/>
              <w:autoSpaceDN w:val="0"/>
              <w:adjustRightInd w:val="0"/>
              <w:spacing w:line="360" w:lineRule="auto"/>
              <w:rPr>
                <w:sz w:val="20"/>
                <w:szCs w:val="20"/>
              </w:rPr>
            </w:pPr>
            <w:r w:rsidRPr="00951C9D">
              <w:rPr>
                <w:sz w:val="20"/>
                <w:szCs w:val="20"/>
              </w:rPr>
              <w:t>Вид таможенного платежа</w:t>
            </w:r>
          </w:p>
        </w:tc>
        <w:tc>
          <w:tcPr>
            <w:tcW w:w="3518" w:type="pct"/>
            <w:tcBorders>
              <w:top w:val="single" w:sz="6" w:space="0" w:color="A3A3A3"/>
              <w:left w:val="single" w:sz="6" w:space="0" w:color="A3A3A3"/>
              <w:bottom w:val="single" w:sz="6" w:space="0" w:color="A3A3A3"/>
              <w:right w:val="single" w:sz="6" w:space="0" w:color="A3A3A3"/>
            </w:tcBorders>
            <w:shd w:val="clear" w:color="auto" w:fill="FFFFFF"/>
          </w:tcPr>
          <w:p w:rsidR="00BA7210" w:rsidRPr="00951C9D" w:rsidRDefault="00BA7210" w:rsidP="00951C9D">
            <w:pPr>
              <w:suppressAutoHyphens/>
              <w:autoSpaceDE w:val="0"/>
              <w:autoSpaceDN w:val="0"/>
              <w:adjustRightInd w:val="0"/>
              <w:spacing w:line="360" w:lineRule="auto"/>
              <w:rPr>
                <w:sz w:val="20"/>
                <w:szCs w:val="20"/>
              </w:rPr>
            </w:pPr>
            <w:r w:rsidRPr="00951C9D">
              <w:rPr>
                <w:sz w:val="20"/>
                <w:szCs w:val="20"/>
              </w:rPr>
              <w:t>Нормативные правовые акты, устанавливающие ставки таможенного платежа</w:t>
            </w:r>
          </w:p>
        </w:tc>
      </w:tr>
      <w:tr w:rsidR="00BA7210" w:rsidRPr="00951C9D" w:rsidTr="00951C9D">
        <w:trPr>
          <w:trHeight w:val="635"/>
          <w:tblCellSpacing w:w="-8" w:type="dxa"/>
          <w:jc w:val="center"/>
        </w:trPr>
        <w:tc>
          <w:tcPr>
            <w:tcW w:w="1508" w:type="pct"/>
            <w:tcBorders>
              <w:top w:val="single" w:sz="6" w:space="0" w:color="A3A3A3"/>
              <w:left w:val="single" w:sz="6" w:space="0" w:color="A3A3A3"/>
              <w:bottom w:val="single" w:sz="6" w:space="0" w:color="A3A3A3"/>
              <w:right w:val="single" w:sz="6" w:space="0" w:color="A3A3A3"/>
            </w:tcBorders>
            <w:shd w:val="clear" w:color="auto" w:fill="FFFFFF"/>
          </w:tcPr>
          <w:p w:rsidR="00BA7210" w:rsidRPr="00951C9D" w:rsidRDefault="00BA7210" w:rsidP="00951C9D">
            <w:pPr>
              <w:suppressAutoHyphens/>
              <w:autoSpaceDE w:val="0"/>
              <w:autoSpaceDN w:val="0"/>
              <w:adjustRightInd w:val="0"/>
              <w:spacing w:line="360" w:lineRule="auto"/>
              <w:rPr>
                <w:sz w:val="20"/>
                <w:szCs w:val="20"/>
              </w:rPr>
            </w:pPr>
            <w:r w:rsidRPr="00951C9D">
              <w:rPr>
                <w:sz w:val="20"/>
                <w:szCs w:val="20"/>
              </w:rPr>
              <w:t>Таможенные сборы за таможенное оформление</w:t>
            </w:r>
          </w:p>
        </w:tc>
        <w:tc>
          <w:tcPr>
            <w:tcW w:w="3518" w:type="pct"/>
            <w:tcBorders>
              <w:top w:val="single" w:sz="6" w:space="0" w:color="A3A3A3"/>
              <w:left w:val="single" w:sz="6" w:space="0" w:color="A3A3A3"/>
              <w:bottom w:val="single" w:sz="6" w:space="0" w:color="A3A3A3"/>
              <w:right w:val="single" w:sz="6" w:space="0" w:color="A3A3A3"/>
            </w:tcBorders>
            <w:shd w:val="clear" w:color="auto" w:fill="FFFFFF"/>
          </w:tcPr>
          <w:p w:rsidR="00BA7210" w:rsidRPr="00951C9D" w:rsidRDefault="00BA7210" w:rsidP="00951C9D">
            <w:pPr>
              <w:suppressAutoHyphens/>
              <w:autoSpaceDE w:val="0"/>
              <w:autoSpaceDN w:val="0"/>
              <w:adjustRightInd w:val="0"/>
              <w:spacing w:line="360" w:lineRule="auto"/>
              <w:rPr>
                <w:sz w:val="20"/>
                <w:szCs w:val="20"/>
              </w:rPr>
            </w:pPr>
            <w:r w:rsidRPr="00951C9D">
              <w:rPr>
                <w:sz w:val="20"/>
                <w:szCs w:val="20"/>
              </w:rPr>
              <w:t>Указ Президента Республики Беларусь от 13.07.2006 № 443 «О таможенных сборах»</w:t>
            </w:r>
          </w:p>
        </w:tc>
      </w:tr>
      <w:tr w:rsidR="00BA7210" w:rsidRPr="00951C9D" w:rsidTr="00951C9D">
        <w:trPr>
          <w:trHeight w:val="635"/>
          <w:tblCellSpacing w:w="-8" w:type="dxa"/>
          <w:jc w:val="center"/>
        </w:trPr>
        <w:tc>
          <w:tcPr>
            <w:tcW w:w="1508" w:type="pct"/>
            <w:tcBorders>
              <w:top w:val="single" w:sz="6" w:space="0" w:color="A3A3A3"/>
              <w:left w:val="single" w:sz="6" w:space="0" w:color="A3A3A3"/>
              <w:bottom w:val="single" w:sz="6" w:space="0" w:color="A3A3A3"/>
              <w:right w:val="single" w:sz="6" w:space="0" w:color="A3A3A3"/>
            </w:tcBorders>
            <w:shd w:val="clear" w:color="auto" w:fill="FFFFFF"/>
          </w:tcPr>
          <w:p w:rsidR="00BA7210" w:rsidRPr="00951C9D" w:rsidRDefault="00BA7210" w:rsidP="00951C9D">
            <w:pPr>
              <w:suppressAutoHyphens/>
              <w:autoSpaceDE w:val="0"/>
              <w:autoSpaceDN w:val="0"/>
              <w:adjustRightInd w:val="0"/>
              <w:spacing w:line="360" w:lineRule="auto"/>
              <w:rPr>
                <w:sz w:val="20"/>
                <w:szCs w:val="20"/>
              </w:rPr>
            </w:pPr>
            <w:r w:rsidRPr="00951C9D">
              <w:rPr>
                <w:sz w:val="20"/>
                <w:szCs w:val="20"/>
              </w:rPr>
              <w:t>Ввозные таможенные пошлины</w:t>
            </w:r>
          </w:p>
        </w:tc>
        <w:tc>
          <w:tcPr>
            <w:tcW w:w="3518" w:type="pct"/>
            <w:tcBorders>
              <w:top w:val="single" w:sz="6" w:space="0" w:color="A3A3A3"/>
              <w:left w:val="single" w:sz="6" w:space="0" w:color="A3A3A3"/>
              <w:bottom w:val="single" w:sz="6" w:space="0" w:color="A3A3A3"/>
              <w:right w:val="single" w:sz="6" w:space="0" w:color="A3A3A3"/>
            </w:tcBorders>
            <w:shd w:val="clear" w:color="auto" w:fill="FFFFFF"/>
          </w:tcPr>
          <w:p w:rsidR="00BA7210" w:rsidRPr="00951C9D" w:rsidRDefault="00BA7210" w:rsidP="00951C9D">
            <w:pPr>
              <w:suppressAutoHyphens/>
              <w:autoSpaceDE w:val="0"/>
              <w:autoSpaceDN w:val="0"/>
              <w:adjustRightInd w:val="0"/>
              <w:spacing w:line="360" w:lineRule="auto"/>
              <w:rPr>
                <w:sz w:val="20"/>
                <w:szCs w:val="20"/>
              </w:rPr>
            </w:pPr>
            <w:r w:rsidRPr="00951C9D">
              <w:rPr>
                <w:sz w:val="20"/>
                <w:szCs w:val="20"/>
              </w:rPr>
              <w:t>Указ Президента Республики Беларусь от 31.12.2007 № 699 «Об установлении ставок ввозных таможенных пошлин»</w:t>
            </w:r>
          </w:p>
        </w:tc>
      </w:tr>
      <w:tr w:rsidR="00BA7210" w:rsidRPr="00951C9D" w:rsidTr="00951C9D">
        <w:trPr>
          <w:trHeight w:val="635"/>
          <w:tblCellSpacing w:w="-8" w:type="dxa"/>
          <w:jc w:val="center"/>
        </w:trPr>
        <w:tc>
          <w:tcPr>
            <w:tcW w:w="1508" w:type="pct"/>
            <w:tcBorders>
              <w:top w:val="single" w:sz="6" w:space="0" w:color="A3A3A3"/>
              <w:left w:val="single" w:sz="6" w:space="0" w:color="A3A3A3"/>
              <w:bottom w:val="single" w:sz="6" w:space="0" w:color="A3A3A3"/>
              <w:right w:val="single" w:sz="6" w:space="0" w:color="A3A3A3"/>
            </w:tcBorders>
            <w:shd w:val="clear" w:color="auto" w:fill="FFFFFF"/>
          </w:tcPr>
          <w:p w:rsidR="00BA7210" w:rsidRPr="00951C9D" w:rsidRDefault="00BA7210" w:rsidP="00951C9D">
            <w:pPr>
              <w:suppressAutoHyphens/>
              <w:autoSpaceDE w:val="0"/>
              <w:autoSpaceDN w:val="0"/>
              <w:adjustRightInd w:val="0"/>
              <w:spacing w:line="360" w:lineRule="auto"/>
              <w:rPr>
                <w:sz w:val="20"/>
                <w:szCs w:val="20"/>
              </w:rPr>
            </w:pPr>
            <w:r w:rsidRPr="00951C9D">
              <w:rPr>
                <w:sz w:val="20"/>
                <w:szCs w:val="20"/>
              </w:rPr>
              <w:t>Акцизы</w:t>
            </w:r>
          </w:p>
        </w:tc>
        <w:tc>
          <w:tcPr>
            <w:tcW w:w="3518" w:type="pct"/>
            <w:tcBorders>
              <w:top w:val="single" w:sz="6" w:space="0" w:color="A3A3A3"/>
              <w:left w:val="single" w:sz="6" w:space="0" w:color="A3A3A3"/>
              <w:bottom w:val="single" w:sz="6" w:space="0" w:color="A3A3A3"/>
              <w:right w:val="single" w:sz="6" w:space="0" w:color="A3A3A3"/>
            </w:tcBorders>
            <w:shd w:val="clear" w:color="auto" w:fill="FFFFFF"/>
          </w:tcPr>
          <w:p w:rsidR="00BA7210" w:rsidRPr="00951C9D" w:rsidRDefault="00BA7210" w:rsidP="00951C9D">
            <w:pPr>
              <w:suppressAutoHyphens/>
              <w:autoSpaceDE w:val="0"/>
              <w:autoSpaceDN w:val="0"/>
              <w:adjustRightInd w:val="0"/>
              <w:spacing w:line="360" w:lineRule="auto"/>
              <w:rPr>
                <w:sz w:val="20"/>
                <w:szCs w:val="20"/>
              </w:rPr>
            </w:pPr>
            <w:r w:rsidRPr="00951C9D">
              <w:rPr>
                <w:sz w:val="20"/>
                <w:szCs w:val="20"/>
              </w:rPr>
              <w:t>Указ Президента Республики Беларусь от 29.12.2008 № 709 «О ставках акцизов на подакцизные товары»</w:t>
            </w:r>
          </w:p>
        </w:tc>
      </w:tr>
      <w:tr w:rsidR="00BA7210" w:rsidRPr="00951C9D" w:rsidTr="00951C9D">
        <w:trPr>
          <w:trHeight w:val="635"/>
          <w:tblCellSpacing w:w="-8" w:type="dxa"/>
          <w:jc w:val="center"/>
        </w:trPr>
        <w:tc>
          <w:tcPr>
            <w:tcW w:w="1508" w:type="pct"/>
            <w:tcBorders>
              <w:top w:val="single" w:sz="6" w:space="0" w:color="A3A3A3"/>
              <w:left w:val="single" w:sz="6" w:space="0" w:color="A3A3A3"/>
              <w:bottom w:val="single" w:sz="6" w:space="0" w:color="A3A3A3"/>
              <w:right w:val="single" w:sz="6" w:space="0" w:color="A3A3A3"/>
            </w:tcBorders>
            <w:shd w:val="clear" w:color="auto" w:fill="FFFFFF"/>
          </w:tcPr>
          <w:p w:rsidR="00BA7210" w:rsidRPr="00951C9D" w:rsidRDefault="00BA7210" w:rsidP="00951C9D">
            <w:pPr>
              <w:suppressAutoHyphens/>
              <w:autoSpaceDE w:val="0"/>
              <w:autoSpaceDN w:val="0"/>
              <w:adjustRightInd w:val="0"/>
              <w:spacing w:line="360" w:lineRule="auto"/>
              <w:rPr>
                <w:sz w:val="20"/>
                <w:szCs w:val="20"/>
              </w:rPr>
            </w:pPr>
            <w:r w:rsidRPr="00951C9D">
              <w:rPr>
                <w:sz w:val="20"/>
                <w:szCs w:val="20"/>
              </w:rPr>
              <w:t>Налог на добавленную стоимость</w:t>
            </w:r>
          </w:p>
        </w:tc>
        <w:tc>
          <w:tcPr>
            <w:tcW w:w="3518" w:type="pct"/>
            <w:tcBorders>
              <w:top w:val="single" w:sz="6" w:space="0" w:color="A3A3A3"/>
              <w:left w:val="single" w:sz="6" w:space="0" w:color="A3A3A3"/>
              <w:bottom w:val="single" w:sz="6" w:space="0" w:color="A3A3A3"/>
              <w:right w:val="single" w:sz="6" w:space="0" w:color="A3A3A3"/>
            </w:tcBorders>
            <w:shd w:val="clear" w:color="auto" w:fill="FFFFFF"/>
          </w:tcPr>
          <w:p w:rsidR="00BA7210" w:rsidRPr="00951C9D" w:rsidRDefault="00BA7210" w:rsidP="00951C9D">
            <w:pPr>
              <w:suppressAutoHyphens/>
              <w:autoSpaceDE w:val="0"/>
              <w:autoSpaceDN w:val="0"/>
              <w:adjustRightInd w:val="0"/>
              <w:spacing w:line="360" w:lineRule="auto"/>
              <w:rPr>
                <w:sz w:val="20"/>
                <w:szCs w:val="20"/>
              </w:rPr>
            </w:pPr>
            <w:r w:rsidRPr="00951C9D">
              <w:rPr>
                <w:sz w:val="20"/>
                <w:szCs w:val="20"/>
              </w:rPr>
              <w:t>Закон Республики Беларусь от 19.12.1991 № 1319-XII «О налоге на добавленную стоимость»</w:t>
            </w:r>
          </w:p>
        </w:tc>
      </w:tr>
    </w:tbl>
    <w:p w:rsidR="00951C9D" w:rsidRPr="00000E51" w:rsidRDefault="00951C9D" w:rsidP="00951C9D">
      <w:pPr>
        <w:suppressAutoHyphens/>
        <w:autoSpaceDE w:val="0"/>
        <w:autoSpaceDN w:val="0"/>
        <w:adjustRightInd w:val="0"/>
        <w:spacing w:line="360" w:lineRule="auto"/>
        <w:ind w:firstLine="709"/>
        <w:jc w:val="both"/>
        <w:rPr>
          <w:sz w:val="28"/>
          <w:szCs w:val="28"/>
        </w:rPr>
      </w:pP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Заявление товаров в таможенном режиме свободного обращения производится с применением таможенной декларации, форма и порядок заполнения которой определены приказом Государственного таможенного комитета Республики Беларусь от 09.07.1998 № 246-ОД «Об утверждении « Положения о таможенном документе «Грузовая таможенная декларация» и «Инструкции о порядке заполнения грузовой таможенной декларации для целей таможенного декларирования товаров» (далее - Приказ № 246-ОД).</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В соответствии со ст. 159 ТК товары, ограниченные к перемещению через таможенную границу при ввозе, помещаются под таможенный режим свободного обращения при представлении таможенному органу соответствующих разрешений и (или) лицензий уполномоченных государственных органов на ввоз этих товаров. Причем применяются ограничения, устанавливаемые по основаниям экономического и неэкономического характера.</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Согласно Указу Президента Республики Беларусь от 15.10.2007 № 502 «О запретах и ограничениях на перемещение отдельных видов товаров через таможенную границу Республики Беларусь» (далее - Указ № 502) к товарам, ограниченным к перемещению через таможенную границу Республики Беларусь при ввозе по основаниям экономического характера, относятся товары, внешняя торговля которыми подлежит лицензированию. В этих целях постановлением Совета Министров Республики Беларусь от 27.09.2006 № 1267 «О лицензировании внешней торговли отдельными видами товаров» (далее - Постановление № 1267) утвержден перечень товаров, импорт которых осуществляется по лицензиям, выдаваемым Министерством торговли. Данный перечень включает в себя отдельные товары, классифицируемые в группах 10, 12, 15, 25-28, 31, 41, 53, 71, 72, 74-76 Товарной номенклатуры внешнеэкономической деятельности Республики Беларусь (далее - ТН ВЭД).</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Перечни товаров, ограниченных к перемещению через таможенную границу Республики Беларусь при ввозе по основаниям неэкономического характера утверждены постановлением Совета Министров Республики Беларусь от 23.09.2008 № 1397 «О некоторых вопросах порядка перемещения отдельных видов товаров через таможенную границу Республики Беларусь» (далее - Постановление № 1397).</w:t>
      </w:r>
    </w:p>
    <w:p w:rsidR="00951C9D" w:rsidRPr="00000E51" w:rsidRDefault="00951C9D" w:rsidP="00951C9D">
      <w:pPr>
        <w:suppressAutoHyphens/>
        <w:autoSpaceDE w:val="0"/>
        <w:autoSpaceDN w:val="0"/>
        <w:adjustRightInd w:val="0"/>
        <w:spacing w:line="360" w:lineRule="auto"/>
        <w:ind w:firstLine="709"/>
        <w:jc w:val="both"/>
        <w:rPr>
          <w:b/>
          <w:bCs/>
          <w:i/>
          <w:iCs/>
          <w:sz w:val="28"/>
          <w:szCs w:val="28"/>
        </w:rPr>
      </w:pPr>
    </w:p>
    <w:p w:rsidR="00BA7210" w:rsidRPr="00951C9D" w:rsidRDefault="00BA7210" w:rsidP="00951C9D">
      <w:pPr>
        <w:suppressAutoHyphens/>
        <w:autoSpaceDE w:val="0"/>
        <w:autoSpaceDN w:val="0"/>
        <w:adjustRightInd w:val="0"/>
        <w:spacing w:line="360" w:lineRule="auto"/>
        <w:ind w:firstLine="709"/>
        <w:jc w:val="both"/>
        <w:rPr>
          <w:b/>
          <w:bCs/>
          <w:i/>
          <w:iCs/>
          <w:sz w:val="28"/>
          <w:szCs w:val="28"/>
        </w:rPr>
      </w:pPr>
      <w:r w:rsidRPr="00951C9D">
        <w:rPr>
          <w:b/>
          <w:bCs/>
          <w:i/>
          <w:iCs/>
          <w:sz w:val="28"/>
          <w:szCs w:val="28"/>
        </w:rPr>
        <w:t>II. Товары для переработки ввозятся в Республику Беларусь в рамках таможенного режима свободного обращения. Готовая продукция вывозится за пределы таможенной территории Рес</w:t>
      </w:r>
      <w:r w:rsidR="00000E51">
        <w:rPr>
          <w:b/>
          <w:bCs/>
          <w:i/>
          <w:iCs/>
          <w:sz w:val="28"/>
          <w:szCs w:val="28"/>
        </w:rPr>
        <w:t>публики Беларусь</w:t>
      </w:r>
    </w:p>
    <w:p w:rsidR="00951C9D" w:rsidRPr="00000E51" w:rsidRDefault="00951C9D" w:rsidP="00951C9D">
      <w:pPr>
        <w:suppressAutoHyphens/>
        <w:autoSpaceDE w:val="0"/>
        <w:autoSpaceDN w:val="0"/>
        <w:adjustRightInd w:val="0"/>
        <w:spacing w:line="360" w:lineRule="auto"/>
        <w:ind w:firstLine="709"/>
        <w:jc w:val="both"/>
        <w:rPr>
          <w:sz w:val="28"/>
          <w:szCs w:val="28"/>
        </w:rPr>
      </w:pP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Основные условия помещения товаров под таможенный режим свободного обращения рассмотрены выше (см. п. I). В свою очередь, касаясь рассматриваемой ситуации, необходимо обратить внимание на следующую особенность.</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В соответствии с Указом Президента Республики Беларусь от 23.08.2005 № 391 «Об отсрочке уплаты таможенной пошлины и налога на добавленную стоимость» в отношении комплектующих, запасных частей, материалов и сырья, ввозимых в Республику Беларусь для изготовления экспортной продукции, когда подлежащая уплате сумма ввозной таможенной пошлины в отношении ввозимых товаров не превышает 10 % от их таможенной стоимости (за исключением ввозимого сахара-сырца тростникового для производства сахара белого), плательщик вправе получить отсрочку уплаты ввозной таможенной пошлины и налога на добавленную стоимость. Рассматриваемая отсрочка предоставляется на срок:</w:t>
      </w:r>
    </w:p>
    <w:p w:rsidR="00BA7210" w:rsidRPr="00951C9D" w:rsidRDefault="00BA7210" w:rsidP="00951C9D">
      <w:pPr>
        <w:numPr>
          <w:ilvl w:val="0"/>
          <w:numId w:val="1"/>
        </w:numPr>
        <w:suppressAutoHyphens/>
        <w:autoSpaceDE w:val="0"/>
        <w:autoSpaceDN w:val="0"/>
        <w:adjustRightInd w:val="0"/>
        <w:spacing w:line="360" w:lineRule="auto"/>
        <w:ind w:left="0" w:firstLine="709"/>
        <w:jc w:val="both"/>
        <w:rPr>
          <w:sz w:val="28"/>
          <w:szCs w:val="28"/>
        </w:rPr>
      </w:pPr>
      <w:r w:rsidRPr="00951C9D">
        <w:rPr>
          <w:sz w:val="28"/>
          <w:szCs w:val="28"/>
        </w:rPr>
        <w:t>не более 12 месяцев - в отношении товаров, ввозимых для изготовления продукции экспортного судостроения, а также сахара-сырца тростникового для производства сахара белого;</w:t>
      </w:r>
    </w:p>
    <w:p w:rsidR="00BA7210" w:rsidRPr="00951C9D" w:rsidRDefault="00BA7210" w:rsidP="00951C9D">
      <w:pPr>
        <w:numPr>
          <w:ilvl w:val="0"/>
          <w:numId w:val="1"/>
        </w:numPr>
        <w:suppressAutoHyphens/>
        <w:autoSpaceDE w:val="0"/>
        <w:autoSpaceDN w:val="0"/>
        <w:adjustRightInd w:val="0"/>
        <w:spacing w:line="360" w:lineRule="auto"/>
        <w:ind w:left="0" w:firstLine="709"/>
        <w:jc w:val="both"/>
        <w:rPr>
          <w:sz w:val="28"/>
          <w:szCs w:val="28"/>
        </w:rPr>
      </w:pPr>
      <w:r w:rsidRPr="00951C9D">
        <w:rPr>
          <w:sz w:val="28"/>
          <w:szCs w:val="28"/>
        </w:rPr>
        <w:t>не более 6 месяцев - в отношении других товаров.</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Кроме того, в случае вывоза ввезенных товаров в составе готовой продукции в установленные отсрочкой сроки за пределы таможенных территорий Республики Беларусь и Российской Федерации ввозная таможенная пошлина и налог на добавленную стоимость не взимаются, т.е. фактически предоставляется льгота по уплате ввозных таможенных пошлин, налогов.</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Согласно Инструкции о порядке реализации взимания таможенных платежей, процентов, утвержденной постановлением Государственного таможенного комитета Республики Беларусь от 24.01.2007 № 11 «О некоторых вопросах, связанных со взиманием таможенных платежей, процентов» (далее - Инструкция № 11), под экспортной продукцией понимаются товары, вывезенные за пределы таможенных территорий Республики Беларусь и Российской Федерации без обязательства об обратном ввозе, в состав которых исходя из номенклатуры и количества вошли ввезенные комплектующие, запасные части, материалы и сырье (как непосредственно, так и в составе другой продукции).</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Данная отсрочка предоставляется при таможенном оформлении. Для ее получения одновременно с подачей таможенной декларации плательщик подает в таможню, производящую таможенное оформление, выписку из технологического процесса (промышленного регламента) изготовления экспортной продукции с указанием норм расхода ввезенных комплектующих, запасных частей, материалов и сырья на изготовление единицы экспортной продукции, заверенную подписью руководителя и печатью плательщика.</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Для подтверждения выполнения условий отсрочки плательщик представляет в таможню:</w:t>
      </w:r>
    </w:p>
    <w:p w:rsidR="00BA7210" w:rsidRPr="00951C9D" w:rsidRDefault="00BA7210" w:rsidP="00951C9D">
      <w:pPr>
        <w:numPr>
          <w:ilvl w:val="0"/>
          <w:numId w:val="1"/>
        </w:numPr>
        <w:suppressAutoHyphens/>
        <w:autoSpaceDE w:val="0"/>
        <w:autoSpaceDN w:val="0"/>
        <w:adjustRightInd w:val="0"/>
        <w:spacing w:line="360" w:lineRule="auto"/>
        <w:ind w:left="0" w:firstLine="709"/>
        <w:jc w:val="both"/>
        <w:rPr>
          <w:sz w:val="28"/>
          <w:szCs w:val="28"/>
        </w:rPr>
      </w:pPr>
      <w:r w:rsidRPr="00951C9D">
        <w:rPr>
          <w:sz w:val="28"/>
          <w:szCs w:val="28"/>
        </w:rPr>
        <w:t>отчет об использовании комплектующих, запасных частей, материалов и сырья для производства экспортной продукции по установленной форме - в течение 10 рабочих дней со дня истечения срока предоставленной отсрочки. Форма такого отчета определена приложением 3 к Инструкции № 11;</w:t>
      </w:r>
    </w:p>
    <w:p w:rsidR="00BA7210" w:rsidRPr="00951C9D" w:rsidRDefault="00BA7210" w:rsidP="00951C9D">
      <w:pPr>
        <w:numPr>
          <w:ilvl w:val="0"/>
          <w:numId w:val="1"/>
        </w:numPr>
        <w:suppressAutoHyphens/>
        <w:autoSpaceDE w:val="0"/>
        <w:autoSpaceDN w:val="0"/>
        <w:adjustRightInd w:val="0"/>
        <w:spacing w:line="360" w:lineRule="auto"/>
        <w:ind w:left="0" w:firstLine="709"/>
        <w:jc w:val="both"/>
        <w:rPr>
          <w:sz w:val="28"/>
          <w:szCs w:val="28"/>
        </w:rPr>
      </w:pPr>
      <w:r w:rsidRPr="00951C9D">
        <w:rPr>
          <w:sz w:val="28"/>
          <w:szCs w:val="28"/>
        </w:rPr>
        <w:t>документы, подтверждающие факт вывоза экспортной продукции за пределы таможенных территорий Республики Беларусь и Российской Федерации, - не позднее 30 календарных дней со дня истечения срока предоставленной отсрочки, а в отношении товаров, вывозимых за пределы таможенных территорий Республики Беларусь и Российской Федерации, следующих транзитом через таможенную территорию Российской Федерации, - не позднее 60 календарных дней со дня истечения срока предоставленной отсрочки.</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Однако необходимо отметить, что в случае невыполнения вышеуказанных условий, добровольного погашения такой отсрочки законодательством не предусмотрено. Согласно Указу № 391 при неосуществлении вышеназванного вывоза у плательщика возникает таможенная задолженность, которая взыскивается с начислением пеней в размере ставки рефинансирования Национального банка Республики Беларусь, увеличенной на 20 %.</w:t>
      </w:r>
    </w:p>
    <w:p w:rsidR="00951C9D" w:rsidRPr="00000E51" w:rsidRDefault="00951C9D" w:rsidP="00951C9D">
      <w:pPr>
        <w:suppressAutoHyphens/>
        <w:autoSpaceDE w:val="0"/>
        <w:autoSpaceDN w:val="0"/>
        <w:adjustRightInd w:val="0"/>
        <w:spacing w:line="360" w:lineRule="auto"/>
        <w:ind w:firstLine="709"/>
        <w:jc w:val="both"/>
        <w:rPr>
          <w:b/>
          <w:bCs/>
          <w:i/>
          <w:iCs/>
          <w:sz w:val="28"/>
          <w:szCs w:val="28"/>
        </w:rPr>
      </w:pPr>
    </w:p>
    <w:p w:rsidR="00BA7210" w:rsidRPr="00951C9D" w:rsidRDefault="00BA7210" w:rsidP="00951C9D">
      <w:pPr>
        <w:suppressAutoHyphens/>
        <w:autoSpaceDE w:val="0"/>
        <w:autoSpaceDN w:val="0"/>
        <w:adjustRightInd w:val="0"/>
        <w:spacing w:line="360" w:lineRule="auto"/>
        <w:ind w:firstLine="709"/>
        <w:jc w:val="both"/>
        <w:rPr>
          <w:b/>
          <w:bCs/>
          <w:i/>
          <w:iCs/>
          <w:sz w:val="28"/>
          <w:szCs w:val="28"/>
        </w:rPr>
      </w:pPr>
      <w:r w:rsidRPr="00951C9D">
        <w:rPr>
          <w:b/>
          <w:bCs/>
          <w:i/>
          <w:iCs/>
          <w:sz w:val="28"/>
          <w:szCs w:val="28"/>
        </w:rPr>
        <w:t>III. Товары для переработки ввозятся в Республику Беларусь в рамках таможенного режима переработки на таможенной территории. Готовая продукция остается на таможенной террито</w:t>
      </w:r>
      <w:r w:rsidR="00000E51">
        <w:rPr>
          <w:b/>
          <w:bCs/>
          <w:i/>
          <w:iCs/>
          <w:sz w:val="28"/>
          <w:szCs w:val="28"/>
        </w:rPr>
        <w:t>рии Республики Беларусь</w:t>
      </w:r>
    </w:p>
    <w:p w:rsidR="00951C9D" w:rsidRPr="00000E51" w:rsidRDefault="00951C9D" w:rsidP="00951C9D">
      <w:pPr>
        <w:suppressAutoHyphens/>
        <w:autoSpaceDE w:val="0"/>
        <w:autoSpaceDN w:val="0"/>
        <w:adjustRightInd w:val="0"/>
        <w:spacing w:line="360" w:lineRule="auto"/>
        <w:ind w:firstLine="709"/>
        <w:jc w:val="both"/>
        <w:rPr>
          <w:sz w:val="28"/>
          <w:szCs w:val="28"/>
        </w:rPr>
      </w:pP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В соответствии со ст. 165 ТК таможенный режим переработки на таможенной территории допускает совершение на таможенной территории операций переработки иностранных товаров в течение установленного срока, в том числе с использованием при таких операциях отечественных товаров, в целях получения продуктов переработки, предназначенных для вывоза с таможенной территории. При этом согласно ст. 174–175 ТК продукты переработки могут быть также размещены на таможенной территории Республики Беларусь, что требует их помещения под таможенный режим свободного обращения.</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Согласно ст. 166 ТК операции переработки товаров в таможенном режиме переработки на таможенной территории включают:</w:t>
      </w:r>
    </w:p>
    <w:p w:rsidR="00BA7210" w:rsidRPr="00951C9D" w:rsidRDefault="00BA7210" w:rsidP="00951C9D">
      <w:pPr>
        <w:numPr>
          <w:ilvl w:val="0"/>
          <w:numId w:val="1"/>
        </w:numPr>
        <w:suppressAutoHyphens/>
        <w:autoSpaceDE w:val="0"/>
        <w:autoSpaceDN w:val="0"/>
        <w:adjustRightInd w:val="0"/>
        <w:spacing w:line="360" w:lineRule="auto"/>
        <w:ind w:left="0" w:firstLine="709"/>
        <w:jc w:val="both"/>
        <w:rPr>
          <w:sz w:val="28"/>
          <w:szCs w:val="28"/>
        </w:rPr>
      </w:pPr>
      <w:r w:rsidRPr="00951C9D">
        <w:rPr>
          <w:sz w:val="28"/>
          <w:szCs w:val="28"/>
        </w:rPr>
        <w:t>собственно переработку или обработку товаров, при которых товары для переработки теряют свои индивидуальные характеристики (отличительные признаки);</w:t>
      </w:r>
    </w:p>
    <w:p w:rsidR="00BA7210" w:rsidRPr="00951C9D" w:rsidRDefault="00BA7210" w:rsidP="00951C9D">
      <w:pPr>
        <w:numPr>
          <w:ilvl w:val="0"/>
          <w:numId w:val="1"/>
        </w:numPr>
        <w:suppressAutoHyphens/>
        <w:autoSpaceDE w:val="0"/>
        <w:autoSpaceDN w:val="0"/>
        <w:adjustRightInd w:val="0"/>
        <w:spacing w:line="360" w:lineRule="auto"/>
        <w:ind w:left="0" w:firstLine="709"/>
        <w:jc w:val="both"/>
        <w:rPr>
          <w:sz w:val="28"/>
          <w:szCs w:val="28"/>
        </w:rPr>
      </w:pPr>
      <w:r w:rsidRPr="00951C9D">
        <w:rPr>
          <w:sz w:val="28"/>
          <w:szCs w:val="28"/>
        </w:rPr>
        <w:t>изготовление новых товаров, в том числе монтаж, сборку, разборку и подгонку, при котором товары для переработки сохраняют свои индивидуальные характеристики (отличительные признаки);</w:t>
      </w:r>
    </w:p>
    <w:p w:rsidR="00BA7210" w:rsidRPr="00951C9D" w:rsidRDefault="00BA7210" w:rsidP="00951C9D">
      <w:pPr>
        <w:numPr>
          <w:ilvl w:val="0"/>
          <w:numId w:val="1"/>
        </w:numPr>
        <w:suppressAutoHyphens/>
        <w:autoSpaceDE w:val="0"/>
        <w:autoSpaceDN w:val="0"/>
        <w:adjustRightInd w:val="0"/>
        <w:spacing w:line="360" w:lineRule="auto"/>
        <w:ind w:left="0" w:firstLine="709"/>
        <w:jc w:val="both"/>
        <w:rPr>
          <w:sz w:val="28"/>
          <w:szCs w:val="28"/>
        </w:rPr>
      </w:pPr>
      <w:r w:rsidRPr="00951C9D">
        <w:rPr>
          <w:sz w:val="28"/>
          <w:szCs w:val="28"/>
        </w:rPr>
        <w:t>ремонт либо техническое обслуживание товаров, в том числе их восстановление, замену составных частей, восстановление их потребительских свойств;</w:t>
      </w:r>
    </w:p>
    <w:p w:rsidR="00BA7210" w:rsidRPr="00951C9D" w:rsidRDefault="00BA7210" w:rsidP="00951C9D">
      <w:pPr>
        <w:numPr>
          <w:ilvl w:val="0"/>
          <w:numId w:val="1"/>
        </w:numPr>
        <w:suppressAutoHyphens/>
        <w:autoSpaceDE w:val="0"/>
        <w:autoSpaceDN w:val="0"/>
        <w:adjustRightInd w:val="0"/>
        <w:spacing w:line="360" w:lineRule="auto"/>
        <w:ind w:left="0" w:firstLine="709"/>
        <w:jc w:val="both"/>
        <w:rPr>
          <w:sz w:val="28"/>
          <w:szCs w:val="28"/>
        </w:rPr>
      </w:pPr>
      <w:r w:rsidRPr="00951C9D">
        <w:rPr>
          <w:sz w:val="28"/>
          <w:szCs w:val="28"/>
        </w:rPr>
        <w:t>использование товаров, которые содействуют производству продуктов переработки или облегчают его, даже если эти товары полностью или частично потребляются в процессе переработки, за исключением средств производства (оборудование, станки, приспособления и др.). Данная операция должна быть выполнена одновременно с одной из вышеуказанных операций.</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Как и в таможенном режиме свободного обращения (см. п. I и II), при помещении товаров под таможенный режим переработки на таможенной территории:</w:t>
      </w:r>
    </w:p>
    <w:p w:rsidR="00BA7210" w:rsidRPr="00951C9D" w:rsidRDefault="00BA7210" w:rsidP="00951C9D">
      <w:pPr>
        <w:numPr>
          <w:ilvl w:val="0"/>
          <w:numId w:val="1"/>
        </w:numPr>
        <w:suppressAutoHyphens/>
        <w:autoSpaceDE w:val="0"/>
        <w:autoSpaceDN w:val="0"/>
        <w:adjustRightInd w:val="0"/>
        <w:spacing w:line="360" w:lineRule="auto"/>
        <w:ind w:left="0" w:firstLine="709"/>
        <w:jc w:val="both"/>
        <w:rPr>
          <w:sz w:val="28"/>
          <w:szCs w:val="28"/>
        </w:rPr>
      </w:pPr>
      <w:r w:rsidRPr="00951C9D">
        <w:rPr>
          <w:sz w:val="28"/>
          <w:szCs w:val="28"/>
        </w:rPr>
        <w:t>заявление товаров в таком таможенном режиме производится с применением таможенной декларации, форма и порядок заполнения которой определены Приказом № 246-ОД;</w:t>
      </w:r>
    </w:p>
    <w:p w:rsidR="00BA7210" w:rsidRPr="00951C9D" w:rsidRDefault="00BA7210" w:rsidP="00951C9D">
      <w:pPr>
        <w:numPr>
          <w:ilvl w:val="0"/>
          <w:numId w:val="1"/>
        </w:numPr>
        <w:suppressAutoHyphens/>
        <w:autoSpaceDE w:val="0"/>
        <w:autoSpaceDN w:val="0"/>
        <w:adjustRightInd w:val="0"/>
        <w:spacing w:line="360" w:lineRule="auto"/>
        <w:ind w:left="0" w:firstLine="709"/>
        <w:jc w:val="both"/>
        <w:rPr>
          <w:sz w:val="28"/>
          <w:szCs w:val="28"/>
        </w:rPr>
      </w:pPr>
      <w:r w:rsidRPr="00951C9D">
        <w:rPr>
          <w:sz w:val="28"/>
          <w:szCs w:val="28"/>
        </w:rPr>
        <w:t>товары, ограниченные к перемещению через таможенную границу при ввозе по основаниям неэкономического характера, помещаются под такой таможенный режим при представлении таможенному органу соответствующих разрешений и (или) лицензий уполномоченных государственных органов на ввоз этих товаров (ст. 165 ТК).</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Однако ограничения, устанавливаемые по основаниям экономического характера, в отношении таких товаров не применяются.</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Наряду с вышеизложенным, в отличие от таможенного режима свободного обращения в отношении товаров, заявляемых в таможенном режиме переработки на таможенной территории, необходимо предварительно согласовать в таможенном органе условия использования товаров в данном таможенном режиме (ст. 165 ТК). При этом исходя из п. 6 ст. 167 ТК до такого согласования заинтересованное лицо должно получить заключение уполномоченного органа об условиях переработки товаров на таможенной территории. Выполнение данных требований законодательства предусматривает совершение заинтересованным лицом до представления товаров к таможенному оформлению товаров следующих действий.</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В первую очередь, в порядке, установленном ст. 168 ТК и постановлением Совета Министров Республики Беларусь от 21.08.2007 № 1065 «О некоторых вопросах выдачи заключения об условиях переработки товаров на таможенной территории и заключения об условиях переработки товаров вне таможенной территории» (далее - Постановление № 1065), заинтересованное лицо представляет в соответствующий уполномоченный орган заявление о выдаче заключения об условиях переработки товаров на таможенной территории.</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Форма и порядок заполнения такого заявления установлены постановлением Государственного таможенного комитета Республики Беларусь от 26.02.2008 № 27 «О формах документов, используемых при выдаче заключения об условиях переработки товаров на таможенной территории и заключения об условиях переработки товаров вне таможенной территории, и о порядке их заполнения» (далее - Постановление № 27).</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При этом такими уполномоченными органами (в зависимости от подчиненности заинтересованного лица, управления акциями (долей в уставном фонде) такого лица, а также вида его экономической деятельности) являются:</w:t>
      </w:r>
    </w:p>
    <w:p w:rsidR="00BA7210" w:rsidRPr="00951C9D" w:rsidRDefault="00BA7210" w:rsidP="00951C9D">
      <w:pPr>
        <w:numPr>
          <w:ilvl w:val="0"/>
          <w:numId w:val="1"/>
        </w:numPr>
        <w:suppressAutoHyphens/>
        <w:autoSpaceDE w:val="0"/>
        <w:autoSpaceDN w:val="0"/>
        <w:adjustRightInd w:val="0"/>
        <w:spacing w:line="360" w:lineRule="auto"/>
        <w:ind w:left="0" w:firstLine="709"/>
        <w:jc w:val="both"/>
        <w:rPr>
          <w:sz w:val="28"/>
          <w:szCs w:val="28"/>
        </w:rPr>
      </w:pPr>
      <w:r w:rsidRPr="00951C9D">
        <w:rPr>
          <w:sz w:val="28"/>
          <w:szCs w:val="28"/>
        </w:rPr>
        <w:t>отдельные республиканские органы государственного управления и государственные организации, подчиненные Правительству Республики Беларусь (Министерство архитектуры и строительства, Министерство здравоохранения, Министерство информации, Министерство промышленности, Министерство связи и информатизации, Министерство сельского хозяйства и продовольствия, Министерство транспорта и коммуникаций, Министерство финансов, Министерство энергетики, Национальная академия наук, Управление делами Президента Республики Беларусь, концерны «Белгоспищепром», «Белнефтехим», «Беллегпром», «Белбиофарм», «Беллесбумпром»);</w:t>
      </w:r>
    </w:p>
    <w:p w:rsidR="00BA7210" w:rsidRPr="00951C9D" w:rsidRDefault="00BA7210" w:rsidP="00951C9D">
      <w:pPr>
        <w:numPr>
          <w:ilvl w:val="0"/>
          <w:numId w:val="1"/>
        </w:numPr>
        <w:suppressAutoHyphens/>
        <w:autoSpaceDE w:val="0"/>
        <w:autoSpaceDN w:val="0"/>
        <w:adjustRightInd w:val="0"/>
        <w:spacing w:line="360" w:lineRule="auto"/>
        <w:ind w:left="0" w:firstLine="709"/>
        <w:jc w:val="both"/>
        <w:rPr>
          <w:sz w:val="28"/>
          <w:szCs w:val="28"/>
        </w:rPr>
      </w:pPr>
      <w:r w:rsidRPr="00951C9D">
        <w:rPr>
          <w:sz w:val="28"/>
          <w:szCs w:val="28"/>
        </w:rPr>
        <w:t>областные и Минский городской исполнительные комитеты;</w:t>
      </w:r>
    </w:p>
    <w:p w:rsidR="00BA7210" w:rsidRPr="00951C9D" w:rsidRDefault="00BA7210" w:rsidP="00951C9D">
      <w:pPr>
        <w:numPr>
          <w:ilvl w:val="0"/>
          <w:numId w:val="1"/>
        </w:numPr>
        <w:suppressAutoHyphens/>
        <w:autoSpaceDE w:val="0"/>
        <w:autoSpaceDN w:val="0"/>
        <w:adjustRightInd w:val="0"/>
        <w:spacing w:line="360" w:lineRule="auto"/>
        <w:ind w:left="0" w:firstLine="709"/>
        <w:jc w:val="both"/>
        <w:rPr>
          <w:sz w:val="28"/>
          <w:szCs w:val="28"/>
        </w:rPr>
      </w:pPr>
      <w:r w:rsidRPr="00951C9D">
        <w:rPr>
          <w:sz w:val="28"/>
          <w:szCs w:val="28"/>
        </w:rPr>
        <w:t>государственное производственно-торговое объединение «Белхудожпромыслы» Управления делами Президента Республики Беларусь.</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После получения вышеуказанного заключения, на выдачу которого законодательством предусмотрен срок в 10 рабочих дней, заинтересованное лицо в порядке, установленном ст. 167 ТК, представляет в таможенные органы заявление о согласовании условий использования товаров в таможенном режиме переработки на таможенной территории.</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Форма вышеуказанного заявления и порядок подтверждения содержащихся в нем сведений определены постановлением Государственного таможенного комитета Республики Беларусь от 15.01.2009 № 3 «О формах документов, необходимых для согласования таможенными органами условий использования товаров в таможенном режиме переработки на таможенной территории и в таможенном режиме переработки вне таможенной территории, и порядке их заполнения» (далее - Постановление № 3).</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Представленное заявление рассматривается таможенными органами в течение 7 рабочих дней, в результате чего принимается решение о согласовании заявленных срока переработки товаров и способа, позволяющего определить товары для переработки в продуктах переработки, либо о несогласии с таким сроком и способами.</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Помещение товаров под таможенный режим переработки на таможенной территории согласно ст. 165 ТК производится без уплаты ввозных таможенных пошлин, налогов. При этом уплачиваются только таможенные сборы за таможенное оформление.</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Однако обязанность уплатить такие пошлины и налоги возникает при помещении продуктов переработки под таможенный режим свободного обращения. Причем согласно ст. 177 ТК суммы ввозных таможенных пошлин, налогов уплачиваются в отношении товаров для переработки, вошедших в состав продуктов переработки. Кроме того, с сумм таких пошлин, налогов дополнительно уплачиваются проценты, как если бы в отношении этих сумм была предоставлена отсрочка их уплаты со дня выдачи таможенным органом свидетельства о помещении товаров под таможенный режим переработки на таможенной территории.</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Необходимо отметить, что результатом совершения операций переработки с товарами, помещенными под таможенный режим переработки на таможенной территории, являются не только продукты переработки, но и товары, неизбежно образующиеся при получении продуктов переработки. В отношении таких товаров декларантом в целях прекращения действия рассматриваемого таможенного режима должны быть совершены действия, которые установлены ст. 174, 175 ТК.</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Для целей совершения таких действий ст. 173 ТК предусмотрено, что товары, неизбежно образующиеся при получении продуктов переработки, в том числе отходы, в дальнейшем для целей таможенного оформления и уплаты ввозных таможенных пошлин, налогов рассматриваются, как если бы указанные товары были ввезены на таможенную территорию в этом состоянии.</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При этом Указом Президента Республики Беларусь от 04.09.2007 № 399 «Об определении таможенной стоимости товаров, неизбежно образующихся при получении продуктов переработки» (далее - Указ № 399) установлены особенности определения таможенной стоимости товаров, неизбежно образующихся при получении продуктов переработки.</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В соответствии со ст. 174 ТК такие товары должны быть помещены под таможенные режимы свободного обращения, реэкспорта, переработки на таможенной территории, уничтожения или отказа в пользу государства или сняты с таможенного контроля в установленном законодательством порядке.</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При этом основания для снятия таких товаров с таможенного контроля определены ст. 278 ТК. Кроме того, согласно Указу № 399 такие товары снимаются с таможенного контроля также при наличии в заключении уполномоченного органа об условиях переработки товаров на таможенной территории сведений о невозможности их дальнейшего коммерческого использования.</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Порядок снятия вышеуказанных товаров с таможенного контроля определен постановлением Государственного таможенного комитета Республики Беларусь от 14.11.2007 № 106 «О порядке снятия с таможенного контроля товаров, помещенных под таможенную процедуру временного хранения товаров или под таможенные режимы», согласно которому снятие вышеуказанных товаров с таможенного контроля производится путем внесения должностным лицом таможни в графе Д «Таможенный контроль» и (или) на оборотной стороне имеющихся экземпляров свидетельства о помещении товаров под заявленный таможенный режим записи «Снято с таможенного контроля» с указанием:</w:t>
      </w:r>
    </w:p>
    <w:p w:rsidR="00BA7210" w:rsidRPr="00951C9D" w:rsidRDefault="00BA7210" w:rsidP="00951C9D">
      <w:pPr>
        <w:numPr>
          <w:ilvl w:val="0"/>
          <w:numId w:val="1"/>
        </w:numPr>
        <w:suppressAutoHyphens/>
        <w:autoSpaceDE w:val="0"/>
        <w:autoSpaceDN w:val="0"/>
        <w:adjustRightInd w:val="0"/>
        <w:spacing w:line="360" w:lineRule="auto"/>
        <w:ind w:left="0" w:firstLine="709"/>
        <w:jc w:val="both"/>
        <w:rPr>
          <w:sz w:val="28"/>
          <w:szCs w:val="28"/>
        </w:rPr>
      </w:pPr>
      <w:r w:rsidRPr="00951C9D">
        <w:rPr>
          <w:sz w:val="28"/>
          <w:szCs w:val="28"/>
        </w:rPr>
        <w:t>количества снимаемого с таможенного контроля товара;</w:t>
      </w:r>
    </w:p>
    <w:p w:rsidR="00BA7210" w:rsidRPr="00951C9D" w:rsidRDefault="00BA7210" w:rsidP="00951C9D">
      <w:pPr>
        <w:numPr>
          <w:ilvl w:val="0"/>
          <w:numId w:val="1"/>
        </w:numPr>
        <w:suppressAutoHyphens/>
        <w:autoSpaceDE w:val="0"/>
        <w:autoSpaceDN w:val="0"/>
        <w:adjustRightInd w:val="0"/>
        <w:spacing w:line="360" w:lineRule="auto"/>
        <w:ind w:left="0" w:firstLine="709"/>
        <w:jc w:val="both"/>
        <w:rPr>
          <w:sz w:val="28"/>
          <w:szCs w:val="28"/>
        </w:rPr>
      </w:pPr>
      <w:r w:rsidRPr="00951C9D">
        <w:rPr>
          <w:sz w:val="28"/>
          <w:szCs w:val="28"/>
        </w:rPr>
        <w:t>реквизитов документов, подтверждающих наступление обстоятельств, допускающих снятие товаров с таможенного контроля;</w:t>
      </w:r>
    </w:p>
    <w:p w:rsidR="00BA7210" w:rsidRPr="00951C9D" w:rsidRDefault="00BA7210" w:rsidP="00951C9D">
      <w:pPr>
        <w:numPr>
          <w:ilvl w:val="0"/>
          <w:numId w:val="1"/>
        </w:numPr>
        <w:suppressAutoHyphens/>
        <w:autoSpaceDE w:val="0"/>
        <w:autoSpaceDN w:val="0"/>
        <w:adjustRightInd w:val="0"/>
        <w:spacing w:line="360" w:lineRule="auto"/>
        <w:ind w:left="0" w:firstLine="709"/>
        <w:jc w:val="both"/>
        <w:rPr>
          <w:sz w:val="28"/>
          <w:szCs w:val="28"/>
        </w:rPr>
      </w:pPr>
      <w:r w:rsidRPr="00951C9D">
        <w:rPr>
          <w:sz w:val="28"/>
          <w:szCs w:val="28"/>
        </w:rPr>
        <w:t>реквизитов таможенных и (или) иных документов, подтверждающих прекращение налогового обязательства по уплате таможенных пошлин, налогов, если срок исполнения такого налогового обязательства наступил;</w:t>
      </w:r>
    </w:p>
    <w:p w:rsidR="00BA7210" w:rsidRPr="00951C9D" w:rsidRDefault="00BA7210" w:rsidP="00951C9D">
      <w:pPr>
        <w:numPr>
          <w:ilvl w:val="0"/>
          <w:numId w:val="1"/>
        </w:numPr>
        <w:suppressAutoHyphens/>
        <w:autoSpaceDE w:val="0"/>
        <w:autoSpaceDN w:val="0"/>
        <w:adjustRightInd w:val="0"/>
        <w:spacing w:line="360" w:lineRule="auto"/>
        <w:ind w:left="0" w:firstLine="709"/>
        <w:jc w:val="both"/>
        <w:rPr>
          <w:sz w:val="28"/>
          <w:szCs w:val="28"/>
        </w:rPr>
      </w:pPr>
      <w:r w:rsidRPr="00951C9D">
        <w:rPr>
          <w:sz w:val="28"/>
          <w:szCs w:val="28"/>
        </w:rPr>
        <w:t>даты внесения этой записи.</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Внесенная запись заверяется оттиском личной номерной печати и подписью должностного лица таможни, принявшего решение о снятии товаров с таможенного контроля.</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Согласно ст. 175 ТК при помещении продуктов переработки под таможенный режим свободного обращения, а также помещения под соответствующий таможенный режим товаров, неизбежно образовавшихся при получении продуктов переработки, действие таможенного режима переработки на таможенной территории прекращается.</w:t>
      </w:r>
    </w:p>
    <w:p w:rsidR="00951C9D" w:rsidRPr="00000E51" w:rsidRDefault="00951C9D" w:rsidP="00951C9D">
      <w:pPr>
        <w:suppressAutoHyphens/>
        <w:autoSpaceDE w:val="0"/>
        <w:autoSpaceDN w:val="0"/>
        <w:adjustRightInd w:val="0"/>
        <w:spacing w:line="360" w:lineRule="auto"/>
        <w:ind w:firstLine="709"/>
        <w:jc w:val="both"/>
        <w:rPr>
          <w:b/>
          <w:bCs/>
          <w:i/>
          <w:iCs/>
          <w:sz w:val="28"/>
          <w:szCs w:val="28"/>
        </w:rPr>
      </w:pPr>
    </w:p>
    <w:p w:rsidR="00BA7210" w:rsidRPr="00951C9D" w:rsidRDefault="00BA7210" w:rsidP="00951C9D">
      <w:pPr>
        <w:suppressAutoHyphens/>
        <w:autoSpaceDE w:val="0"/>
        <w:autoSpaceDN w:val="0"/>
        <w:adjustRightInd w:val="0"/>
        <w:spacing w:line="360" w:lineRule="auto"/>
        <w:ind w:firstLine="709"/>
        <w:jc w:val="both"/>
        <w:rPr>
          <w:b/>
          <w:bCs/>
          <w:i/>
          <w:iCs/>
          <w:sz w:val="28"/>
          <w:szCs w:val="28"/>
        </w:rPr>
      </w:pPr>
      <w:r w:rsidRPr="00951C9D">
        <w:rPr>
          <w:b/>
          <w:bCs/>
          <w:i/>
          <w:iCs/>
          <w:sz w:val="28"/>
          <w:szCs w:val="28"/>
        </w:rPr>
        <w:t>IV. Товары для переработки ввозятся в Республику Беларусь в рамках таможенного режима переработки на таможенной территории. Готовая продукция вывозится за пределы таможенной территории Респуб</w:t>
      </w:r>
      <w:r w:rsidR="00000E51">
        <w:rPr>
          <w:b/>
          <w:bCs/>
          <w:i/>
          <w:iCs/>
          <w:sz w:val="28"/>
          <w:szCs w:val="28"/>
        </w:rPr>
        <w:t>лики Беларусь</w:t>
      </w:r>
    </w:p>
    <w:p w:rsidR="00951C9D" w:rsidRPr="00000E51" w:rsidRDefault="00951C9D" w:rsidP="00951C9D">
      <w:pPr>
        <w:suppressAutoHyphens/>
        <w:autoSpaceDE w:val="0"/>
        <w:autoSpaceDN w:val="0"/>
        <w:adjustRightInd w:val="0"/>
        <w:spacing w:line="360" w:lineRule="auto"/>
        <w:ind w:firstLine="709"/>
        <w:jc w:val="both"/>
        <w:rPr>
          <w:sz w:val="28"/>
          <w:szCs w:val="28"/>
        </w:rPr>
      </w:pP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Основные правила помещения товаров под таможенный режим переработки на таможенной территории были рассмотрены выше (см. п. III). Напомним, что до представления товаров к таможенному оформлению с целью помещения под такой таможенный режим заинтересованное лицо должно получить заключение уполномоченного органа об условиях переработки товаров на таможенной территории и согласовать в таможенном органе условия использования товаров в данном таможенном режиме, а затем представить товары к таможенному оформлению. При этом уплаты ввозных таможенных пошлин, налогов не требуется.</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В свою очередь, в рассматриваемой ситуации вывоз продуктов переработки за пределы таможенной территории Республики Беларусь осуществляется в соответствии с таможенным режимом реэкспорта. Причем согласно ст. 174 ТК декларант обязан представить такие товары к таможенному оформлению с целью помещения под данный таможенный режим до истечения срока действия таможенного режима переработки на таможенной территории.</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В соответствии со ст. 212 ТК таможенный режим реэкспорта допускает вывоз и постоянное размещение товаров за пределами таможенной территории без возникновения налогового обязательства по уплате вывозных таможенных пошлин, т.е. без уплаты вывозных таможенных пошлин. При этом уплачиваются только таможенные сборы за таможенное оформление.</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Необходимо отметить, что товары, ограниченные к перемещению через таможенную границу при ввозе и (или) вывозе по основаниям неэкономического характера, помещаются под таможенный режим реэкспорта при представлении таможенному органу соответствующих разрешений и (или) лицензий уполномоченных государственных органов на ввоз и (или) вывоз этих товаров. Перечни таких товаров определены Постановлением № 1397.</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Заявление товаров в таможенном режиме реэкспорта производится с применением таможенной декларации, форма и порядок заполнения которой определены Приказом № 246-ОД.</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Необходимо отметить, что результатом совершения операций переработки с товарами, помещенными под таможенный режим переработки на таможенной территории, являются не только продукты переработки, но и товары, неизбежно образующиеся при получении продуктов переработки. В отношении таких товаров декларантом в целях прекращения действия рассматриваемого таможенного режима должны быть совершены действия, которые установлены ст. 174, 175 ТК (выполнение данного требования рассмотрено в п. III).</w:t>
      </w:r>
    </w:p>
    <w:p w:rsidR="00BA7210" w:rsidRPr="00951C9D" w:rsidRDefault="00BA7210" w:rsidP="00951C9D">
      <w:pPr>
        <w:suppressAutoHyphens/>
        <w:autoSpaceDE w:val="0"/>
        <w:autoSpaceDN w:val="0"/>
        <w:adjustRightInd w:val="0"/>
        <w:spacing w:line="360" w:lineRule="auto"/>
        <w:ind w:firstLine="709"/>
        <w:jc w:val="both"/>
        <w:rPr>
          <w:sz w:val="28"/>
          <w:szCs w:val="28"/>
        </w:rPr>
      </w:pPr>
      <w:r w:rsidRPr="00951C9D">
        <w:rPr>
          <w:sz w:val="28"/>
          <w:szCs w:val="28"/>
        </w:rPr>
        <w:t>Согласно ст. 175 ТК при помещении продуктов переработки под таможенный режим реэкспорта, а также помещения под соответствующий таможенный режим товаров, неизбежно образовавшихся при получении продуктов переработки, действие таможенного режима переработки на таможенной территории прекращается. При этом законодательством не предусмотрено возмещение сумм ввозных таможенных пошлин, налогов, от уплаты которых было предоставлено освобождение при помещении товаров для переработки под таможенный режим переработки на таможенной территории.</w:t>
      </w:r>
    </w:p>
    <w:p w:rsidR="00BA7210" w:rsidRPr="00951C9D" w:rsidRDefault="00BA7210" w:rsidP="00000E51">
      <w:pPr>
        <w:suppressAutoHyphens/>
        <w:autoSpaceDE w:val="0"/>
        <w:autoSpaceDN w:val="0"/>
        <w:adjustRightInd w:val="0"/>
        <w:spacing w:line="360" w:lineRule="auto"/>
        <w:ind w:left="708" w:firstLine="1"/>
        <w:rPr>
          <w:b/>
          <w:kern w:val="28"/>
          <w:sz w:val="28"/>
          <w:szCs w:val="28"/>
        </w:rPr>
      </w:pPr>
      <w:r w:rsidRPr="00951C9D">
        <w:rPr>
          <w:sz w:val="28"/>
          <w:szCs w:val="28"/>
        </w:rPr>
        <w:br w:type="page"/>
      </w:r>
      <w:r w:rsidRPr="00951C9D">
        <w:rPr>
          <w:b/>
          <w:kern w:val="28"/>
          <w:sz w:val="28"/>
          <w:szCs w:val="28"/>
        </w:rPr>
        <w:t>СПИСОК ИСПОЛЬЗОВАННЫХ ИСТОЧНИКОВ</w:t>
      </w:r>
    </w:p>
    <w:p w:rsidR="00BA7210" w:rsidRPr="00951C9D" w:rsidRDefault="00BA7210" w:rsidP="00951C9D">
      <w:pPr>
        <w:suppressAutoHyphens/>
        <w:autoSpaceDE w:val="0"/>
        <w:autoSpaceDN w:val="0"/>
        <w:adjustRightInd w:val="0"/>
        <w:spacing w:line="360" w:lineRule="auto"/>
        <w:rPr>
          <w:kern w:val="28"/>
          <w:sz w:val="28"/>
          <w:szCs w:val="28"/>
        </w:rPr>
      </w:pPr>
    </w:p>
    <w:p w:rsidR="00BA7210" w:rsidRPr="00951C9D" w:rsidRDefault="00BA7210" w:rsidP="00951C9D">
      <w:pPr>
        <w:pStyle w:val="HTML"/>
        <w:numPr>
          <w:ilvl w:val="0"/>
          <w:numId w:val="2"/>
        </w:numPr>
        <w:suppressAutoHyphens/>
        <w:spacing w:line="360" w:lineRule="auto"/>
        <w:ind w:left="0" w:firstLine="0"/>
        <w:rPr>
          <w:rFonts w:ascii="Times New Roman" w:hAnsi="Times New Roman" w:cs="Times New Roman"/>
          <w:bCs/>
          <w:caps/>
          <w:kern w:val="28"/>
          <w:sz w:val="28"/>
          <w:szCs w:val="28"/>
        </w:rPr>
      </w:pPr>
      <w:r w:rsidRPr="00951C9D">
        <w:rPr>
          <w:rFonts w:ascii="Times New Roman" w:hAnsi="Times New Roman" w:cs="Times New Roman"/>
          <w:kern w:val="28"/>
          <w:sz w:val="28"/>
          <w:szCs w:val="28"/>
        </w:rPr>
        <w:t>Конституция Республики Беларусь 1994 года. Принята на республиканском референдуме 24 ноября 1996 года (с изменениями и дополнениями, принятыми на республиканских референдумах 24 ноября 1996г. и 17 октября 2004г.) Минск «Беларусь» 2004г.</w:t>
      </w:r>
    </w:p>
    <w:p w:rsidR="00BA7210" w:rsidRPr="00951C9D" w:rsidRDefault="00BA7210" w:rsidP="00951C9D">
      <w:pPr>
        <w:pStyle w:val="HTML"/>
        <w:numPr>
          <w:ilvl w:val="0"/>
          <w:numId w:val="2"/>
        </w:numPr>
        <w:suppressAutoHyphens/>
        <w:spacing w:line="360" w:lineRule="auto"/>
        <w:ind w:left="0" w:firstLine="0"/>
        <w:rPr>
          <w:rFonts w:ascii="Times New Roman" w:hAnsi="Times New Roman" w:cs="Times New Roman"/>
          <w:kern w:val="28"/>
          <w:sz w:val="28"/>
          <w:szCs w:val="28"/>
        </w:rPr>
      </w:pPr>
      <w:r w:rsidRPr="00951C9D">
        <w:rPr>
          <w:rFonts w:ascii="Times New Roman" w:hAnsi="Times New Roman" w:cs="Times New Roman"/>
          <w:kern w:val="28"/>
          <w:sz w:val="28"/>
          <w:szCs w:val="28"/>
        </w:rPr>
        <w:t>Таможенный кодекс Республики Беларусь от 4 января 2007г. № 204-З. Принят Палатой представителей 7 декабря 2006 года. Одобрен Советом Республики 20 декабря 2006 года. (Национальный реестр правовых актов Республики Беларусь, 24.01.2007, № 17, рег. № 2/1301 от 11.01.2007). Юридическая база «ЮСИАС» 2008г.</w:t>
      </w:r>
    </w:p>
    <w:p w:rsidR="00BA7210" w:rsidRPr="00951C9D" w:rsidRDefault="00BA7210" w:rsidP="00951C9D">
      <w:pPr>
        <w:pStyle w:val="HTML"/>
        <w:numPr>
          <w:ilvl w:val="0"/>
          <w:numId w:val="2"/>
        </w:numPr>
        <w:suppressAutoHyphens/>
        <w:spacing w:line="360" w:lineRule="auto"/>
        <w:ind w:left="0" w:firstLine="0"/>
        <w:rPr>
          <w:rFonts w:ascii="Times New Roman" w:hAnsi="Times New Roman" w:cs="Times New Roman"/>
          <w:kern w:val="28"/>
          <w:sz w:val="28"/>
          <w:szCs w:val="28"/>
        </w:rPr>
      </w:pPr>
      <w:r w:rsidRPr="00951C9D">
        <w:rPr>
          <w:rFonts w:ascii="Times New Roman" w:hAnsi="Times New Roman" w:cs="Times New Roman"/>
          <w:kern w:val="28"/>
          <w:sz w:val="28"/>
          <w:szCs w:val="28"/>
        </w:rPr>
        <w:t>Козырин А.Н. Таможенное право России: Учеб. Пособие. М.: СПАРК, 2004г.</w:t>
      </w:r>
    </w:p>
    <w:p w:rsidR="00BA7210" w:rsidRPr="00951C9D" w:rsidRDefault="00BA7210" w:rsidP="00951C9D">
      <w:pPr>
        <w:pStyle w:val="HTML"/>
        <w:numPr>
          <w:ilvl w:val="0"/>
          <w:numId w:val="2"/>
        </w:numPr>
        <w:suppressAutoHyphens/>
        <w:spacing w:line="360" w:lineRule="auto"/>
        <w:ind w:left="0" w:firstLine="0"/>
        <w:rPr>
          <w:rFonts w:ascii="Times New Roman" w:hAnsi="Times New Roman" w:cs="Times New Roman"/>
          <w:kern w:val="28"/>
          <w:sz w:val="28"/>
          <w:szCs w:val="28"/>
        </w:rPr>
      </w:pPr>
      <w:r w:rsidRPr="00951C9D">
        <w:rPr>
          <w:rFonts w:ascii="Times New Roman" w:hAnsi="Times New Roman" w:cs="Times New Roman"/>
          <w:kern w:val="28"/>
          <w:sz w:val="28"/>
          <w:szCs w:val="28"/>
        </w:rPr>
        <w:t>Основы таможенного дела: Учеб. Пособие в 7 вып. Вып. 1: Развитие таможенного дела в России / Науч. Ред. П.В. Дзюбенко. М., РИО РТА, 2001.</w:t>
      </w:r>
    </w:p>
    <w:p w:rsidR="00BA7210" w:rsidRPr="00951C9D" w:rsidRDefault="00BA7210" w:rsidP="00951C9D">
      <w:pPr>
        <w:pStyle w:val="HTML"/>
        <w:numPr>
          <w:ilvl w:val="0"/>
          <w:numId w:val="2"/>
        </w:numPr>
        <w:suppressAutoHyphens/>
        <w:spacing w:line="360" w:lineRule="auto"/>
        <w:ind w:left="0" w:firstLine="0"/>
        <w:rPr>
          <w:rFonts w:ascii="Times New Roman" w:hAnsi="Times New Roman" w:cs="Times New Roman"/>
          <w:kern w:val="28"/>
          <w:sz w:val="28"/>
          <w:szCs w:val="28"/>
        </w:rPr>
      </w:pPr>
      <w:r w:rsidRPr="00951C9D">
        <w:rPr>
          <w:rFonts w:ascii="Times New Roman" w:hAnsi="Times New Roman" w:cs="Times New Roman"/>
          <w:kern w:val="28"/>
          <w:sz w:val="28"/>
          <w:szCs w:val="28"/>
        </w:rPr>
        <w:t xml:space="preserve"> Основы таможенного дела: Учеб. Пособие в 7 вып. Вып 4: Правовое регулирование таможенного дела / Ю.В. Воробьев, Под общ. ред. В.А. Максимцева. М., РИО РТА, 2002.</w:t>
      </w:r>
    </w:p>
    <w:p w:rsidR="00BA7210" w:rsidRPr="00951C9D" w:rsidRDefault="00BA7210" w:rsidP="00951C9D">
      <w:pPr>
        <w:pStyle w:val="HTML"/>
        <w:numPr>
          <w:ilvl w:val="0"/>
          <w:numId w:val="2"/>
        </w:numPr>
        <w:suppressAutoHyphens/>
        <w:spacing w:line="360" w:lineRule="auto"/>
        <w:ind w:left="0" w:firstLine="0"/>
        <w:rPr>
          <w:rFonts w:ascii="Times New Roman" w:hAnsi="Times New Roman" w:cs="Times New Roman"/>
          <w:kern w:val="28"/>
          <w:sz w:val="28"/>
          <w:szCs w:val="28"/>
        </w:rPr>
      </w:pPr>
      <w:r w:rsidRPr="00951C9D">
        <w:rPr>
          <w:rFonts w:ascii="Times New Roman" w:hAnsi="Times New Roman" w:cs="Times New Roman"/>
          <w:kern w:val="28"/>
          <w:sz w:val="28"/>
          <w:szCs w:val="28"/>
        </w:rPr>
        <w:t>Таможенное право Республики Беларусь. Черевченко Н.В.; 2007г., 300с.</w:t>
      </w:r>
      <w:bookmarkStart w:id="2" w:name="_GoBack"/>
      <w:bookmarkEnd w:id="2"/>
    </w:p>
    <w:sectPr w:rsidR="00BA7210" w:rsidRPr="00951C9D" w:rsidSect="00951C9D">
      <w:headerReference w:type="even" r:id="rId7"/>
      <w:head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59E" w:rsidRDefault="000B459E">
      <w:r>
        <w:separator/>
      </w:r>
    </w:p>
  </w:endnote>
  <w:endnote w:type="continuationSeparator" w:id="0">
    <w:p w:rsidR="000B459E" w:rsidRDefault="000B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59E" w:rsidRDefault="000B459E">
      <w:r>
        <w:separator/>
      </w:r>
    </w:p>
  </w:footnote>
  <w:footnote w:type="continuationSeparator" w:id="0">
    <w:p w:rsidR="000B459E" w:rsidRDefault="000B45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89" w:rsidRDefault="00C63D89" w:rsidP="00ED25D5">
    <w:pPr>
      <w:pStyle w:val="a4"/>
      <w:framePr w:wrap="around" w:vAnchor="text" w:hAnchor="margin" w:xAlign="right" w:y="1"/>
      <w:rPr>
        <w:rStyle w:val="a6"/>
      </w:rPr>
    </w:pPr>
  </w:p>
  <w:p w:rsidR="00C63D89" w:rsidRDefault="00C63D89" w:rsidP="00C63D89">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D89" w:rsidRDefault="00C9379D" w:rsidP="00ED25D5">
    <w:pPr>
      <w:pStyle w:val="a4"/>
      <w:framePr w:wrap="around" w:vAnchor="text" w:hAnchor="margin" w:xAlign="right" w:y="1"/>
      <w:rPr>
        <w:rStyle w:val="a6"/>
      </w:rPr>
    </w:pPr>
    <w:r>
      <w:rPr>
        <w:rStyle w:val="a6"/>
        <w:noProof/>
      </w:rPr>
      <w:t>1</w:t>
    </w:r>
  </w:p>
  <w:p w:rsidR="00C63D89" w:rsidRDefault="00C63D89" w:rsidP="00C63D89">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13EF7"/>
    <w:multiLevelType w:val="singleLevel"/>
    <w:tmpl w:val="D47E8FA8"/>
    <w:lvl w:ilvl="0">
      <w:start w:val="1"/>
      <w:numFmt w:val="decimal"/>
      <w:lvlText w:val="%1."/>
      <w:legacy w:legacy="1" w:legacySpace="0" w:legacyIndent="283"/>
      <w:lvlJc w:val="left"/>
      <w:pPr>
        <w:ind w:left="283" w:hanging="283"/>
      </w:pPr>
      <w:rPr>
        <w:rFonts w:ascii="Times New Roman" w:eastAsia="Times New Roman" w:hAnsi="Times New Roman" w:cs="Times New Roman"/>
        <w:b w:val="0"/>
        <w:i w:val="0"/>
        <w:sz w:val="28"/>
      </w:rPr>
    </w:lvl>
  </w:abstractNum>
  <w:abstractNum w:abstractNumId="1">
    <w:nsid w:val="40549CEF"/>
    <w:multiLevelType w:val="multilevel"/>
    <w:tmpl w:val="7C2757C8"/>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3D89"/>
    <w:rsid w:val="00000E51"/>
    <w:rsid w:val="000B459E"/>
    <w:rsid w:val="00277D47"/>
    <w:rsid w:val="00951C9D"/>
    <w:rsid w:val="00AD3425"/>
    <w:rsid w:val="00B23542"/>
    <w:rsid w:val="00B83257"/>
    <w:rsid w:val="00BA7210"/>
    <w:rsid w:val="00C63D89"/>
    <w:rsid w:val="00C9379D"/>
    <w:rsid w:val="00ED2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7BC7C8F-0B62-47AF-8388-A2EEAD075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21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rsid w:val="00AD3425"/>
    <w:pPr>
      <w:ind w:left="708"/>
      <w:jc w:val="center"/>
    </w:pPr>
    <w:rPr>
      <w:b/>
      <w:sz w:val="28"/>
      <w:szCs w:val="28"/>
    </w:rPr>
  </w:style>
  <w:style w:type="paragraph" w:styleId="a4">
    <w:name w:val="header"/>
    <w:basedOn w:val="a"/>
    <w:link w:val="a5"/>
    <w:uiPriority w:val="99"/>
    <w:rsid w:val="00C63D89"/>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character" w:styleId="a6">
    <w:name w:val="page number"/>
    <w:uiPriority w:val="99"/>
    <w:rsid w:val="00C63D89"/>
    <w:rPr>
      <w:rFonts w:cs="Times New Roman"/>
    </w:rPr>
  </w:style>
  <w:style w:type="paragraph" w:styleId="HTML">
    <w:name w:val="HTML Preformatted"/>
    <w:basedOn w:val="a"/>
    <w:link w:val="HTML0"/>
    <w:uiPriority w:val="99"/>
    <w:rsid w:val="00BA7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3365</Words>
  <Characters>19186</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О НЕКОТОРЫХ ВОПРОСАХ ВВОЗА В РЕСПУБЛИКУ БЕЛАРУСЬ ТОВАРОВ ДЛЯ ПЕРЕРАБОТКИ</vt:lpstr>
    </vt:vector>
  </TitlesOfParts>
  <Company>Microsoft</Company>
  <LinksUpToDate>false</LinksUpToDate>
  <CharactersWithSpaces>22506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НЕКОТОРЫХ ВОПРОСАХ ВВОЗА В РЕСПУБЛИКУ БЕЛАРУСЬ ТОВАРОВ ДЛЯ ПЕРЕРАБОТКИ</dc:title>
  <dc:subject/>
  <dc:creator>Admin</dc:creator>
  <cp:keywords/>
  <dc:description/>
  <cp:lastModifiedBy>admin</cp:lastModifiedBy>
  <cp:revision>2</cp:revision>
  <dcterms:created xsi:type="dcterms:W3CDTF">2014-02-20T20:49:00Z</dcterms:created>
  <dcterms:modified xsi:type="dcterms:W3CDTF">2014-02-20T20:49:00Z</dcterms:modified>
</cp:coreProperties>
</file>