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0D0" w:rsidRDefault="000970D0">
      <w:pPr>
        <w:jc w:val="center"/>
        <w:rPr>
          <w:sz w:val="12"/>
          <w:lang w:val="ru-RU"/>
        </w:rPr>
      </w:pPr>
      <w:r>
        <w:rPr>
          <w:sz w:val="12"/>
          <w:lang w:val="ru-RU"/>
        </w:rPr>
        <w:t>Герундий после глаголов с предлогами.                                                                                                            Герундий после существительных с предлогом.</w:t>
      </w:r>
    </w:p>
    <w:tbl>
      <w:tblPr>
        <w:tblW w:w="1026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620"/>
        <w:gridCol w:w="1260"/>
        <w:gridCol w:w="1080"/>
        <w:gridCol w:w="1080"/>
        <w:gridCol w:w="1080"/>
        <w:gridCol w:w="1260"/>
        <w:gridCol w:w="1440"/>
      </w:tblGrid>
      <w:tr w:rsidR="000970D0">
        <w:trPr>
          <w:cantSplit/>
          <w:trHeight w:val="2702"/>
        </w:trPr>
        <w:tc>
          <w:tcPr>
            <w:tcW w:w="1440" w:type="dxa"/>
            <w:vMerge w:val="restart"/>
          </w:tcPr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To be afraid of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To be capable (in*) of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To be disappointed at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 xml:space="preserve">To be engaged in 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To be fond of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To be interested in</w:t>
            </w:r>
          </w:p>
          <w:p w:rsidR="000970D0" w:rsidRDefault="000970D0">
            <w:pPr>
              <w:jc w:val="both"/>
              <w:rPr>
                <w:sz w:val="12"/>
              </w:rPr>
            </w:pPr>
            <w:bookmarkStart w:id="0" w:name="OLE_LINK1"/>
            <w:r>
              <w:rPr>
                <w:sz w:val="12"/>
              </w:rPr>
              <w:t>To</w:t>
            </w:r>
            <w:bookmarkEnd w:id="0"/>
            <w:r>
              <w:rPr>
                <w:sz w:val="12"/>
              </w:rPr>
              <w:t xml:space="preserve"> be proud of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To be responsible for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To be surprised at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To accuse of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To apologize for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To approve (dis*) of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To consist in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To count on (upon)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To congratulate on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To get used to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To hear of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To forgive for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</w:rPr>
              <w:t>To insist on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To inform of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To object to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To prevent from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To persist in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To result in</w:t>
            </w:r>
          </w:p>
          <w:p w:rsidR="000970D0" w:rsidRDefault="000970D0">
            <w:pPr>
              <w:jc w:val="both"/>
              <w:rPr>
                <w:sz w:val="12"/>
              </w:rPr>
            </w:pP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To spend in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To succeed in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To suspect of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To Thank of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To think of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</w:p>
        </w:tc>
        <w:tc>
          <w:tcPr>
            <w:tcW w:w="1620" w:type="dxa"/>
            <w:vMerge w:val="restart"/>
          </w:tcPr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Бояться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Быть способным (не*)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Быть разочарованным в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 xml:space="preserve">Заниматься чем-либо 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Любить что-л.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Интересоваться чем-л.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Гордиться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Быть ответственным за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Удивляться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  <w:lang w:val="ru-RU"/>
              </w:rPr>
              <w:t>Обвинять в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  <w:szCs w:val="28"/>
                <w:lang w:val="ru-RU"/>
              </w:rPr>
              <w:t>Приносить извинения за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Одобрять (</w:t>
            </w:r>
            <w:r>
              <w:rPr>
                <w:rFonts w:ascii="Arial" w:hAnsi="Arial" w:cs="Arial"/>
                <w:sz w:val="12"/>
                <w:lang w:val="ru-RU"/>
              </w:rPr>
              <w:t>не</w:t>
            </w:r>
            <w:r>
              <w:rPr>
                <w:sz w:val="12"/>
                <w:lang w:val="ru-RU"/>
              </w:rPr>
              <w:t xml:space="preserve"> *)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Заключаться в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  <w:lang w:val="ru-RU"/>
              </w:rPr>
              <w:t xml:space="preserve">Рассчитывать на </w:t>
            </w:r>
          </w:p>
          <w:p w:rsidR="000970D0" w:rsidRDefault="000970D0">
            <w:pPr>
              <w:jc w:val="both"/>
              <w:rPr>
                <w:sz w:val="12"/>
                <w:szCs w:val="28"/>
                <w:lang w:val="ru-RU"/>
              </w:rPr>
            </w:pPr>
            <w:r>
              <w:rPr>
                <w:sz w:val="12"/>
                <w:szCs w:val="28"/>
                <w:lang w:val="ru-RU"/>
              </w:rPr>
              <w:t xml:space="preserve">Поздравлять 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Привыкать к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  <w:lang w:val="ru-RU"/>
              </w:rPr>
              <w:t>Слышать о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  <w:szCs w:val="28"/>
                <w:lang w:val="ru-RU"/>
              </w:rPr>
              <w:t>Прощать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  <w:lang w:val="ru-RU"/>
              </w:rPr>
              <w:t>Настаивать на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Иформировать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Возражать против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Препятствовать, мешать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Упорно продолжать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Иметь результатом, приводить к чему-л.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Тратить на что-л.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Удаваться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  <w:lang w:val="ru-RU"/>
              </w:rPr>
              <w:t>Подозревать в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благодарить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Думать о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</w:p>
        </w:tc>
        <w:tc>
          <w:tcPr>
            <w:tcW w:w="1260" w:type="dxa"/>
          </w:tcPr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(at*) Astonishment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Disappointment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Surprise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(for*) Apology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Plan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Preparation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Reason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(in*) Experience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Interest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Skill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(of*) art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Chance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Fear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</w:rPr>
              <w:t>Habit</w:t>
            </w:r>
          </w:p>
        </w:tc>
        <w:tc>
          <w:tcPr>
            <w:tcW w:w="1080" w:type="dxa"/>
          </w:tcPr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Удивление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Разочарование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 xml:space="preserve">Удивление 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Извинение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План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Подготовка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Причина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Опыт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Интерес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Мастерство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искусство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Шанс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Страх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Привычка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</w:p>
        </w:tc>
        <w:tc>
          <w:tcPr>
            <w:tcW w:w="1080" w:type="dxa"/>
          </w:tcPr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</w:rPr>
              <w:t>Hope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 xml:space="preserve"> Idea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Importance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Intention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Means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Method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Necessity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Pleasure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Possibility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Problem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Process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Right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Way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</w:rPr>
              <w:t>(to*) Objection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</w:p>
        </w:tc>
        <w:tc>
          <w:tcPr>
            <w:tcW w:w="1080" w:type="dxa"/>
          </w:tcPr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Надежда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Идея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Важность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Намерение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Средства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Метод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Необходимость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Удовольствие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Возможность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Проблема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Процесс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Право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Способ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Возражен ие</w:t>
            </w:r>
          </w:p>
        </w:tc>
        <w:tc>
          <w:tcPr>
            <w:tcW w:w="1260" w:type="dxa"/>
          </w:tcPr>
          <w:p w:rsidR="000970D0" w:rsidRDefault="000970D0">
            <w:pPr>
              <w:jc w:val="both"/>
              <w:rPr>
                <w:b/>
                <w:bCs/>
                <w:sz w:val="12"/>
              </w:rPr>
            </w:pPr>
            <w:r>
              <w:rPr>
                <w:b/>
                <w:bCs/>
                <w:sz w:val="12"/>
                <w:lang w:val="ru-RU"/>
              </w:rPr>
              <w:t>Время</w:t>
            </w:r>
            <w:r>
              <w:rPr>
                <w:b/>
                <w:bCs/>
                <w:sz w:val="12"/>
              </w:rPr>
              <w:t>: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On (upon)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After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Before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In</w:t>
            </w:r>
          </w:p>
          <w:p w:rsidR="000970D0" w:rsidRDefault="000970D0">
            <w:pPr>
              <w:jc w:val="both"/>
              <w:rPr>
                <w:b/>
                <w:bCs/>
                <w:sz w:val="12"/>
                <w:lang w:val="ru-RU"/>
              </w:rPr>
            </w:pPr>
            <w:r>
              <w:rPr>
                <w:b/>
                <w:bCs/>
                <w:sz w:val="12"/>
                <w:lang w:val="ru-RU"/>
              </w:rPr>
              <w:t>Причина: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For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Through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Owing to</w:t>
            </w:r>
          </w:p>
          <w:p w:rsidR="000970D0" w:rsidRDefault="000970D0">
            <w:pPr>
              <w:jc w:val="both"/>
              <w:rPr>
                <w:b/>
                <w:bCs/>
                <w:sz w:val="12"/>
                <w:lang w:val="ru-RU"/>
              </w:rPr>
            </w:pPr>
            <w:r>
              <w:rPr>
                <w:b/>
                <w:bCs/>
                <w:sz w:val="12"/>
                <w:lang w:val="ru-RU"/>
              </w:rPr>
              <w:t>Образ действия: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</w:rPr>
              <w:t>By</w:t>
            </w:r>
          </w:p>
          <w:p w:rsidR="000970D0" w:rsidRDefault="000970D0">
            <w:pPr>
              <w:jc w:val="both"/>
              <w:rPr>
                <w:b/>
                <w:bCs/>
                <w:sz w:val="12"/>
                <w:lang w:val="ru-RU"/>
              </w:rPr>
            </w:pPr>
            <w:r>
              <w:rPr>
                <w:b/>
                <w:bCs/>
                <w:sz w:val="12"/>
                <w:lang w:val="ru-RU"/>
              </w:rPr>
              <w:t>Сопутствующее об-во: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Besides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Instead of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Without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Apart from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</w:p>
        </w:tc>
        <w:tc>
          <w:tcPr>
            <w:tcW w:w="1440" w:type="dxa"/>
          </w:tcPr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rFonts w:ascii="Arial" w:hAnsi="Arial" w:cs="Arial"/>
                <w:b/>
                <w:bCs/>
                <w:sz w:val="12"/>
                <w:szCs w:val="28"/>
                <w:lang w:val="ru-RU"/>
              </w:rPr>
              <w:t>Время:</w:t>
            </w:r>
          </w:p>
          <w:p w:rsidR="000970D0" w:rsidRDefault="000970D0">
            <w:pPr>
              <w:jc w:val="both"/>
              <w:rPr>
                <w:rFonts w:ascii="Arial" w:hAnsi="Arial" w:cs="Arial"/>
                <w:b/>
                <w:bCs/>
                <w:sz w:val="12"/>
                <w:szCs w:val="28"/>
                <w:lang w:val="ru-RU"/>
              </w:rPr>
            </w:pPr>
            <w:r>
              <w:rPr>
                <w:sz w:val="12"/>
                <w:lang w:val="ru-RU"/>
              </w:rPr>
              <w:t>после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После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Перед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В то время как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rFonts w:ascii="Arial" w:hAnsi="Arial" w:cs="Arial"/>
                <w:b/>
                <w:bCs/>
                <w:sz w:val="12"/>
                <w:szCs w:val="28"/>
                <w:lang w:val="ru-RU"/>
              </w:rPr>
              <w:t>Причина:</w:t>
            </w:r>
          </w:p>
          <w:p w:rsidR="000970D0" w:rsidRDefault="000970D0">
            <w:pPr>
              <w:jc w:val="both"/>
              <w:rPr>
                <w:rFonts w:ascii="Arial" w:hAnsi="Arial" w:cs="Arial"/>
                <w:b/>
                <w:bCs/>
                <w:sz w:val="12"/>
                <w:szCs w:val="28"/>
                <w:lang w:val="ru-RU"/>
              </w:rPr>
            </w:pPr>
            <w:r>
              <w:rPr>
                <w:sz w:val="12"/>
                <w:lang w:val="ru-RU"/>
              </w:rPr>
              <w:t>за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из-за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Благодаря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rFonts w:ascii="Arial" w:hAnsi="Arial" w:cs="Arial"/>
                <w:b/>
                <w:bCs/>
                <w:sz w:val="12"/>
                <w:szCs w:val="28"/>
                <w:lang w:val="ru-RU"/>
              </w:rPr>
              <w:t>Образ действия: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Путем, при помощи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rFonts w:ascii="Arial" w:hAnsi="Arial" w:cs="Arial"/>
                <w:b/>
                <w:bCs/>
                <w:sz w:val="12"/>
                <w:szCs w:val="28"/>
                <w:lang w:val="ru-RU"/>
              </w:rPr>
              <w:t>Сопутствующее об-во:</w:t>
            </w:r>
          </w:p>
          <w:p w:rsidR="000970D0" w:rsidRDefault="000970D0">
            <w:pPr>
              <w:jc w:val="both"/>
              <w:rPr>
                <w:rFonts w:ascii="Arial" w:hAnsi="Arial" w:cs="Arial"/>
                <w:b/>
                <w:bCs/>
                <w:sz w:val="12"/>
                <w:szCs w:val="28"/>
                <w:lang w:val="ru-RU"/>
              </w:rPr>
            </w:pPr>
            <w:r>
              <w:rPr>
                <w:sz w:val="12"/>
                <w:lang w:val="ru-RU"/>
              </w:rPr>
              <w:t>кроме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Вместо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Без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Помимо</w:t>
            </w:r>
          </w:p>
        </w:tc>
      </w:tr>
      <w:tr w:rsidR="000970D0">
        <w:trPr>
          <w:cantSplit/>
          <w:trHeight w:val="2701"/>
        </w:trPr>
        <w:tc>
          <w:tcPr>
            <w:tcW w:w="1440" w:type="dxa"/>
            <w:vMerge/>
          </w:tcPr>
          <w:p w:rsidR="000970D0" w:rsidRDefault="000970D0">
            <w:pPr>
              <w:jc w:val="both"/>
              <w:rPr>
                <w:sz w:val="12"/>
              </w:rPr>
            </w:pPr>
          </w:p>
        </w:tc>
        <w:tc>
          <w:tcPr>
            <w:tcW w:w="1620" w:type="dxa"/>
            <w:vMerge/>
          </w:tcPr>
          <w:p w:rsidR="000970D0" w:rsidRDefault="000970D0">
            <w:pPr>
              <w:jc w:val="both"/>
              <w:rPr>
                <w:sz w:val="12"/>
                <w:lang w:val="ru-RU"/>
              </w:rPr>
            </w:pPr>
          </w:p>
        </w:tc>
        <w:tc>
          <w:tcPr>
            <w:tcW w:w="1260" w:type="dxa"/>
          </w:tcPr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 xml:space="preserve">Герундий с 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</w:rPr>
              <w:t>Enjoy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Finish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Dislike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Go on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Give up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</w:rPr>
              <w:t>Can’t stand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</w:rPr>
              <w:t>Don</w:t>
            </w:r>
            <w:r>
              <w:rPr>
                <w:sz w:val="12"/>
                <w:lang w:val="ru-RU"/>
              </w:rPr>
              <w:t>’</w:t>
            </w:r>
            <w:r>
              <w:rPr>
                <w:sz w:val="12"/>
              </w:rPr>
              <w:t>t</w:t>
            </w:r>
            <w:r>
              <w:rPr>
                <w:sz w:val="12"/>
                <w:lang w:val="ru-RU"/>
              </w:rPr>
              <w:t xml:space="preserve"> </w:t>
            </w:r>
            <w:r>
              <w:rPr>
                <w:sz w:val="12"/>
              </w:rPr>
              <w:t>mind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</w:rPr>
              <w:t>Be</w:t>
            </w:r>
            <w:r>
              <w:rPr>
                <w:sz w:val="12"/>
                <w:lang w:val="ru-RU"/>
              </w:rPr>
              <w:t xml:space="preserve"> </w:t>
            </w:r>
            <w:r>
              <w:rPr>
                <w:sz w:val="12"/>
              </w:rPr>
              <w:t>worth</w:t>
            </w:r>
          </w:p>
        </w:tc>
        <w:tc>
          <w:tcPr>
            <w:tcW w:w="1080" w:type="dxa"/>
          </w:tcPr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глаголами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</w:p>
          <w:p w:rsidR="000970D0" w:rsidRDefault="000970D0">
            <w:pPr>
              <w:jc w:val="both"/>
              <w:rPr>
                <w:rFonts w:ascii="Arial" w:hAnsi="Arial" w:cs="Arial"/>
                <w:sz w:val="12"/>
                <w:lang w:val="ru-RU"/>
              </w:rPr>
            </w:pPr>
            <w:r>
              <w:rPr>
                <w:sz w:val="12"/>
                <w:lang w:val="ru-RU"/>
              </w:rPr>
              <w:t>Получать удовольствие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Оканчивать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Не нравиться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Продолжать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Отказаться от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Не могу выносить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Не возражать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Стоить</w:t>
            </w:r>
          </w:p>
        </w:tc>
        <w:tc>
          <w:tcPr>
            <w:tcW w:w="1080" w:type="dxa"/>
          </w:tcPr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Герундий</w:t>
            </w:r>
            <w:r>
              <w:rPr>
                <w:sz w:val="12"/>
              </w:rPr>
              <w:t xml:space="preserve">          </w:t>
            </w:r>
            <w:r>
              <w:rPr>
                <w:sz w:val="12"/>
                <w:lang w:val="ru-RU"/>
              </w:rPr>
              <w:t>и</w:t>
            </w:r>
            <w:r>
              <w:rPr>
                <w:sz w:val="12"/>
              </w:rPr>
              <w:t xml:space="preserve"> 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Begin (start)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Like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Hate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Prefer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Love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</w:rPr>
              <w:t>Stop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</w:rPr>
              <w:t>continue</w:t>
            </w:r>
            <w:r>
              <w:rPr>
                <w:sz w:val="12"/>
                <w:lang w:val="ru-RU"/>
              </w:rPr>
              <w:t xml:space="preserve"> </w:t>
            </w:r>
          </w:p>
        </w:tc>
        <w:tc>
          <w:tcPr>
            <w:tcW w:w="1080" w:type="dxa"/>
          </w:tcPr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Инфинитив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 xml:space="preserve"> Начинать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Нравиться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Ненависть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Предпочитать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Любить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Прекратить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Продолжать</w:t>
            </w:r>
          </w:p>
        </w:tc>
        <w:tc>
          <w:tcPr>
            <w:tcW w:w="1260" w:type="dxa"/>
          </w:tcPr>
          <w:p w:rsidR="000970D0" w:rsidRDefault="000970D0">
            <w:pPr>
              <w:jc w:val="both"/>
              <w:rPr>
                <w:b/>
                <w:bCs/>
                <w:sz w:val="12"/>
              </w:rPr>
            </w:pPr>
            <w:r>
              <w:rPr>
                <w:b/>
                <w:bCs/>
                <w:sz w:val="12"/>
                <w:lang w:val="ru-RU"/>
              </w:rPr>
              <w:t>Цель</w:t>
            </w:r>
            <w:r>
              <w:rPr>
                <w:b/>
                <w:bCs/>
                <w:sz w:val="12"/>
              </w:rPr>
              <w:t>: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For the purpose of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With the object of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With a view to</w:t>
            </w:r>
          </w:p>
          <w:p w:rsidR="000970D0" w:rsidRDefault="000970D0">
            <w:pPr>
              <w:jc w:val="both"/>
              <w:rPr>
                <w:b/>
                <w:bCs/>
                <w:sz w:val="12"/>
                <w:lang w:val="ru-RU"/>
              </w:rPr>
            </w:pPr>
            <w:r>
              <w:rPr>
                <w:b/>
                <w:bCs/>
                <w:sz w:val="12"/>
                <w:lang w:val="ru-RU"/>
              </w:rPr>
              <w:t>Условие: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Without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In case of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In the event of</w:t>
            </w:r>
          </w:p>
          <w:p w:rsidR="000970D0" w:rsidRDefault="000970D0">
            <w:pPr>
              <w:jc w:val="both"/>
              <w:rPr>
                <w:sz w:val="12"/>
              </w:rPr>
            </w:pPr>
            <w:r>
              <w:rPr>
                <w:sz w:val="12"/>
              </w:rPr>
              <w:t>Subject to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</w:p>
        </w:tc>
        <w:tc>
          <w:tcPr>
            <w:tcW w:w="1440" w:type="dxa"/>
          </w:tcPr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rFonts w:ascii="Arial" w:hAnsi="Arial" w:cs="Arial"/>
                <w:b/>
                <w:bCs/>
                <w:sz w:val="12"/>
                <w:szCs w:val="28"/>
                <w:lang w:val="ru-RU"/>
              </w:rPr>
              <w:t>Цель</w:t>
            </w:r>
            <w:r>
              <w:rPr>
                <w:b/>
                <w:bCs/>
                <w:sz w:val="12"/>
                <w:szCs w:val="28"/>
                <w:lang w:val="ru-RU"/>
              </w:rPr>
              <w:t>:</w:t>
            </w:r>
          </w:p>
          <w:p w:rsidR="000970D0" w:rsidRDefault="000970D0">
            <w:pPr>
              <w:jc w:val="both"/>
              <w:rPr>
                <w:b/>
                <w:bCs/>
                <w:sz w:val="12"/>
                <w:szCs w:val="28"/>
                <w:lang w:val="ru-RU"/>
              </w:rPr>
            </w:pPr>
            <w:r>
              <w:rPr>
                <w:sz w:val="12"/>
                <w:lang w:val="ru-RU"/>
              </w:rPr>
              <w:t>С целью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С целью     Для того чтобы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С целью к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rFonts w:ascii="Arial" w:hAnsi="Arial" w:cs="Arial"/>
                <w:b/>
                <w:bCs/>
                <w:sz w:val="12"/>
                <w:szCs w:val="28"/>
                <w:lang w:val="ru-RU"/>
              </w:rPr>
              <w:t>Условие:</w:t>
            </w:r>
          </w:p>
          <w:p w:rsidR="000970D0" w:rsidRDefault="000970D0">
            <w:pPr>
              <w:jc w:val="both"/>
              <w:rPr>
                <w:b/>
                <w:bCs/>
                <w:sz w:val="12"/>
                <w:szCs w:val="28"/>
                <w:lang w:val="ru-RU"/>
              </w:rPr>
            </w:pPr>
            <w:r>
              <w:rPr>
                <w:sz w:val="12"/>
                <w:lang w:val="ru-RU"/>
              </w:rPr>
              <w:t>Без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В случае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В случае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При условии</w:t>
            </w:r>
          </w:p>
          <w:p w:rsidR="000970D0" w:rsidRDefault="000970D0">
            <w:pPr>
              <w:jc w:val="both"/>
              <w:rPr>
                <w:sz w:val="12"/>
                <w:lang w:val="ru-RU"/>
              </w:rPr>
            </w:pPr>
          </w:p>
        </w:tc>
      </w:tr>
    </w:tbl>
    <w:p w:rsidR="000970D0" w:rsidRDefault="000970D0">
      <w:pPr>
        <w:jc w:val="center"/>
        <w:rPr>
          <w:sz w:val="12"/>
          <w:lang w:val="ru-RU"/>
        </w:rPr>
      </w:pPr>
    </w:p>
    <w:p w:rsidR="000970D0" w:rsidRDefault="000970D0">
      <w:pPr>
        <w:jc w:val="both"/>
        <w:rPr>
          <w:sz w:val="12"/>
          <w:lang w:val="ru-RU"/>
        </w:rPr>
      </w:pPr>
    </w:p>
    <w:p w:rsidR="000970D0" w:rsidRDefault="000970D0">
      <w:pPr>
        <w:jc w:val="center"/>
        <w:rPr>
          <w:sz w:val="12"/>
          <w:lang w:val="ru-RU"/>
        </w:rPr>
      </w:pPr>
    </w:p>
    <w:p w:rsidR="000970D0" w:rsidRDefault="000970D0">
      <w:pPr>
        <w:jc w:val="both"/>
        <w:rPr>
          <w:sz w:val="12"/>
          <w:lang w:val="ru-RU"/>
        </w:rPr>
      </w:pPr>
      <w:bookmarkStart w:id="1" w:name="_GoBack"/>
      <w:bookmarkEnd w:id="1"/>
    </w:p>
    <w:sectPr w:rsidR="000970D0">
      <w:pgSz w:w="16838" w:h="11906" w:orient="landscape" w:code="9"/>
      <w:pgMar w:top="340" w:right="1134" w:bottom="35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5D57"/>
    <w:rsid w:val="000970D0"/>
    <w:rsid w:val="00175D57"/>
    <w:rsid w:val="001C38F9"/>
    <w:rsid w:val="00B7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A8A7F-0837-402E-B197-0C42E645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Герундий после глаголов с предлогами</vt:lpstr>
    </vt:vector>
  </TitlesOfParts>
  <Company>APMIAS</Company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Герундий после глаголов с предлогами</dc:title>
  <dc:subject/>
  <dc:creator>Vit</dc:creator>
  <cp:keywords/>
  <dc:description/>
  <cp:lastModifiedBy>Irina</cp:lastModifiedBy>
  <cp:revision>2</cp:revision>
  <cp:lastPrinted>2000-02-13T15:15:00Z</cp:lastPrinted>
  <dcterms:created xsi:type="dcterms:W3CDTF">2014-08-04T16:05:00Z</dcterms:created>
  <dcterms:modified xsi:type="dcterms:W3CDTF">2014-08-04T16:05:00Z</dcterms:modified>
</cp:coreProperties>
</file>