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02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ЗМІСТ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284"/>
          <w:tab w:val="left" w:pos="49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ВСТУП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СУТНІСТЬ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Поняття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Способи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розрахунках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АСПЕКТИ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Ціноутворення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Валютно-фінансові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</w:t>
      </w:r>
    </w:p>
    <w:p w:rsidR="00C52602" w:rsidRPr="00A7395F" w:rsidRDefault="00C52602" w:rsidP="00A7395F">
      <w:pPr>
        <w:pStyle w:val="a3"/>
        <w:widowControl w:val="0"/>
        <w:tabs>
          <w:tab w:val="left" w:pos="284"/>
          <w:tab w:val="left" w:pos="490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2.3</w:t>
      </w:r>
      <w:r w:rsid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зобов’язань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закордонними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Практична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частина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Горизонтальний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вертикальний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балансу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звіту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результати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Факторний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Фінансово-коефіцієнтний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типу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стійкості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циклу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C52602" w:rsidRPr="00A7395F" w:rsidRDefault="00C52602" w:rsidP="00A7395F">
      <w:pPr>
        <w:pStyle w:val="a3"/>
        <w:widowControl w:val="0"/>
        <w:numPr>
          <w:ilvl w:val="1"/>
          <w:numId w:val="11"/>
        </w:numPr>
        <w:tabs>
          <w:tab w:val="left" w:pos="284"/>
          <w:tab w:val="left" w:pos="490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Оцінка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ймовірності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банкрутства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C52602" w:rsidRPr="00A7395F" w:rsidRDefault="00C52602" w:rsidP="00A7395F">
      <w:pPr>
        <w:widowControl w:val="0"/>
        <w:tabs>
          <w:tab w:val="left" w:pos="284"/>
          <w:tab w:val="left" w:pos="49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ВИСНОВКИ</w:t>
      </w:r>
    </w:p>
    <w:p w:rsidR="00C52602" w:rsidRPr="00A7395F" w:rsidRDefault="00C52602" w:rsidP="00A7395F">
      <w:pPr>
        <w:widowControl w:val="0"/>
        <w:tabs>
          <w:tab w:val="left" w:pos="284"/>
          <w:tab w:val="left" w:pos="49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СПИСОК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ВИКОРИСТАНОЇ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ЛІТЕРАТУРИ</w:t>
      </w:r>
    </w:p>
    <w:p w:rsidR="00A561B7" w:rsidRPr="00A7395F" w:rsidRDefault="00A561B7" w:rsidP="00A561B7">
      <w:pPr>
        <w:widowControl w:val="0"/>
        <w:tabs>
          <w:tab w:val="left" w:pos="284"/>
          <w:tab w:val="left" w:pos="49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</w:p>
    <w:p w:rsidR="00A561B7" w:rsidRPr="00A7395F" w:rsidRDefault="00A561B7" w:rsidP="00A561B7">
      <w:pPr>
        <w:widowControl w:val="0"/>
        <w:tabs>
          <w:tab w:val="left" w:pos="284"/>
          <w:tab w:val="left" w:pos="49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395F" w:rsidRPr="00A7395F" w:rsidRDefault="00A7395F" w:rsidP="00A7395F">
      <w:pPr>
        <w:tabs>
          <w:tab w:val="left" w:pos="993"/>
        </w:tabs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ВСТУП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Актуальність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теми.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проведення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оскільки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насамперед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виявляється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відокремлена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вартостей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розбіжності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виробництва,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завдяки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територіальній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розрізненості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збуту.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Метою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написання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моєї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роботи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дослідження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розгляд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ціноутворення,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способів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зобов’язань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охоплюють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некомерційні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відносини,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пов’язані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будівництвом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об’єктів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кордоном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допомоги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країнам.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Предмет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дослідження: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Міжнародна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торговельна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розпочинається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Процес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являє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обмін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еквівалент.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юридичного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погляду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(товар)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однією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стороною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(продавцем)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другій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(покупцю)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обмін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отриману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Ефективна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організація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сприяє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нормальному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кругообігу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забезпечує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безперебійність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продукції.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Міжнародна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однією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найбільш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динамічних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відносин.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відображають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загальносвітові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тенденції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поглиблення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поділу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праці,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спеціалізації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кооперації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виробництва,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тобто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тенденції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посилення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взаємозалежності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співдружності.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рівень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взаємозалежності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роблять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чинники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територія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рівень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розвитку,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обсяг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внутрішнього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наявність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відсутність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ресурсів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СУТНІСТЬ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</w:p>
    <w:p w:rsidR="00A7395F" w:rsidRPr="00A7395F" w:rsidRDefault="00A7395F" w:rsidP="00A7395F">
      <w:pPr>
        <w:pStyle w:val="a3"/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A7395F" w:rsidP="00A7395F">
      <w:pPr>
        <w:pStyle w:val="a3"/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1.1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Поняття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види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</w:p>
    <w:p w:rsidR="00A7395F" w:rsidRPr="00A7395F" w:rsidRDefault="00A7395F" w:rsidP="00A7395F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Сучасний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етап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розвитку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характеризується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подальшим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поглибленням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зміцненням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взаємозв’язків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національними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економіками,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розрахунків.</w:t>
      </w:r>
      <w:r w:rsidR="00A7395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установами,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окремими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особами,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пов’язані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товарно-матеріальних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цінностей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обороті.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проведення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оскільки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насамперед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виявляється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відокремлена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вартостей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розбіжності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виробництва,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завдяки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територіальній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розрізненості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збуту.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цілий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комплекс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чинників,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належать:</w:t>
      </w:r>
      <w:r w:rsidR="00A7395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політичні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економічні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відносини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країнами</w:t>
      </w:r>
      <w:r w:rsidRPr="00A7395F">
        <w:rPr>
          <w:rFonts w:ascii="Times New Roman" w:hAnsi="Times New Roman"/>
          <w:sz w:val="28"/>
          <w:szCs w:val="28"/>
          <w:lang w:val="uk-UA"/>
        </w:rPr>
        <w:t>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позиція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країни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товарних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грошових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ринках</w:t>
      </w:r>
      <w:r w:rsidRPr="00A7395F">
        <w:rPr>
          <w:rFonts w:ascii="Times New Roman" w:hAnsi="Times New Roman"/>
          <w:sz w:val="28"/>
          <w:szCs w:val="28"/>
          <w:lang w:val="uk-UA"/>
        </w:rPr>
        <w:t>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ступінь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використання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ефективність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державних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заходів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щодо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зовнішньоекономічного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регулювання</w:t>
      </w:r>
      <w:r w:rsidRPr="00A7395F">
        <w:rPr>
          <w:rFonts w:ascii="Times New Roman" w:hAnsi="Times New Roman"/>
          <w:sz w:val="28"/>
          <w:szCs w:val="28"/>
          <w:lang w:val="uk-UA"/>
        </w:rPr>
        <w:t>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валютне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законодавство</w:t>
      </w:r>
      <w:r w:rsidRPr="00A7395F">
        <w:rPr>
          <w:rFonts w:ascii="Times New Roman" w:hAnsi="Times New Roman"/>
          <w:sz w:val="28"/>
          <w:szCs w:val="28"/>
          <w:lang w:val="uk-UA"/>
        </w:rPr>
        <w:t>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торговельні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правила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звичаї</w:t>
      </w:r>
      <w:r w:rsidRPr="00A7395F">
        <w:rPr>
          <w:rFonts w:ascii="Times New Roman" w:hAnsi="Times New Roman"/>
          <w:sz w:val="28"/>
          <w:szCs w:val="28"/>
          <w:lang w:val="uk-UA"/>
        </w:rPr>
        <w:t>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регулювання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міждержавних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товарних</w:t>
      </w:r>
      <w:r w:rsidR="00A739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sz w:val="28"/>
          <w:szCs w:val="28"/>
          <w:lang w:val="uk-UA"/>
        </w:rPr>
        <w:t>потоків</w:t>
      </w:r>
      <w:r w:rsidRPr="00A7395F">
        <w:rPr>
          <w:rFonts w:ascii="Times New Roman" w:hAnsi="Times New Roman"/>
          <w:sz w:val="28"/>
          <w:szCs w:val="28"/>
          <w:lang w:val="uk-UA"/>
        </w:rPr>
        <w:t>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капіталів;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різниця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темпах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інфляції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окремих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країнах;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балансів;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банківська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практика;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зовнішньоторговельних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конвертованість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урахуванням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чинників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необхідно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виділити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самостійну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систему,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нерозривно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пов’язану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товарно-матеріальних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цінностей.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банківськими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установами.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зв’язку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організаційно-технічного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погляду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iCs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Cs/>
          <w:iCs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регулювання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вимогами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зобов’язаннями,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виникають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суб’єктами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Основними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суб’єктами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обслуговують.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Усі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вступають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відносини,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пов’язані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товаророзпорядчих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оформленням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платежів.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провідна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роль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належить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банкам.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Ступінь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масштабів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зв’язків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купівельної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спроможності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національної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спеціалізації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універсалізації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ділової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репутації,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мережі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філій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кореспондентських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рахунків.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розрахунки-це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система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регулювання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платежів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грошовими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вимогами,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які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виникають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державами,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організаціями,фізичними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юридичними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особами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різних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країн.Вони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здійснюються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основному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через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банк[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]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мають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ряд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особливостей,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які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склалися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історично: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розрахунках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імпортери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експортери,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їхні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банки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вступають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певні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відособлені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зовнішньоторговельного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відносини,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пов'язані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оформленням,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пересиланням,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обробкою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товаророзпорядчих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платіжних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документів,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здійсненням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платежів.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цьому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обсяг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зобов'язань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розподіл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відповідальності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залежать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конкретної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розрахунків.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2.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регулюються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національними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нормативами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законодавчими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актами,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також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банківськими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правилами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звичаями.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3.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об'єктом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уніфікації,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що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зумовлено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інтернаціоналізацією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господарських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зв'язків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універсалізацією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банківських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операцій.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ще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1930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1931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роках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конференціях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Женеві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були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укладені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Вексельна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Чекова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конвенції,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які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були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спрямовані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уніфікацію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національних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вексельних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чекових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спрощення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використання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векселів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чеків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розрахунках.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Сьогодні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Комісія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права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міжнародної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торгівлі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ООН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здійснює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подальшу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уніфікацію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вексельного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законодавства.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торгова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палата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розробляє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видає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Уніфіковані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правила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звичаї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документарних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акредитивів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інкасо.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4.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носять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основному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документарний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характер,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тобто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здійснюються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фінансові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комерційні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документи.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фінансових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належать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прості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перевідні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векселі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(тратти),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чеки,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платіжні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розписки.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Комерційні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включають: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рахунки-фактури;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які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підтверджують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відвантаження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відправлення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товарів,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або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прийняття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навантаження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(коносаменти,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залізничні,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автомобільні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авіаційні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накладні,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поштові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квитанції,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комбіновані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транспортні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змішані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перевезення);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страхових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компаній;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інші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сертифікати,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які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засвідчують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походження,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вагу,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якість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або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аналіз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товарів,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також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перетин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кордону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тощо.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розрахунках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банк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перевіряє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зміст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комплектність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цих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документів.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5.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платежі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здійснюються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різних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валютах.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Тому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вони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тісно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пов'язані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валютними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операціями,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купівлею-продажем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валют.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їх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ефективність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впливає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динаміка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валютних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курсів.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[22]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Розрізняють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два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розрахунків: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Безпосередній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(повний)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розрахунок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здійснюється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оплата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товару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моменту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чи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момент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передачі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товару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або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товаророзпорядчих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розпорядження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покупця.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Розрахунок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кредит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(з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розстроченням)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здійснюється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шляхом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надання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експортером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імпортеру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кредиту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комерційній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формі.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Слід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відмітити,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що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повний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розрахунок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більш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вигідним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експортера,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кредит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для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імпортера.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здійснюються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таких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основних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формах: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передоплата;-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акредитивні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розрахунки;-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інкасо;-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відкритому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рахунку;-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банківський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переказ;-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використанням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векселів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чеків.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вибір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впливає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ряд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чинників:1)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вид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товару,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який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об'єктом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зовнішньоторговельної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угоди;2)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наявність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кредитної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угоди;3)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платоспроможність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репутація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контрагентів,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що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визначає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можливість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компромісу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ними;4)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рівень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попиту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пропозиції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даний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товар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світових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ринках.</w:t>
      </w:r>
    </w:p>
    <w:p w:rsidR="00C52602" w:rsidRPr="00A7395F" w:rsidRDefault="00C52602" w:rsidP="00A7395F">
      <w:pPr>
        <w:pStyle w:val="a4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кожному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конкретно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зазначаються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умови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форми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розрахунків.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Причому,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сьогодні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передоплата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дуже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рідко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застосовується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у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нормальних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валютних</w:t>
      </w:r>
      <w:r w:rsid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 w:cs="Times New Roman"/>
          <w:color w:val="auto"/>
          <w:sz w:val="28"/>
          <w:szCs w:val="28"/>
          <w:lang w:val="uk-UA"/>
        </w:rPr>
        <w:t>розрахунках.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Default="00C52602" w:rsidP="00A7395F">
      <w:pPr>
        <w:pStyle w:val="a3"/>
        <w:widowControl w:val="0"/>
        <w:numPr>
          <w:ilvl w:val="1"/>
          <w:numId w:val="12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Способи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розрахунках</w:t>
      </w:r>
    </w:p>
    <w:p w:rsidR="00A7395F" w:rsidRPr="00A7395F" w:rsidRDefault="00A7395F" w:rsidP="00A7395F">
      <w:pPr>
        <w:pStyle w:val="a3"/>
        <w:widowControl w:val="0"/>
        <w:tabs>
          <w:tab w:val="left" w:pos="993"/>
        </w:tabs>
        <w:spacing w:after="0" w:line="360" w:lineRule="auto"/>
        <w:ind w:left="10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практиці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міжнародних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розрахунків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існує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три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способи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платежу: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-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готівкою;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-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авансовий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платіж;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-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Платіж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готівкою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здійснюється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через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банк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під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час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передання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продавцем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товаророзпорядчих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документів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або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самого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покупцю.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Це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означає,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повністю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оплачується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моменту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його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готовності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експорту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моменту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його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переходу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розпорядження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покупця.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Залежно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обраної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сторонами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форми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розрахунків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готівкою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здійснюється,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виконані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такі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умови: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імпортер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одержав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експортера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повідомлення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готовність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відвантаження;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імпортер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отримав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капітана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судна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телеграфне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повідомлення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закінчення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завантаження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борт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судна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порту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відправлення;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імпортер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отримав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комплект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документів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право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відстрочки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кілька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годин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або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днів,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цим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імпортер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банківську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гарантію,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він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заплатить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проти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приймання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порту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призначення.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Сьогодні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готівкові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міжнародних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розрахунках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практично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використовуються,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оскільки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це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дуже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незручний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спосіб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платежу.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Авансові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перерахунки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спосіб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передбачають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виплату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покупцем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погоджених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сум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передання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товаророзпорядчих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документів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самого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розпорядження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покупця.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Здебільшого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такі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перерахунки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здійснюються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під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час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навіть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початку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виконання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замовлення.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Авансовий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відіграє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подвійну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роль.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одного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боку,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авансом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імпортер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кредитує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експортера,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іншого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забезпечує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виконання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зобов’язань,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узятих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імпортером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контрактом.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після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виконання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замовлення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покупець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відмовляється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приймання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цього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експортер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може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використати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для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відшкодування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своїх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збитків.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[7]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Аванс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може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надаватися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грошовій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товарній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формах.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товарній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формі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передбачає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замовником-імпортером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сировини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комплектуючих,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необхідних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для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виконання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замовлення.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грошовій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формі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визначається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відсотках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контрактної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вартості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замовлення.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міжнародній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торгівлі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здебільшого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надаються: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-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великим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фірмам,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себе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добре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зарекомендували;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-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поставках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товарів,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вимагають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тривалого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виробництва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виконуються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індивідуальними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специфікаціями;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-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поставках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дефіцитних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товарів,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коли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заставою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того,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дефіцитний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буде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поставлений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саме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цьому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покупцю.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Спосіб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означає,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покупець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оплачує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суму,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обумовлену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контракті,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через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певний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час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після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поставки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тобто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продавець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комерційний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(товарний)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Оскільки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цей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однією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фірмою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іншій,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такий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називається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ще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фірмовим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товарним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кредитом.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Кредити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можуть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надаватися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короткий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більш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тривалий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період.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Користування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кредитом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передбачає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сплату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відсотків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покупцем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обумовлюються: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вартість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кредиту,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вимірюється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відсотках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річних;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строк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користування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кредиту;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строк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погашення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кредиту;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пільговий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період,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протягом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кредитом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сплачуються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відсотки.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Кредит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тільки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наявності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продавця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достатньої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кількості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резервного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капіталу.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Межа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кредиту,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тобто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максимальний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його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розмір,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може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перевищувати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10%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капіталу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покупця.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всю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суму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контракту,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80—85%,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решту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покупець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сплачує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авансом,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дає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змогу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продавцю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відшкодувати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частину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своїх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витрат,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до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погашення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покупцем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своїх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зобов’язань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контрактом.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При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наданні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комерційного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виникають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питання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гарантії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платежів.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Серед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способів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запобігання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неплатежам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або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затримкам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основними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гарантійні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листи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першокласних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банків,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підтверджені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(резервні)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акредитиви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відомих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банків,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векселі,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банківські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акцепти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аваль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векселів,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чеків.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Досить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поширеною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формою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опціоном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негайного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платежу.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Його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сутність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полягає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такому: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імпортер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скористається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правом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відстрочки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куплений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він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втрачає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знижку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ціни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товару,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надається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разі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негайної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оплати.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Ця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умова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зазвичай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обумовлюється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контракті,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також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акредитиві,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якщо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використовується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акредитивна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форма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розрахунків.</w:t>
      </w:r>
      <w:bookmarkStart w:id="0" w:name="1"/>
      <w:bookmarkEnd w:id="0"/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Платіжні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умови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зовнішньоекономічних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угод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Існує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велике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розмаїття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договорів: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купівлі-продажу,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включають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реекспорту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реімпорту;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зустрічних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поставок,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тобто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компенсаційні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договори;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консигнації;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лізингу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Практика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показує,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сформулювати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достатньо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чітко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іноді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буває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нелегко.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неточності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відсутній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якийсь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пункт,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означає,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застосовують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звичай.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16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]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залежать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швидкість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пов'язаних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здійсненням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міжурядовими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встановлюються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принципи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конкретних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чітко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формулюватися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спосіб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застереження,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спрямовані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зменшення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усунення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ризику.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iCs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країни-експортера,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країни-імпортера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третьої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iCs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(валюта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угоди)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фіксується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країни-експортера,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країни-імпортера,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третьої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(наприклад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СДР).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збігатися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збігатися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останньому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зазначається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переводитись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встановлюють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конкретні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встановлені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угодою,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торговими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звичаями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практики.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Способи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співвідношення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фактичної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поставки.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способами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є: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готівковий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авансом;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опціоном,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тобто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вибору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готівкового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iCs/>
          <w:sz w:val="28"/>
          <w:szCs w:val="28"/>
          <w:lang w:val="uk-UA"/>
        </w:rPr>
        <w:t>Платіж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готівковий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включає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оплачується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повністю: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готовності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переходу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товаророзпорядчих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переходу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зазначених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готівковому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переказ,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акредитив,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інкасо.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iCs/>
          <w:sz w:val="28"/>
          <w:szCs w:val="28"/>
          <w:lang w:val="uk-UA"/>
        </w:rPr>
        <w:t>Авансові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платежі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випереджають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оплачує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авансом,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експортера.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практиці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вживаються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дорогоцінними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металами,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ядерним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пальним,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зброєю.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дорогого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обладнання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суден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літаків,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виготовлених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індивідуальним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замовленням,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правило,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iCs/>
          <w:sz w:val="28"/>
          <w:szCs w:val="28"/>
          <w:lang w:val="uk-UA"/>
        </w:rPr>
        <w:t>Розрахунок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кредит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банківським.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після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переходу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експортером.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вексельного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(виставлення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тратти),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розстрочки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відкритим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рахунком.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iCs/>
          <w:sz w:val="28"/>
          <w:szCs w:val="28"/>
          <w:lang w:val="uk-UA"/>
        </w:rPr>
        <w:t>Кредит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опціоном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(правом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вибору)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готівкового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скористатися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відстрочкою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придбаний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але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позбавленням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знижки,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готівкового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Низка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стандартними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правилами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поставок,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розробленими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ГАТТ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певні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інші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валютно-фінансові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умови).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Наприклад,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долар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США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сирою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нафтою,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газовим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конденсатом,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цукром-сирцем,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кофе,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алюмінієм,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нікелем,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оловом,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цинком,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хутра.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англійських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фунтах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стерлінгів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західноєвропейських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біржах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какао-боби,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картоплю,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ячмінь,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свинець,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мідь,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каучук.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порядку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котирування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біржах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остаточного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чеки,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переказні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векселі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(тратти),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банківські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перекази,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документарне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інкасо,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документарний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акредитив,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система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відкритих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пластикові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картки.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[9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]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страхування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ризиків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використовують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застереження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договірні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включаються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переглянуті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ході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Раніше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застосовувалося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золоте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застереження,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базувалося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фіксації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золотого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вмісту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перерахунку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пропорційно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золотого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вмісту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сучасному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етапі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застосовують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застереження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товарно-цінові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застереження.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iCs/>
          <w:sz w:val="28"/>
          <w:szCs w:val="28"/>
          <w:lang w:val="uk-UA"/>
        </w:rPr>
        <w:t>Валютне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застереження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перегляд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прямо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пропорційно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застереження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(фактично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страхування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кредитора)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ризику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знецінення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ставиться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більш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стійкої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валюти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застереження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(валюти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ціни).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посилення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нестабільності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плаваючих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широко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застосовуються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багатовалютні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(мультивалютні)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застереження</w:t>
      </w:r>
      <w:r w:rsidRPr="00A7395F">
        <w:rPr>
          <w:rFonts w:ascii="Times New Roman" w:hAnsi="Times New Roman"/>
          <w:sz w:val="28"/>
          <w:szCs w:val="28"/>
          <w:lang w:val="uk-UA"/>
        </w:rPr>
        <w:t>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товарно-цінових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застережень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належать: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застереження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(ковзкої)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коли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підвищується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зростання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ціноутворюючих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складових;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індексація,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перегляд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пропорційно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індексу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підписання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комбіновані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валютно-товарні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застереження</w:t>
      </w:r>
      <w:r w:rsidRPr="00A7395F">
        <w:rPr>
          <w:rFonts w:ascii="Times New Roman" w:hAnsi="Times New Roman"/>
          <w:sz w:val="28"/>
          <w:szCs w:val="28"/>
          <w:lang w:val="uk-UA"/>
        </w:rPr>
        <w:t>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регулювання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курсів.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застереження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змінюються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напрямку,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перераховується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найбільший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відсоток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відхилення.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напрямки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динаміки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збігаються,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змінюється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відхиленнями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курсу.</w:t>
      </w:r>
    </w:p>
    <w:p w:rsidR="00C52602" w:rsidRPr="00A7395F" w:rsidRDefault="00C52602" w:rsidP="00A7395F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Default="00C52602" w:rsidP="00A7395F">
      <w:pPr>
        <w:pStyle w:val="a3"/>
        <w:widowControl w:val="0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АСПЕКТИ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РОЗРАХУНКАХ</w:t>
      </w:r>
    </w:p>
    <w:p w:rsidR="00A7395F" w:rsidRPr="00A7395F" w:rsidRDefault="00A7395F" w:rsidP="00A7395F">
      <w:pPr>
        <w:pStyle w:val="a3"/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pStyle w:val="a3"/>
        <w:widowControl w:val="0"/>
        <w:numPr>
          <w:ilvl w:val="1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Ціноутворення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відомо,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вираз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лежать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затрати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виробництво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чистого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доходу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бюджету.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правило,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змінюються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використовуються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виступають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узгоджують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найбільші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центрів,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таких,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наприклад,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Чикагська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біржа,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Лондонська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біржа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металів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тощо.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Процес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ціноутворення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дослідити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Прийнято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розрізняти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початкові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проникнення.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Початкові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встановлюються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першому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входженні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ринок.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високими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надходить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удосконалений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нижчими,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пропонує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першому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початкову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другому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конкуренції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ринку.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проникнення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становлять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низькі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встановлюють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перехоплення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масового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споживача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надії,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знижені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будуть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компенсовані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виручкою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збільшення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обсягу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зниження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маркетингу.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Світові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ділять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групи: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обробної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промисловості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сировину.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обробної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промисловості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виступають,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правило,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фірм,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виробляють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галузі.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базою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служать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внутрішньому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ринку.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сировину,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класифікацією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статистичного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бюро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ООН,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відносяться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енергоресурси,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мінеральна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сировина,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сільськогосподарські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добриво,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кольорові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метали,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залежать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величини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внутрішніх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затрат,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факторів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як:</w:t>
      </w:r>
    </w:p>
    <w:p w:rsidR="00A7395F" w:rsidRPr="00A7395F" w:rsidRDefault="00A7395F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співвідношення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попитом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пропозицією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сировинних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товарів;</w:t>
      </w:r>
    </w:p>
    <w:p w:rsidR="00A7395F" w:rsidRPr="00A7395F" w:rsidRDefault="00A7395F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поєднання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біржових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котирувань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сировинних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товарів;</w:t>
      </w:r>
    </w:p>
    <w:p w:rsidR="00A7395F" w:rsidRPr="00A7395F" w:rsidRDefault="00A7395F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регулювання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окремими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державами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групами,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головними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ОПЕК);</w:t>
      </w:r>
    </w:p>
    <w:p w:rsidR="00A7395F" w:rsidRPr="00A7395F" w:rsidRDefault="00A7395F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панування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монополій,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монопольно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високими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монопольно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низькими;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інфляція,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оскільки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очікування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примушує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закуповувати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сировину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обладнання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майбутньому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треба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буде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більше.</w:t>
      </w:r>
    </w:p>
    <w:p w:rsidR="00A7395F" w:rsidRPr="00A7395F" w:rsidRDefault="00A7395F" w:rsidP="00A7395F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співставлення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розраховується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перетину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кордону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англійської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абревіатури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(FOB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-free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on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board),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означає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"вільно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борту",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СІФ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англійської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абревіатури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CIF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cost,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insurance,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freight),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означає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"вартість,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фрахт".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загальноприйнятими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правилами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тлумачення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включення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доставку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вантаження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судно,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СІФ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включення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доставку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вантаження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судно,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купівлю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страховки,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фрахту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зборів..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переміщення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відправлення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бере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себе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сплачуючи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транспортні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податки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послуги;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франко-вагон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зазначенням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відправлення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попередньою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перевезень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призначення.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включає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перевезень,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несе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транспортування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відправлення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пункту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призначення.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Деяку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особливість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ціноутворення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транснаціональних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корпорацій.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розрізняють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внутрішні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корпорацій)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корпорації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Внутрішні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(трансфертні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обмін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материнською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компанією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закордонними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філіалами,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філіалами.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встановленні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трансфертних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фірма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ставить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забезпечити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конкурентоздатність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ринках.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прагне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більш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низькі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податки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тарифи.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більшості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держава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втручається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процес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ціноутворення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держави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науково-дослідних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робіт,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бюджетне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допомогою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митної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політики.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зниження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підвищення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конкурентоспроможності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вітчизняних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уряди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своїм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субсидії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(своєрідну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доплату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виручки),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внутрішні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вищі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експортних.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Крім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уряди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опосередковано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систему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оподаткування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знижуючи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навіть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відмінюючи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податки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сировину,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виробляються.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[12]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Бюджетні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можливість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фірмам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застосовувати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демпінгові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нижчі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собівартості.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фірми-експортери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покривають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збитки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прямих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опосередкованих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доплат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держави.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низькими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можливість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фірмам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усунути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конкурентів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зберегти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панування.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ціноутворення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поряд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національними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державними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структурами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інтеграції.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найбільший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роблять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ЄС,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МВФ,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ГАТТ,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сімка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найбільш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розвинених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Певний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ціноутворення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роблять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різноманітні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асоціації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митні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союзи,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вільні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регіональні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об'єднання.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pStyle w:val="a3"/>
        <w:widowControl w:val="0"/>
        <w:numPr>
          <w:ilvl w:val="1"/>
          <w:numId w:val="13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Валютно-фінансові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Вирішальне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практиці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валютно-фінансові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(контрактів).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договір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(контракт)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матеріально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оформлена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суб’єктів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іноземних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контрагентів,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спрямована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встановлення,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припинення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їхніх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взаємних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обов’язків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валютно-фінансових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входять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елементи: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засоби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форми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будуть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здійснюватися.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валютно-фінансових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передбачені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(контракті),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належать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такі.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[18]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(контракту).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розділі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виміру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робіт,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згідно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(контрактом)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платежів.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2.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платежів.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розділ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спосіб,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порядок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строки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сторонами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взаємних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зобов’язань.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обраних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сторонами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тексті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(контракту)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вказуються: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банківського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переказу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(авансовий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(або)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після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відвантаження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документарного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акредитиву,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інкасо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гарантією);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коли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необхідна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(вид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«на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вимогу»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«умовна»,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можливість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гарантій).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фіксується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країни-експортера,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країни-імпортера,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третьої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країни-експортера,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країни-імпортера,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третьої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збігатися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збігатися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останньому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зазначається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переводитись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встановлюються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перерахунку: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курс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певного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засобу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телеграфного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переказу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тратт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векселя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пов’язаними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кредитом;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визначається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коригування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(наприклад,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напопередні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певному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(продавця,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третьої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країни);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обумовлюється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перерахунок: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звичайно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іноді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відкриття,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закриття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курс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дня.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Сторони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встановлюють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конкретні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встановлені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угодою,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торговельними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звичаями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практики.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Способи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співвідношення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фактичної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поставки.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способами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є: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готівковий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платіж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авансом;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платіж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право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вибору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готівкового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Платіж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готівковий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включає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оплачується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повністю: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готовності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переходу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товаророзпорядчих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переходу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зазначених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купця.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готівковому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переказ,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акредитив,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інкасо.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Авансові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випереджають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платіж.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оплачує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авансом,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експортера.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практиці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вживаються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дорогоцінними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металами,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ядерним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пальним,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зброєю.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дорогого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обладнання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суден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літаків,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виготовлених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індивідуальним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замовленням,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правило,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Розрахунок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банківським.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після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переходу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експортером.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вексельного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(виставлення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тратти).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Відстрочення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відкритим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рахунком.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[4]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Правильність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валютно-фінансових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укладанні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запорука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ефективності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Нині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єдиного,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закріпленого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багатосторонньою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угодою,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універсального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механізму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країнами.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Найпоширеніші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розрахунків: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безпосередній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(повний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переходу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товаророзпорядних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розрахунок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відстроченням)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;</w:t>
      </w:r>
    </w:p>
    <w:p w:rsidR="00C52602" w:rsidRPr="00A7395F" w:rsidRDefault="00C52602" w:rsidP="00A7395F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імпортеру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імпортера).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2.3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зобов’язань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закордонними</w:t>
      </w:r>
      <w:r w:rsidR="00375FDE">
        <w:rPr>
          <w:rFonts w:ascii="Times New Roman" w:hAnsi="Times New Roman"/>
          <w:sz w:val="28"/>
          <w:szCs w:val="28"/>
          <w:lang w:val="uk-UA"/>
        </w:rPr>
        <w:t xml:space="preserve"> партнерами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Зобов'язання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потрібно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виконувати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враховуючи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інших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підлягають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безумовному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виконанню).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матеріалами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звіту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(розділ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"Зовнішньоекономічна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діяльність")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узагальнювальний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протермінованих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формулою: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(SKпр:SKе)Ч100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2.3.1.]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SKпр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всіма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протермінованими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протягом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року;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SKe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всіх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підлягають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рік.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протермінування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товарами.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звітний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порівнюють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попередній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змінилась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фізичний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обсяг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поставляє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нижчої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якості,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тоді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закордонний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претензії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якості,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правило,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задовольняють,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спричиняє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збитки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послаблює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позиції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експортера.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Конкурентоздатність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необхідно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розуміти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здатність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витримати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порівняння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аналогічними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інших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реалізованими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нижчими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ринкові.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Рівень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конкурентоздатності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сукупність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техніко-економічних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чинників,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яких: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собівартість,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методи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транспортування,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вимогам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умовам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місцевого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престиж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("ціна"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фірми),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престиж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(товарний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знак),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ефективність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реклами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Основний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чинник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конкурентоздатності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якість,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багато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складових,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набір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складніший,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інших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категорій.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Поняття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"якість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машин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обладнання"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продуктивність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універсальність,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стандартизацію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уніфікацію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моделей.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продуктивність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обладнання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завжди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головний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чинник;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інколи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перевагу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низькопродуктивному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обладнанню,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але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дешевшому,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універсальному,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простому,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безпечному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зручному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користуванні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побуті,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невеликих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майстернях).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Важливою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характеристикою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машин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обладнання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технічна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досконалість.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Велике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надійність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довговічність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роботи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служби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ремонту,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рівень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технічного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обслуговування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постачання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частинами.</w:t>
      </w:r>
    </w:p>
    <w:p w:rsid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отримання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запитання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структури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складають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таблиці,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кожній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позиції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(країна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кожного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порівняльного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одиницях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питому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вагу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відсотках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підсумку.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групами,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містять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кількісно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якісно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зіставлені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(наприклад,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нафтопродукти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бензин,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дизельне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паливо,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мазут),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індекс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кількісної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структури,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формулою: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http://library.if.ua/images/an/144.GIF" style="width:78.75pt;height:35.25pt;visibility:visible">
            <v:imagedata r:id="rId7" o:title="144"/>
          </v:shape>
        </w:pict>
      </w:r>
      <w:r w:rsidR="00A7395F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noProof/>
          <w:sz w:val="28"/>
          <w:szCs w:val="28"/>
          <w:lang w:val="uk-UA"/>
        </w:rPr>
        <w:t>[2.3.2.]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g1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кількість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поточного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базові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товарів;</w:t>
      </w:r>
    </w:p>
    <w:p w:rsidR="00C52602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р1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базового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</w:p>
    <w:p w:rsid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Середню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розраховують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формулою:</w:t>
      </w:r>
    </w:p>
    <w:p w:rsidR="00A561B7" w:rsidRDefault="00A561B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2" o:spid="_x0000_i1026" type="#_x0000_t75" alt="Описание: http://library.if.ua/images/an/145.GIF" style="width:76.5pt;height:35.25pt;visibility:visible">
            <v:imagedata r:id="rId8" o:title="145"/>
          </v:shape>
        </w:pic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[2.3.3.]</w:t>
      </w:r>
    </w:p>
    <w:p w:rsidR="00A561B7" w:rsidRDefault="00A561B7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Показник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ефективності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виручки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Контракти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обов'язки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учасників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зовнішньоторговельної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цілий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комплекс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торговельного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обміну.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механізму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закладена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структура,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обсяг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взаємних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сторін,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базові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поставок,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страхування,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технічні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санкції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порушення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позицій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Отже,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механізмом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зовнішньоторговельного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вважати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злиття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структурних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елементів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зовнішньоторговельної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взаємодію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узгоджених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контрагентів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юридичними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нормами.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оформити: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•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доставку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суворо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визначеного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порушенні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розірвати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•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довготермінові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більше;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•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спеціальні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проектування,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монтажні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роботи,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технічне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обслуговування,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проведення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випробувань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тощо;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•рамкові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містять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лише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підлягають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подальшому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уточненню;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•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наміри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встановлюють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наміри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придбати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чітких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обов'язків.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викладення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потрібно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складати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письмовому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вигляді.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Однак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практиці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усній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формі: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телефону,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аукціонах,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біржах.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усну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домовленість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після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обов'язково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підтверджують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письмовим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підписують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обидві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сторони.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виникають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Дуже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трапляються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двосторонні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розглядові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структури,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позицій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механізму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потрібно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приділяти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необхідну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увагу.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Текст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починається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вступної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подане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юридичне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найменування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сторін,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беруть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участь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укладенні.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Вступна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тексту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переважно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зміст: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а)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номер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б)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укладення;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сторін,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визначенні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вказують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найменування,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контрагенти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зареєстровані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торговельному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реєстрі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своєї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місцезнаходження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(назва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міста),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найменування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(продавець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постачальник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замовник).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Іноді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вступній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роблять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посилання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переговори,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контрактові,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зазначенням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проведення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пропозицію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вказівкою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номера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посилання.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[10]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Необхідно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точну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назву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найменувань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багато,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складають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перелік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заносять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пропозицію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обов'язково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зазначають,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входить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тара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упаковка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кількість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постачають.Залежно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розрізняють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вагу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брутто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нетто.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Термін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розуміють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момент,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коли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покупцеві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відповідальній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особі,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імені.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переважно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вказують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календарні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поставок,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але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означає,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вказують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лише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дату.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Головним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чином,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вказують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місяць,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квартал,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замість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конкретного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числа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вказують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інтервал.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Експортери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завжди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несуть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відповідальність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псування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виникло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незбігання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пакування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базовими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умовами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поставок.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Маркування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буває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двох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видів: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спеціальне.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Товарне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маркування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ім'я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прізвище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місця,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вагу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(брутто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нетто)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інші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реквізити.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Спеціальне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маркування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містить: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вказівки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зверху,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"боїться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вологи"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Маркування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проводять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згідно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загальноприйнятими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нормами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спеціальними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вимогами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покупців.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допускає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протермінування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несвоєчасне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повідомлення,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некомплектні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метою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компенсації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втрат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стягнення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збільшуються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протермінування.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Максимальний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розмір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10%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недоставлених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визначений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товарів.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Поряд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стягують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збитки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втрачену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вигоду,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звільняється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обов'язків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поставок.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закладене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відмовитись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виконання,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протермінування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втрачається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інтерес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чергу,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створити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труднощі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роботи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несвоєчасне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документації,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затримку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відкриття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акредитивів,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запізнення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відряджанням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фахівців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потрібно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санкції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імпортера.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[16]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використовують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механізми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страхування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гарантійне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зобов'язання.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Гарантійне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впевненості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тому,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отримає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обумовленій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кількості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встановлені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порушує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компенсацію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отримує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переважно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відсотків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гарантійні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звичайно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передбачаються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контрактах.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[14]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коли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однієї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тієї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однією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договірних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загрозою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лише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санкцій,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репутації.</w:t>
      </w:r>
      <w:r w:rsid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зовнішньоторговельних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угодах,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сторонами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комерційні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загроза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репутації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через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відомі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причини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настільки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дієва,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угодах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внутрішнього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характеру.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Підписуючи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договір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іноземним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партнером,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завжди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необхідно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враховувати,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санкції,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будуть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передбачені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спрямовані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щоб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стимулювати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партнерів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виконувати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обов'язки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покривати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збитки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партнера,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постраждав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недбалості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іншої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сторони,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уклала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договір.</w:t>
      </w:r>
      <w:r w:rsid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Наприклад,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крім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тексті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укласти,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продавцем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своїх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договір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третьою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особою,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утримавши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першого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видатки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укладення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цінах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першим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другим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договорами.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Виконання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санкцій,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утримання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втрат,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обов'язково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потрібно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судовому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арбітражному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порядку.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полегшить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вирішення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проблеми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утримання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санкцій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коли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протермінує,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наприклад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неналежної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якості,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закріпить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контракті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право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утримати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розмірові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безпосередньо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призначено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оплати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поставленого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захід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неможливо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вжити,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погодиться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передоплату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всієї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  <w:r w:rsid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найважливіших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питань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розмір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санкцій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спосіб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втрат,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підлягають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утриманню.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повинен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намагатися,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щоб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протермінування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непоставку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взагалі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якомога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більшим.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Продавцеві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випадку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вигідний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найменший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розмір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санкцій.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покупцеві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вдається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наполягати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високому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розмірі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продавець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поступку,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передбачивши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обмеження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розміру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штрафу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певною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непоставленого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відсотків.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Штрафи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виражатися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відсотках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непоставленого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товару.</w:t>
      </w:r>
    </w:p>
    <w:p w:rsidR="00C52602" w:rsidRPr="00A561B7" w:rsidRDefault="00A561B7" w:rsidP="00A7395F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993"/>
        </w:tabs>
        <w:spacing w:before="0" w:line="360" w:lineRule="auto"/>
        <w:ind w:left="0" w:firstLine="709"/>
        <w:jc w:val="both"/>
        <w:rPr>
          <w:rFonts w:ascii="Times New Roman" w:hAnsi="Times New Roman"/>
          <w:b w:val="0"/>
          <w:color w:val="auto"/>
          <w:lang w:val="uk-UA"/>
        </w:rPr>
      </w:pPr>
      <w:r w:rsidRPr="00A561B7">
        <w:rPr>
          <w:rFonts w:ascii="Times New Roman" w:hAnsi="Times New Roman"/>
          <w:b w:val="0"/>
          <w:color w:val="auto"/>
          <w:lang w:val="uk-UA"/>
        </w:rPr>
        <w:t>ПРАКТИЧНА ЧАСТИНА</w:t>
      </w:r>
    </w:p>
    <w:p w:rsidR="00A7395F" w:rsidRDefault="00A7395F" w:rsidP="00A7395F">
      <w:pPr>
        <w:pStyle w:val="a3"/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52602" w:rsidRPr="00A561B7" w:rsidRDefault="00A7395F" w:rsidP="00A7395F">
      <w:pPr>
        <w:pStyle w:val="a3"/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61B7">
        <w:rPr>
          <w:rFonts w:ascii="Times New Roman" w:hAnsi="Times New Roman"/>
          <w:sz w:val="28"/>
          <w:szCs w:val="28"/>
          <w:lang w:val="uk-UA"/>
        </w:rPr>
        <w:t xml:space="preserve">3.1 </w:t>
      </w:r>
      <w:r w:rsidR="00C52602" w:rsidRPr="00A561B7">
        <w:rPr>
          <w:rFonts w:ascii="Times New Roman" w:hAnsi="Times New Roman"/>
          <w:sz w:val="28"/>
          <w:szCs w:val="28"/>
          <w:lang w:val="uk-UA"/>
        </w:rPr>
        <w:t>Горизонтальний</w:t>
      </w:r>
      <w:r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561B7">
        <w:rPr>
          <w:rFonts w:ascii="Times New Roman" w:hAnsi="Times New Roman"/>
          <w:sz w:val="28"/>
          <w:szCs w:val="28"/>
          <w:lang w:val="uk-UA"/>
        </w:rPr>
        <w:t>балансу</w:t>
      </w:r>
      <w:r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561B7">
        <w:rPr>
          <w:rFonts w:ascii="Times New Roman" w:hAnsi="Times New Roman"/>
          <w:sz w:val="28"/>
          <w:szCs w:val="28"/>
          <w:lang w:val="uk-UA"/>
        </w:rPr>
        <w:t>та</w:t>
      </w:r>
      <w:r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561B7">
        <w:rPr>
          <w:rFonts w:ascii="Times New Roman" w:hAnsi="Times New Roman"/>
          <w:sz w:val="28"/>
          <w:szCs w:val="28"/>
          <w:lang w:val="uk-UA"/>
        </w:rPr>
        <w:t>звіту</w:t>
      </w:r>
      <w:r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561B7">
        <w:rPr>
          <w:rFonts w:ascii="Times New Roman" w:hAnsi="Times New Roman"/>
          <w:sz w:val="28"/>
          <w:szCs w:val="28"/>
          <w:lang w:val="uk-UA"/>
        </w:rPr>
        <w:t>про</w:t>
      </w:r>
      <w:r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561B7">
        <w:rPr>
          <w:rFonts w:ascii="Times New Roman" w:hAnsi="Times New Roman"/>
          <w:sz w:val="28"/>
          <w:szCs w:val="28"/>
          <w:lang w:val="uk-UA"/>
        </w:rPr>
        <w:t>фінансові</w:t>
      </w:r>
      <w:r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561B7">
        <w:rPr>
          <w:rFonts w:ascii="Times New Roman" w:hAnsi="Times New Roman"/>
          <w:sz w:val="28"/>
          <w:szCs w:val="28"/>
          <w:lang w:val="uk-UA"/>
        </w:rPr>
        <w:t>результати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Таблиця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3.1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Порівняльний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аналітичний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звіт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34"/>
        <w:gridCol w:w="1134"/>
        <w:gridCol w:w="1134"/>
        <w:gridCol w:w="1134"/>
        <w:gridCol w:w="850"/>
        <w:gridCol w:w="1134"/>
        <w:gridCol w:w="958"/>
      </w:tblGrid>
      <w:tr w:rsidR="00C52602" w:rsidRPr="00D653E4" w:rsidTr="00D653E4">
        <w:trPr>
          <w:trHeight w:val="255"/>
        </w:trPr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Статті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балансу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(код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рядка)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Абсолютні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значення,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тис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Питома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вага,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4076" w:type="dxa"/>
            <w:gridSpan w:val="4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  <w:tab w:val="center" w:pos="2679"/>
                <w:tab w:val="left" w:pos="438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Зміни</w:t>
            </w:r>
          </w:p>
        </w:tc>
      </w:tr>
      <w:tr w:rsidR="00C52602" w:rsidRPr="00D653E4" w:rsidTr="00D653E4">
        <w:trPr>
          <w:trHeight w:val="620"/>
        </w:trPr>
        <w:tc>
          <w:tcPr>
            <w:tcW w:w="959" w:type="dxa"/>
            <w:vMerge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попередній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звітний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попередній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звітний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абсолюних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величинах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питомій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вазі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попереднього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%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зміни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підсумку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балансу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[010]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22,22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1,42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[011]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23,53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1,89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[012]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28,57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0,47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[030]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39,14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38,83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15,34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36,95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[031]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47,60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46,89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14,51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42,50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[032]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8,46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10,66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5,55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[040]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[045]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82,22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4,37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[050]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-1,41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-13,73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-4,60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[060]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-14,29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-0,47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[070]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-54,22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-5,31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[080]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2714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2988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52,07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49,32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-2,76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10,10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32,35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11,85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31,02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20,07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5,37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37,50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12,40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27,83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3,78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6,12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0,71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11,84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5,31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22,22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1,65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25,64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2,36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40,00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0,71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21,43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0,71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31,82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1,65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34,43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2,48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93,33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4,96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25,52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4,37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-62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-74,70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-7,32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1,20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0,12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2584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41,31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431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20,02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50,89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41,16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16,77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1407,24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1635,93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228,69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16,25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27,00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364,84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424,13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59,29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16,25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104,24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181,77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77,53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74,38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9,15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312,72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424,13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111,41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35,63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13,15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2189,04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2665,96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476,92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21,79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56,31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364,84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363,54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-0,36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-0,15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964,22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1030,03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65,81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6,83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7,77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364,84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181,77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-183,07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-50,18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-21,61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312,72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424,13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111,41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35,63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13,15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1641,78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1635,93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-5,85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-4,50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-0,36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-0,69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208,48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363,54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155,06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74,38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18,31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260,6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181,77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-78,83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-30,25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-9,31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234,54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424,13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189,59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80,83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22,38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208,48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363,54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155,06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74,38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18,31</w:t>
            </w:r>
          </w:p>
        </w:tc>
      </w:tr>
      <w:tr w:rsidR="00C52602" w:rsidRPr="00D653E4" w:rsidTr="00D653E4">
        <w:trPr>
          <w:trHeight w:val="25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104,24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60,59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-43,65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-41,87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-5,15</w:t>
            </w:r>
          </w:p>
        </w:tc>
      </w:tr>
      <w:tr w:rsidR="00C52602" w:rsidRPr="00D653E4" w:rsidTr="00D653E4">
        <w:trPr>
          <w:trHeight w:val="270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1016,34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1393,57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19,50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377,23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37,12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44,54</w:t>
            </w:r>
          </w:p>
        </w:tc>
      </w:tr>
      <w:tr w:rsidR="00C52602" w:rsidRPr="00D653E4" w:rsidTr="00D653E4">
        <w:trPr>
          <w:trHeight w:val="28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5212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847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</w:tr>
    </w:tbl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3.2</w:t>
      </w:r>
      <w:r w:rsidR="00A7395F" w:rsidRP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Факторний</w:t>
      </w:r>
      <w:r w:rsidR="00A7395F" w:rsidRP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 w:rsidR="00A7395F" w:rsidRP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результату</w:t>
      </w:r>
      <w:r w:rsidR="00A7395F" w:rsidRP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операційної</w:t>
      </w:r>
      <w:r w:rsidR="00A7395F" w:rsidRP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 w:rsidR="00A7395F" w:rsidRP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Таблиця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3.2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Вихідні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факторного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</w:p>
    <w:tbl>
      <w:tblPr>
        <w:tblW w:w="9575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4081"/>
        <w:gridCol w:w="851"/>
        <w:gridCol w:w="1653"/>
        <w:gridCol w:w="1654"/>
        <w:gridCol w:w="1336"/>
      </w:tblGrid>
      <w:tr w:rsidR="00C52602" w:rsidRPr="00D653E4" w:rsidTr="00A7395F">
        <w:trPr>
          <w:trHeight w:val="793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Код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звітний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попередній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Абсолютна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зміна</w:t>
            </w: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C52602" w:rsidRPr="00D653E4" w:rsidTr="00A7395F">
        <w:trPr>
          <w:trHeight w:val="367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(виручка)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реалізації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продукції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(товарів,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робіт,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1388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1484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-96</w:t>
            </w: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Податок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додану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015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231,33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247,33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-16</w:t>
            </w: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вирахування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___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___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A7395F">
        <w:trPr>
          <w:trHeight w:val="367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Собівартість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реалізованої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продукції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(товарів,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робіт,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040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операційні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060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-6</w:t>
            </w: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Адміністративні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070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080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операційні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-14</w:t>
            </w:r>
          </w:p>
        </w:tc>
      </w:tr>
      <w:tr w:rsidR="00C52602" w:rsidRPr="00D653E4" w:rsidTr="00A7395F">
        <w:trPr>
          <w:trHeight w:val="367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результати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операційної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діяльності: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690,67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817,67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-127</w:t>
            </w:r>
          </w:p>
        </w:tc>
      </w:tr>
      <w:tr w:rsidR="00C52602" w:rsidRPr="00D653E4" w:rsidTr="00A7395F">
        <w:trPr>
          <w:trHeight w:val="216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2602" w:rsidRPr="00D653E4" w:rsidRDefault="00C52602" w:rsidP="00A7395F">
            <w:pPr>
              <w:widowControl w:val="0"/>
              <w:tabs>
                <w:tab w:val="left" w:pos="993"/>
              </w:tabs>
              <w:spacing w:after="0" w:line="360" w:lineRule="auto"/>
              <w:ind w:firstLine="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</w:tbl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частини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звіту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розрахуємо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враховуючи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нульовим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значенням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використовуються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проміжних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підсумків.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д-сті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Доход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пр-ції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ПДВ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вирахування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доходу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С/в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доходи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Адмін.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збут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витрати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д-сті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1484-247,33-281-74-88-28-48-817,67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=-100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Оскільки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модель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мультиплікативна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(складові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додаються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віднімаються),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величина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кожного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фактора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величині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фактору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модель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цілому.В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таблиці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3.3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розраховані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кожного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факторів,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саме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величину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прибуток.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Зміна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5+96+16-60+6-6-3+14+127=195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Таким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чином,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дією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факторів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збільшився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195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тис.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повинен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скласти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195-100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95,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тобто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отримало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розмірі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95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тис.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грн.</w:t>
      </w:r>
    </w:p>
    <w:p w:rsidR="00A7395F" w:rsidRDefault="00A7395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561B7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61B7">
        <w:rPr>
          <w:rFonts w:ascii="Times New Roman" w:hAnsi="Times New Roman"/>
          <w:sz w:val="28"/>
          <w:szCs w:val="28"/>
          <w:lang w:val="uk-UA"/>
        </w:rPr>
        <w:t>3.3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Фінансово-коефіцієнтний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аналіз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діяльності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395F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Показники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майнового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стану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зносу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засобів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27" type="#_x0000_t75" style="width:213pt;height:33pt">
            <v:imagedata r:id="rId9" o:title=""/>
          </v:shape>
        </w:pic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;</w: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28" type="#_x0000_t75" style="width:105pt;height:30.75pt">
            <v:imagedata r:id="rId10" o:title=""/>
          </v:shape>
        </w:pic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pict>
          <v:shape id="_x0000_i1029" type="#_x0000_t75" style="width:102pt;height:30.75pt">
            <v:imagedata r:id="rId11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оновлення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засобів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30" type="#_x0000_t75" style="width:312.75pt;height:33pt">
            <v:imagedata r:id="rId12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31" type="#_x0000_t75" style="width:135pt;height:30.75pt">
            <v:imagedata r:id="rId13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32" type="#_x0000_t75" style="width:131.25pt;height:30.75pt">
            <v:imagedata r:id="rId14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Частка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33" type="#_x0000_t75" style="width:149.25pt;height:33pt">
            <v:imagedata r:id="rId15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34" type="#_x0000_t75" style="width:108pt;height:30.75pt">
            <v:imagedata r:id="rId16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35" type="#_x0000_t75" style="width:107.25pt;height:30.75pt">
            <v:imagedata r:id="rId17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мобільності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36" type="#_x0000_t75" style="width:134.25pt;height:30.75pt">
            <v:imagedata r:id="rId18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37" type="#_x0000_t75" style="width:137.25pt;height:30.75pt">
            <v:imagedata r:id="rId19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38" type="#_x0000_t75" style="width:134.25pt;height:30.75pt">
            <v:imagedata r:id="rId20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майнового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зробити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наступні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висновки: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рівень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фізичного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морального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зносу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18%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17%.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оновлення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засобів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показує,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фондів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збільшилась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15%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порівнянні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13%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мобільних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фондів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балансу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складає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41%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мобільності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виявив,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необігових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припадає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0,92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обігових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1,03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395F">
        <w:rPr>
          <w:rFonts w:ascii="Times New Roman" w:hAnsi="Times New Roman"/>
          <w:b/>
          <w:sz w:val="28"/>
          <w:szCs w:val="28"/>
          <w:lang w:val="uk-UA"/>
        </w:rPr>
        <w:t>2.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Показники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ділової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активності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обігових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39" type="#_x0000_t75" style="width:211.5pt;height:33pt">
            <v:imagedata r:id="rId21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40" type="#_x0000_t75" style="width:164.25pt;height:33pt">
            <v:imagedata r:id="rId22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41" type="#_x0000_t75" style="width:174pt;height:33pt">
            <v:imagedata r:id="rId23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запасів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42" type="#_x0000_t75" style="width:152.25pt;height:30.75pt">
            <v:imagedata r:id="rId24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43" type="#_x0000_t75" style="width:192pt;height:33pt">
            <v:imagedata r:id="rId25" o:title=""/>
          </v:shape>
        </w:pic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pict>
          <v:shape id="_x0000_i1044" type="#_x0000_t75" style="width:188.25pt;height:33pt">
            <v:imagedata r:id="rId26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(днів)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45" type="#_x0000_t75" style="width:132pt;height:33pt">
            <v:imagedata r:id="rId27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46" type="#_x0000_t75" style="width:114pt;height:33pt">
            <v:imagedata r:id="rId28" o:title=""/>
          </v:shape>
        </w:pic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pict>
          <v:shape id="_x0000_i1047" type="#_x0000_t75" style="width:105pt;height:33pt">
            <v:imagedata r:id="rId29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дебіторської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заборгованості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48" type="#_x0000_t75" style="width:214.5pt;height:33pt">
            <v:imagedata r:id="rId30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49" type="#_x0000_t75" style="width:194.25pt;height:33pt">
            <v:imagedata r:id="rId31" o:title=""/>
          </v:shape>
        </w:pic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pict>
          <v:shape id="_x0000_i1050" type="#_x0000_t75" style="width:194.25pt;height:33pt">
            <v:imagedata r:id="rId32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робимо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висновки: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обігових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припадає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виручки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0,47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Кількість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інвестованих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2,66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1,82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протягом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трансформуються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138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виручка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перевищує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середню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дебіторську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рази,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рази.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395F">
        <w:rPr>
          <w:rFonts w:ascii="Times New Roman" w:hAnsi="Times New Roman"/>
          <w:b/>
          <w:sz w:val="28"/>
          <w:szCs w:val="28"/>
          <w:lang w:val="uk-UA"/>
        </w:rPr>
        <w:t>3.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Показники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рентабельності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Рентабельність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(активів)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чистим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прибутком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51" type="#_x0000_t75" style="width:143.25pt;height:33pt">
            <v:imagedata r:id="rId33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52" type="#_x0000_t75" style="width:155.25pt;height:33pt">
            <v:imagedata r:id="rId34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53" type="#_x0000_t75" style="width:9pt;height:17.25pt">
            <v:imagedata r:id="rId35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54" type="#_x0000_t75" style="width:155.25pt;height:33pt">
            <v:imagedata r:id="rId36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Рентабельність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капіталу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55" type="#_x0000_t75" style="width:221.25pt;height:33pt">
            <v:imagedata r:id="rId37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56" type="#_x0000_t75" style="width:189pt;height:33pt">
            <v:imagedata r:id="rId38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57" type="#_x0000_t75" style="width:185.25pt;height:33pt">
            <v:imagedata r:id="rId39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Рентабельність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реалізованої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продукції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58" type="#_x0000_t75" style="width:123pt;height:33pt">
            <v:imagedata r:id="rId40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59" type="#_x0000_t75" style="width:120pt;height:33pt">
            <v:imagedata r:id="rId41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60" type="#_x0000_t75" style="width:120pt;height:33pt">
            <v:imagedata r:id="rId42" o:title=""/>
          </v:shape>
        </w:pict>
      </w:r>
    </w:p>
    <w:p w:rsidR="00A7395F" w:rsidRDefault="00A7395F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окупності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капіталу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61" type="#_x0000_t75" style="width:111pt;height:33pt">
            <v:imagedata r:id="rId43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62" type="#_x0000_t75" style="width:105pt;height:30.75pt">
            <v:imagedata r:id="rId44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63" type="#_x0000_t75" style="width:108pt;height:33pt">
            <v:imagedata r:id="rId45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інвестованих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припадає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11%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чистого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9%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припадає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27%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22%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виручки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припадає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0,54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чистого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0,47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окупності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3,4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негативні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тенденції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тобто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інвестовані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будуть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компенсовані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чистим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прибутком,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збільшується.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395F">
        <w:rPr>
          <w:rFonts w:ascii="Times New Roman" w:hAnsi="Times New Roman"/>
          <w:b/>
          <w:sz w:val="28"/>
          <w:szCs w:val="28"/>
          <w:lang w:val="uk-UA"/>
        </w:rPr>
        <w:t>4.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Показники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фінансової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стійкості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Показник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обігових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64" type="#_x0000_t75" style="width:232.5pt;height:14.25pt">
            <v:imagedata r:id="rId46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65" type="#_x0000_t75" style="width:222pt;height:18pt">
            <v:imagedata r:id="rId47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66" type="#_x0000_t75" style="width:217.5pt;height:17.25pt">
            <v:imagedata r:id="rId48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маневреності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робочого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капіталу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67" type="#_x0000_t75" style="width:105pt;height:30.75pt">
            <v:imagedata r:id="rId49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68" type="#_x0000_t75" style="width:114pt;height:33pt">
            <v:imagedata r:id="rId50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69" type="#_x0000_t75" style="width:113.25pt;height:33pt">
            <v:imagedata r:id="rId51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61B7" w:rsidRDefault="00A561B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незалежності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(автономії)</w:t>
      </w:r>
    </w:p>
    <w:p w:rsidR="00A561B7" w:rsidRDefault="00A561B7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70" type="#_x0000_t75" style="width:114pt;height:30.75pt">
            <v:imagedata r:id="rId52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71" type="#_x0000_t75" style="width:117pt;height:30.75pt">
            <v:imagedata r:id="rId53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72" type="#_x0000_t75" style="width:9pt;height:17.25pt">
            <v:imagedata r:id="rId35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73" type="#_x0000_t75" style="width:116.25pt;height:30.75pt">
            <v:imagedata r:id="rId54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Показник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стійкості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74" type="#_x0000_t75" style="width:179.25pt;height:33pt">
            <v:imagedata r:id="rId55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75" type="#_x0000_t75" style="width:209.25pt;height:30.75pt">
            <v:imagedata r:id="rId56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76" type="#_x0000_t75" style="width:209.25pt;height:30.75pt">
            <v:imagedata r:id="rId57" o:title=""/>
          </v:shape>
        </w:pic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Показник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лівериджу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77" type="#_x0000_t75" style="width:214.5pt;height:30.75pt">
            <v:imagedata r:id="rId58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78" type="#_x0000_t75" style="width:123pt;height:33pt">
            <v:imagedata r:id="rId59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79" type="#_x0000_t75" style="width:120pt;height:33pt">
            <v:imagedata r:id="rId60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Оборотні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фінансуються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довгострокових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зобов`язань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3850,66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4178,43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тобто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матеріальних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виробничих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обігових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6%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5%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незалежності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характеризує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можливість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виконати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зобов`язання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0,42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0,44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Частка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стабільних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джерел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фінансування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обсязі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81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77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довгострокових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зобов`язань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75%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61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395F">
        <w:rPr>
          <w:rFonts w:ascii="Times New Roman" w:hAnsi="Times New Roman"/>
          <w:b/>
          <w:sz w:val="28"/>
          <w:szCs w:val="28"/>
          <w:lang w:val="uk-UA"/>
        </w:rPr>
        <w:t>5.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Показники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ліквідності</w:t>
      </w:r>
      <w:r w:rsidR="00A739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(платоспроможності)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поточної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ліквідності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(покриття)</w:t>
      </w:r>
    </w:p>
    <w:p w:rsidR="00A561B7" w:rsidRDefault="00A561B7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80" type="#_x0000_t75" style="width:152.25pt;height:30.75pt">
            <v:imagedata r:id="rId61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81" type="#_x0000_t75" style="width:128.25pt;height:33pt">
            <v:imagedata r:id="rId62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82" type="#_x0000_t75" style="width:125.25pt;height:33pt">
            <v:imagedata r:id="rId63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швидкої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ліквідності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83" type="#_x0000_t75" style="width:165pt;height:30.75pt">
            <v:imagedata r:id="rId64" o:title=""/>
          </v:shape>
        </w:pict>
      </w:r>
    </w:p>
    <w:p w:rsid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84" type="#_x0000_t75" style="width:207pt;height:33pt">
            <v:imagedata r:id="rId65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85" type="#_x0000_t75" style="width:9pt;height:17.25pt">
            <v:imagedata r:id="rId35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86" type="#_x0000_t75" style="width:212.25pt;height:33pt">
            <v:imagedata r:id="rId66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абсолютної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ліквідності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87" type="#_x0000_t75" style="width:273pt;height:30.75pt">
            <v:imagedata r:id="rId67" o:title=""/>
          </v:shape>
        </w:pict>
      </w: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pict>
          <v:shape id="_x0000_i1088" type="#_x0000_t75" style="width:146.25pt;height:33pt">
            <v:imagedata r:id="rId68" o:title=""/>
          </v:shape>
        </w:pict>
      </w:r>
      <w:r>
        <w:rPr>
          <w:rFonts w:ascii="Times New Roman" w:hAnsi="Times New Roman"/>
          <w:sz w:val="28"/>
          <w:szCs w:val="28"/>
          <w:lang w:val="uk-UA"/>
        </w:rPr>
        <w:pict>
          <v:shape id="_x0000_i1089" type="#_x0000_t75" style="width:153pt;height:33pt">
            <v:imagedata r:id="rId69" o:title=""/>
          </v:shape>
        </w:pic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поточної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ліквідності,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характеризує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достатність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обігових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коштів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погашення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боргів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протягом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2,12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1,85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термінових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боргів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припадає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1,09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найбільш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ліквідних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0,88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одиниць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Готовність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негайно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ліквідувати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короткострокову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%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періоду.</w:t>
      </w:r>
    </w:p>
    <w:p w:rsidR="00A561B7" w:rsidRDefault="00A561B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561B7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61B7">
        <w:rPr>
          <w:rFonts w:ascii="Times New Roman" w:hAnsi="Times New Roman"/>
          <w:sz w:val="28"/>
          <w:szCs w:val="28"/>
          <w:lang w:val="uk-UA"/>
        </w:rPr>
        <w:t>3.4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Визначення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типу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фінансової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стійкості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Тип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стійкості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трьохкомпонентного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b/>
          <w:sz w:val="28"/>
          <w:szCs w:val="28"/>
          <w:lang w:val="uk-UA"/>
        </w:rPr>
        <w:t>S</w:t>
      </w:r>
      <w:r w:rsidRPr="00A7395F">
        <w:rPr>
          <w:rFonts w:ascii="Times New Roman" w:hAnsi="Times New Roman"/>
          <w:sz w:val="28"/>
          <w:szCs w:val="28"/>
          <w:lang w:val="uk-UA"/>
        </w:rPr>
        <w:t>: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S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=(Ф;Ф;Ф)</w:t>
      </w:r>
    </w:p>
    <w:p w:rsidR="00A561B7" w:rsidRPr="00A7395F" w:rsidRDefault="00A561B7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7.45pt;margin-top:4.05pt;width:17.25pt;height:45.75pt;z-index:251657728"/>
        </w:pic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"1"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2602" w:rsidRPr="00A7395F">
        <w:rPr>
          <w:rFonts w:ascii="Times New Roman" w:hAnsi="Times New Roman"/>
          <w:sz w:val="28"/>
          <w:szCs w:val="28"/>
          <w:lang w:val="uk-UA"/>
        </w:rPr>
        <w:t>Ф&gt;0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"0"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Ф&lt;0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S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(1;1;1)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абсолютна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стійкість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S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(0;1;1)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нормальна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стійкість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S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(0;0;1)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нестійкий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</w:t>
      </w:r>
    </w:p>
    <w:p w:rsidR="00C52602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S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(0;0;0)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кризова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стійкість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395F" w:rsidRPr="00A7395F" w:rsidRDefault="00D653E4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53E4">
        <w:rPr>
          <w:rFonts w:ascii="Times New Roman" w:hAnsi="Times New Roman"/>
          <w:sz w:val="28"/>
          <w:szCs w:val="28"/>
          <w:lang w:val="uk-UA"/>
        </w:rPr>
        <w:fldChar w:fldCharType="begin"/>
      </w:r>
      <w:r w:rsidRPr="00D653E4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9D0550">
        <w:rPr>
          <w:position w:val="-11"/>
        </w:rPr>
        <w:pict>
          <v:shape id="_x0000_i1090" type="#_x0000_t75" style="width:23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2433C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Default=&quot;0042433C&quot; wsp:rsidP=&quot;0042433C&quot;&gt;&lt;m:oMathPara&gt;&lt;m:oMath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љРѕРµС„С–С†С–С”РЅС‚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»Р°СЃ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ѕР±РѕСЂРѕС‚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Р°СЃРѕР±С–Р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0" o:title="" chromakey="white"/>
          </v:shape>
        </w:pict>
      </w:r>
      <w:r w:rsidRPr="00D653E4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Pr="00D653E4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9D0550">
        <w:rPr>
          <w:position w:val="-11"/>
        </w:rPr>
        <w:pict>
          <v:shape id="_x0000_i1091" type="#_x0000_t75" style="width:232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2433C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Default=&quot;0042433C&quot; wsp:rsidP=&quot;0042433C&quot;&gt;&lt;m:oMathPara&gt;&lt;m:oMath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љРѕРµС„С–С†С–С”РЅС‚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»Р°СЃ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ѕР±РѕСЂРѕС‚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Р°СЃРѕР±С–Р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0" o:title="" chromakey="white"/>
          </v:shape>
        </w:pict>
      </w:r>
      <w:r w:rsidRPr="00D653E4">
        <w:rPr>
          <w:rFonts w:ascii="Times New Roman" w:hAnsi="Times New Roman"/>
          <w:sz w:val="28"/>
          <w:szCs w:val="28"/>
          <w:lang w:val="uk-UA"/>
        </w:rPr>
        <w:fldChar w:fldCharType="end"/>
      </w:r>
      <w:r w:rsidR="00A561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pict>
          <v:shape id="_x0000_i1092" type="#_x0000_t75" style="width:184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0175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Pr=&quot;00730175&quot; wsp:rsidRDefault=&quot;00730175&quot; wsp:rsidP=&quot;00730175&quot;&gt;&lt;m:oMathPara&gt;&lt;m:oMathParaPr&gt;&lt;m:jc m:val=&quot;left&quot;/&gt;&lt;/m:oMathParaPr&gt;&lt;m:oMath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(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ѕР·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)=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¤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Ђ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38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-Р¤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Ђ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080&lt;/m:t&gt;&lt;/m:r&gt;&lt;/m:oMath&gt;&lt;/m:oMathPara&gt;&lt;/w:p&gt;&lt;w:sectPr wsp:rsidR=&quot;00000000&quot; wsp:rsidRPr=&quot;0073017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1" o:title="" chromakey="white"/>
          </v:shape>
        </w:pic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Квоз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=2189,04-2988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-798,96</w:t>
      </w:r>
    </w:p>
    <w:p w:rsidR="00C52602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Квоз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2665,96-2714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-48,04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A7395F">
      <w:pPr>
        <w:widowControl w:val="0"/>
        <w:tabs>
          <w:tab w:val="left" w:pos="993"/>
        </w:tabs>
        <w:spacing w:after="0" w:line="36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pict>
          <v:shape id="_x0000_i1093" type="#_x0000_t75" style="width:453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831E2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Pr=&quot;00A831E2&quot; wsp:rsidRDefault=&quot;00A831E2&quot; wsp:rsidP=&quot;00A831E2&quot;&gt;&lt;m:oMathPara&gt;&lt;m:oMath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љРѕРµС„С–С†С–С”РЅС‚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»Р°СЃ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ѕР±РѕСЂРѕС‚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Р°СЃРѕР±С–РІ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‚Р°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ґРѕРІРіРѕСЃС‚СЂРѕРєРѕРІ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Р°Р»СѓС‡Рµ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ґР¶РµСЂРµР»&lt;/m:t&gt;&lt;/m:r&gt;&lt;/m:oMath&gt;&lt;/m:oMathPara&gt;&lt;/w:p&gt;&lt;w:sectPr wsp:rsidR=&quot;00000000&quot; wsp:rsidRPr=&quot;00A831E2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2" o:title="" chromakey="white"/>
          </v:shape>
        </w:pict>
      </w:r>
    </w:p>
    <w:p w:rsidR="00375FDE" w:rsidRPr="00375FDE" w:rsidRDefault="009D0550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pict>
          <v:shape id="_x0000_i1094" type="#_x0000_t75" style="width:11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4C85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Pr=&quot;00704C85&quot; wsp:rsidRDefault=&quot;00704C85&quot; wsp:rsidP=&quot;00704C85&quot;&gt;&lt;m:oMathPara&gt;&lt;m:oMathParaPr&gt;&lt;m:jc m:val=&quot;left&quot;/&gt;&lt;/m:oMathParaPr&gt;&lt;m:oMath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РѕСЂРјСѓРІР°РЅРЅСЏ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Р°РїР°СЃС–РІ&lt;/m:t&gt;&lt;/m:r&gt;&lt;/m:oMath&gt;&lt;/m:oMathPara&gt;&lt;/w:p&gt;&lt;w:sectPr wsp:rsidR=&quot;00000000&quot; wsp:rsidRPr=&quot;00704C85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3" o:title="" chromakey="white"/>
          </v:shape>
        </w:pict>
      </w:r>
    </w:p>
    <w:p w:rsidR="00375FDE" w:rsidRDefault="00375FDE" w:rsidP="00375FDE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375FDE" w:rsidP="00375FDE">
      <w:pPr>
        <w:widowControl w:val="0"/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 </w:t>
      </w:r>
      <w:r w:rsidR="00D653E4" w:rsidRPr="00D653E4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D653E4" w:rsidRPr="00D653E4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9D0550">
        <w:rPr>
          <w:position w:val="-11"/>
        </w:rPr>
        <w:pict>
          <v:shape id="_x0000_i1095" type="#_x0000_t75" style="width:11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C5A62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Default=&quot;00EC5A62&quot; wsp:rsidP=&quot;00EC5A62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ѕР·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¤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Ђ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48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4" o:title="" chromakey="white"/>
          </v:shape>
        </w:pict>
      </w:r>
      <w:r w:rsidR="00D653E4" w:rsidRPr="00D653E4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D653E4" w:rsidRPr="00D653E4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9D0550">
        <w:rPr>
          <w:position w:val="-11"/>
        </w:rPr>
        <w:pict>
          <v:shape id="_x0000_i1096" type="#_x0000_t75" style="width:111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C5A62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Default=&quot;00EC5A62&quot; wsp:rsidP=&quot;00EC5A62&quot;&gt;&lt;m:oMathPara&gt;&lt;m:oMath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ѕР·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¤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Ђ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48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4" o:title="" chromakey="white"/>
          </v:shape>
        </w:pict>
      </w:r>
      <w:r w:rsidR="00D653E4" w:rsidRPr="00D653E4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Квоз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д.з.дж.ф.з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-798,96+1641,78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842,82</w:t>
      </w:r>
    </w:p>
    <w:p w:rsidR="00C52602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Квоз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д.з.дж.ф.з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-48,04+1635,93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1587,89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5FDE" w:rsidRPr="00375FDE" w:rsidRDefault="00D653E4" w:rsidP="00375FD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53E4">
        <w:rPr>
          <w:rFonts w:ascii="Times New Roman" w:hAnsi="Times New Roman"/>
          <w:sz w:val="28"/>
          <w:szCs w:val="28"/>
          <w:lang w:val="uk-UA"/>
        </w:rPr>
        <w:fldChar w:fldCharType="begin"/>
      </w:r>
      <w:r w:rsidRPr="00D653E4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9D0550">
        <w:rPr>
          <w:position w:val="-12"/>
        </w:rPr>
        <w:pict>
          <v:shape id="_x0000_i1097" type="#_x0000_t75" style="width:38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1F278D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Default=&quot;001F278D&quot; wsp:rsidP=&quot;001F278D&quot;&gt;&lt;m:oMathPara&gt;&lt;m:oMath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—Р°РіР°Р»СЊРЅР°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µР»РёС‡РёРЅР°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ѕСЃРЅРѕРІ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ґР¶РµСЂРµ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С–РЅР°РЅСЃСѓРІР°РЅРЅСЏ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ѕСЃРїРѕРґР°СЂСЃСЊРєРѕС—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5" o:title="" chromakey="white"/>
          </v:shape>
        </w:pict>
      </w:r>
      <w:r w:rsidRPr="00D653E4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Pr="00D653E4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9D0550">
        <w:rPr>
          <w:position w:val="-12"/>
        </w:rPr>
        <w:pict>
          <v:shape id="_x0000_i1098" type="#_x0000_t75" style="width:388.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1F278D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Default=&quot;001F278D&quot; wsp:rsidP=&quot;001F278D&quot;&gt;&lt;m:oMathPara&gt;&lt;m:oMath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—Р°РіР°Р»СЊРЅР°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µР»РёС‡РёРЅР°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ѕСЃРЅРѕРІРЅРёС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ґР¶РµСЂРµ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С–РЅР°РЅСЃСѓРІР°РЅРЅСЏ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ѕСЃРїРѕРґР°СЂСЃСЊРєРѕС—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5" o:title="" chromakey="white"/>
          </v:shape>
        </w:pict>
      </w:r>
      <w:r w:rsidRPr="00D653E4">
        <w:rPr>
          <w:rFonts w:ascii="Times New Roman" w:hAnsi="Times New Roman"/>
          <w:sz w:val="28"/>
          <w:szCs w:val="28"/>
          <w:lang w:val="uk-UA"/>
        </w:rPr>
        <w:fldChar w:fldCharType="end"/>
      </w:r>
      <w:r w:rsidR="00A561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7395F" w:rsidRPr="00A7395F" w:rsidRDefault="00A7395F" w:rsidP="00A7395F">
      <w:pPr>
        <w:widowControl w:val="0"/>
        <w:tabs>
          <w:tab w:val="left" w:pos="993"/>
        </w:tabs>
        <w:spacing w:after="0" w:line="36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9D0550" w:rsidP="00375FDE">
      <w:pPr>
        <w:widowControl w:val="0"/>
        <w:tabs>
          <w:tab w:val="left" w:pos="993"/>
        </w:tabs>
        <w:spacing w:after="0" w:line="36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pict>
          <v:shape id="_x0000_i1099" type="#_x0000_t75" style="width:226.5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26DD7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Pr=&quot;00926DD7&quot; wsp:rsidRDefault=&quot;00926DD7&quot; wsp:rsidP=&quot;00926DD7&quot;&gt;&lt;m:oMathPara&gt;&lt;m:oMathParaPr&gt;&lt;m:jc m:val=&quot;left&quot;/&gt;&lt;/m:oMathParaPr&gt;&lt;m:oMath&gt;&lt;m:d&gt;&lt;m:d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d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љРѕСЃРЅ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ґР¶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&lt;/m:t&gt;&lt;/m:r&gt;&lt;/m:e&gt;&lt;/m:d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=&lt;/m:t&gt;&lt;/m:r&gt;&lt;m:sSub&gt;&lt;m:sSub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љ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ІРѕР·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ґР¶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„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·&lt;/m:t&gt;&lt;/m:r&gt;&lt;/m:sub&gt;&lt;/m:sSub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+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Р¤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Ђ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500&lt;/m:t&gt;&lt;/m:r&gt;&lt;/m:oMath&gt;&lt;/m:oMathPara&gt;&lt;/w:p&gt;&lt;w:sectPr wsp:rsidR=&quot;00000000&quot; wsp:rsidRPr=&quot;00926DD7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6" o:title="" chromakey="white"/>
          </v:shape>
        </w:pic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Косн.дж.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842+208,48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1050,48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Косн.дж.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1587,89+363,54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1951,43</w:t>
      </w:r>
    </w:p>
    <w:p w:rsidR="00A561B7" w:rsidRDefault="00A561B7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Квоз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Запаси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Квоз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д.з.дж.ф.з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Запаси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Косн.дж.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Запаси,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53E4" w:rsidRPr="00D653E4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D653E4" w:rsidRPr="00D653E4">
        <w:rPr>
          <w:rFonts w:ascii="Times New Roman" w:hAnsi="Times New Roman"/>
          <w:sz w:val="28"/>
          <w:szCs w:val="28"/>
          <w:lang w:val="uk-UA"/>
        </w:rPr>
        <w:instrText xml:space="preserve"> QUOTE </w:instrText>
      </w:r>
      <w:r w:rsidR="009D0550">
        <w:rPr>
          <w:position w:val="-11"/>
        </w:rPr>
        <w:pict>
          <v:shape id="_x0000_i1100" type="#_x0000_t75" style="width:9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74FA8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Default=&quot;00774FA8&quot; wsp:rsidP=&quot;00774FA8&quot;&gt;&lt;m:oMathPara&gt;&lt;m:oMath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naryPr&gt;&lt;m:sub/&gt;&lt;m:sup/&gt;&lt;m:e&gt;&lt;m:eqArr&gt;&lt;m:eqArr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eqArr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ЂСЏ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10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вЂ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40&lt;/m:t&gt;&lt;/m:r&gt;&lt;/m:e&gt;&lt;/m:eqAr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7" o:title="" chromakey="white"/>
          </v:shape>
        </w:pict>
      </w:r>
      <w:r w:rsidR="00D653E4" w:rsidRPr="00D653E4">
        <w:rPr>
          <w:rFonts w:ascii="Times New Roman" w:hAnsi="Times New Roman"/>
          <w:sz w:val="28"/>
          <w:szCs w:val="28"/>
          <w:lang w:val="uk-UA"/>
        </w:rPr>
        <w:instrText xml:space="preserve"> </w:instrText>
      </w:r>
      <w:r w:rsidR="00D653E4" w:rsidRPr="00D653E4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9D0550">
        <w:rPr>
          <w:position w:val="-11"/>
        </w:rPr>
        <w:pict>
          <v:shape id="_x0000_i1101" type="#_x0000_t75" style="width:9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C52602&quot;/&gt;&lt;wsp:rsid wsp:val=&quot;00020345&quot;/&gt;&lt;wsp:rsid wsp:val=&quot;000631A2&quot;/&gt;&lt;wsp:rsid wsp:val=&quot;00077D15&quot;/&gt;&lt;wsp:rsid wsp:val=&quot;00086AA6&quot;/&gt;&lt;wsp:rsid wsp:val=&quot;000A14DB&quot;/&gt;&lt;wsp:rsid wsp:val=&quot;000B3504&quot;/&gt;&lt;wsp:rsid wsp:val=&quot;00145B71&quot;/&gt;&lt;wsp:rsid wsp:val=&quot;001C5D13&quot;/&gt;&lt;wsp:rsid wsp:val=&quot;001D19C4&quot;/&gt;&lt;wsp:rsid wsp:val=&quot;002114B0&quot;/&gt;&lt;wsp:rsid wsp:val=&quot;00216E03&quot;/&gt;&lt;wsp:rsid wsp:val=&quot;00241812&quot;/&gt;&lt;wsp:rsid wsp:val=&quot;002620C4&quot;/&gt;&lt;wsp:rsid wsp:val=&quot;00282A18&quot;/&gt;&lt;wsp:rsid wsp:val=&quot;002A389C&quot;/&gt;&lt;wsp:rsid wsp:val=&quot;002A4EFF&quot;/&gt;&lt;wsp:rsid wsp:val=&quot;002B4233&quot;/&gt;&lt;wsp:rsid wsp:val=&quot;002D16D1&quot;/&gt;&lt;wsp:rsid wsp:val=&quot;002F095B&quot;/&gt;&lt;wsp:rsid wsp:val=&quot;002F1D45&quot;/&gt;&lt;wsp:rsid wsp:val=&quot;0030369C&quot;/&gt;&lt;wsp:rsid wsp:val=&quot;00307742&quot;/&gt;&lt;wsp:rsid wsp:val=&quot;00320A26&quot;/&gt;&lt;wsp:rsid wsp:val=&quot;003707F3&quot;/&gt;&lt;wsp:rsid wsp:val=&quot;00375FDE&quot;/&gt;&lt;wsp:rsid wsp:val=&quot;00390973&quot;/&gt;&lt;wsp:rsid wsp:val=&quot;003A4E42&quot;/&gt;&lt;wsp:rsid wsp:val=&quot;003A6E5E&quot;/&gt;&lt;wsp:rsid wsp:val=&quot;003C4B4E&quot;/&gt;&lt;wsp:rsid wsp:val=&quot;00467F70&quot;/&gt;&lt;wsp:rsid wsp:val=&quot;00475882&quot;/&gt;&lt;wsp:rsid wsp:val=&quot;0047597C&quot;/&gt;&lt;wsp:rsid wsp:val=&quot;0047781E&quot;/&gt;&lt;wsp:rsid wsp:val=&quot;00480ACE&quot;/&gt;&lt;wsp:rsid wsp:val=&quot;00490719&quot;/&gt;&lt;wsp:rsid wsp:val=&quot;00491FEA&quot;/&gt;&lt;wsp:rsid wsp:val=&quot;004A0235&quot;/&gt;&lt;wsp:rsid wsp:val=&quot;004A5F1E&quot;/&gt;&lt;wsp:rsid wsp:val=&quot;004C3DF6&quot;/&gt;&lt;wsp:rsid wsp:val=&quot;004C43CC&quot;/&gt;&lt;wsp:rsid wsp:val=&quot;004F13E4&quot;/&gt;&lt;wsp:rsid wsp:val=&quot;005236DB&quot;/&gt;&lt;wsp:rsid wsp:val=&quot;0058263D&quot;/&gt;&lt;wsp:rsid wsp:val=&quot;0059166F&quot;/&gt;&lt;wsp:rsid wsp:val=&quot;005B1F3E&quot;/&gt;&lt;wsp:rsid wsp:val=&quot;005E6369&quot;/&gt;&lt;wsp:rsid wsp:val=&quot;00620D39&quot;/&gt;&lt;wsp:rsid wsp:val=&quot;00634225&quot;/&gt;&lt;wsp:rsid wsp:val=&quot;006476C1&quot;/&gt;&lt;wsp:rsid wsp:val=&quot;006824EB&quot;/&gt;&lt;wsp:rsid wsp:val=&quot;00687B4B&quot;/&gt;&lt;wsp:rsid wsp:val=&quot;006A1853&quot;/&gt;&lt;wsp:rsid wsp:val=&quot;006D0DC8&quot;/&gt;&lt;wsp:rsid wsp:val=&quot;00700C24&quot;/&gt;&lt;wsp:rsid wsp:val=&quot;007065BA&quot;/&gt;&lt;wsp:rsid wsp:val=&quot;0070794C&quot;/&gt;&lt;wsp:rsid wsp:val=&quot;00734DA3&quot;/&gt;&lt;wsp:rsid wsp:val=&quot;00761456&quot;/&gt;&lt;wsp:rsid wsp:val=&quot;0077462C&quot;/&gt;&lt;wsp:rsid wsp:val=&quot;00774FA8&quot;/&gt;&lt;wsp:rsid wsp:val=&quot;007820E2&quot;/&gt;&lt;wsp:rsid wsp:val=&quot;0078593E&quot;/&gt;&lt;wsp:rsid wsp:val=&quot;007878E7&quot;/&gt;&lt;wsp:rsid wsp:val=&quot;007D5862&quot;/&gt;&lt;wsp:rsid wsp:val=&quot;007F2645&quot;/&gt;&lt;wsp:rsid wsp:val=&quot;00810208&quot;/&gt;&lt;wsp:rsid wsp:val=&quot;0081436D&quot;/&gt;&lt;wsp:rsid wsp:val=&quot;00826FE4&quot;/&gt;&lt;wsp:rsid wsp:val=&quot;00830B49&quot;/&gt;&lt;wsp:rsid wsp:val=&quot;00857B98&quot;/&gt;&lt;wsp:rsid wsp:val=&quot;008634D1&quot;/&gt;&lt;wsp:rsid wsp:val=&quot;008678B6&quot;/&gt;&lt;wsp:rsid wsp:val=&quot;008930AF&quot;/&gt;&lt;wsp:rsid wsp:val=&quot;0089550B&quot;/&gt;&lt;wsp:rsid wsp:val=&quot;008B104D&quot;/&gt;&lt;wsp:rsid wsp:val=&quot;008B2CBC&quot;/&gt;&lt;wsp:rsid wsp:val=&quot;008E050D&quot;/&gt;&lt;wsp:rsid wsp:val=&quot;009039C5&quot;/&gt;&lt;wsp:rsid wsp:val=&quot;009116BE&quot;/&gt;&lt;wsp:rsid wsp:val=&quot;00945BC2&quot;/&gt;&lt;wsp:rsid wsp:val=&quot;00981B15&quot;/&gt;&lt;wsp:rsid wsp:val=&quot;009C4F80&quot;/&gt;&lt;wsp:rsid wsp:val=&quot;00A05B06&quot;/&gt;&lt;wsp:rsid wsp:val=&quot;00A12F43&quot;/&gt;&lt;wsp:rsid wsp:val=&quot;00A17112&quot;/&gt;&lt;wsp:rsid wsp:val=&quot;00A522BD&quot;/&gt;&lt;wsp:rsid wsp:val=&quot;00A561B7&quot;/&gt;&lt;wsp:rsid wsp:val=&quot;00A7395F&quot;/&gt;&lt;wsp:rsid wsp:val=&quot;00AC32D3&quot;/&gt;&lt;wsp:rsid wsp:val=&quot;00AD206E&quot;/&gt;&lt;wsp:rsid wsp:val=&quot;00B066B5&quot;/&gt;&lt;wsp:rsid wsp:val=&quot;00B11AEA&quot;/&gt;&lt;wsp:rsid wsp:val=&quot;00B221DB&quot;/&gt;&lt;wsp:rsid wsp:val=&quot;00B35C4B&quot;/&gt;&lt;wsp:rsid wsp:val=&quot;00B4411C&quot;/&gt;&lt;wsp:rsid wsp:val=&quot;00B463B8&quot;/&gt;&lt;wsp:rsid wsp:val=&quot;00B52001&quot;/&gt;&lt;wsp:rsid wsp:val=&quot;00B52E60&quot;/&gt;&lt;wsp:rsid wsp:val=&quot;00B66C40&quot;/&gt;&lt;wsp:rsid wsp:val=&quot;00B742DE&quot;/&gt;&lt;wsp:rsid wsp:val=&quot;00BB47F9&quot;/&gt;&lt;wsp:rsid wsp:val=&quot;00BC07AA&quot;/&gt;&lt;wsp:rsid wsp:val=&quot;00BD331E&quot;/&gt;&lt;wsp:rsid wsp:val=&quot;00C250C6&quot;/&gt;&lt;wsp:rsid wsp:val=&quot;00C4569A&quot;/&gt;&lt;wsp:rsid wsp:val=&quot;00C52602&quot;/&gt;&lt;wsp:rsid wsp:val=&quot;00C53968&quot;/&gt;&lt;wsp:rsid wsp:val=&quot;00C66C29&quot;/&gt;&lt;wsp:rsid wsp:val=&quot;00C70D4F&quot;/&gt;&lt;wsp:rsid wsp:val=&quot;00C90210&quot;/&gt;&lt;wsp:rsid wsp:val=&quot;00CB0299&quot;/&gt;&lt;wsp:rsid wsp:val=&quot;00CE084A&quot;/&gt;&lt;wsp:rsid wsp:val=&quot;00CE0B5D&quot;/&gt;&lt;wsp:rsid wsp:val=&quot;00D0381E&quot;/&gt;&lt;wsp:rsid wsp:val=&quot;00D178F9&quot;/&gt;&lt;wsp:rsid wsp:val=&quot;00D17FAA&quot;/&gt;&lt;wsp:rsid wsp:val=&quot;00D52E2D&quot;/&gt;&lt;wsp:rsid wsp:val=&quot;00D653E4&quot;/&gt;&lt;wsp:rsid wsp:val=&quot;00DB304C&quot;/&gt;&lt;wsp:rsid wsp:val=&quot;00DC4105&quot;/&gt;&lt;wsp:rsid wsp:val=&quot;00E12302&quot;/&gt;&lt;wsp:rsid wsp:val=&quot;00E20865&quot;/&gt;&lt;wsp:rsid wsp:val=&quot;00E547D2&quot;/&gt;&lt;wsp:rsid wsp:val=&quot;00E86B11&quot;/&gt;&lt;wsp:rsid wsp:val=&quot;00E946C0&quot;/&gt;&lt;wsp:rsid wsp:val=&quot;00EB0E8D&quot;/&gt;&lt;wsp:rsid wsp:val=&quot;00EB2AE8&quot;/&gt;&lt;wsp:rsid wsp:val=&quot;00EB7913&quot;/&gt;&lt;wsp:rsid wsp:val=&quot;00ED013F&quot;/&gt;&lt;wsp:rsid wsp:val=&quot;00EF5ADE&quot;/&gt;&lt;wsp:rsid wsp:val=&quot;00F11530&quot;/&gt;&lt;wsp:rsid wsp:val=&quot;00F140D4&quot;/&gt;&lt;wsp:rsid wsp:val=&quot;00F17A39&quot;/&gt;&lt;wsp:rsid wsp:val=&quot;00F251FA&quot;/&gt;&lt;wsp:rsid wsp:val=&quot;00F42FAE&quot;/&gt;&lt;wsp:rsid wsp:val=&quot;00F5296B&quot;/&gt;&lt;wsp:rsid wsp:val=&quot;00F65EF8&quot;/&gt;&lt;wsp:rsid wsp:val=&quot;00FB7785&quot;/&gt;&lt;wsp:rsid wsp:val=&quot;00FD13FE&quot;/&gt;&lt;wsp:rsid wsp:val=&quot;00FF5B49&quot;/&gt;&lt;/wsp:rsids&gt;&lt;/w:docPr&gt;&lt;w:body&gt;&lt;wx:sect&gt;&lt;w:p wsp:rsidR=&quot;00000000&quot; wsp:rsidRDefault=&quot;00774FA8&quot; wsp:rsidP=&quot;00774FA8&quot;&gt;&lt;m:oMathPara&gt;&lt;m:oMath&gt;&lt;m:nary&gt;&lt;m:naryPr&gt;&lt;m:chr m:val=&quot;в€‘&quot;/&gt;&lt;m:limLoc m:val=&quot;undOvr&quot;/&gt;&lt;m:subHide m:val=&quot;1&quot;/&gt;&lt;m:supHide m:val=&quot;1&quot;/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naryPr&gt;&lt;m:sub/&gt;&lt;m:sup/&gt;&lt;m:e&gt;&lt;m:eqArr&gt;&lt;m:eqArrPr&gt;&lt;m:ctrlPr&gt;&lt;w:rPr&gt;&lt;w:rFonts w:ascii=&quot;Cambria Math&quot; w:fareast=&quot;Times New Roman&quot; w:h-ansi=&quot;Cambria Math&quot;/&gt;&lt;wx:font wx:val=&quot;Cambria Math&quot;/&gt;&lt;w:sz w:val=&quot;28&quot;/&gt;&lt;w:lang w:val=&quot;UK&quot;/&gt;&lt;/w:rPr&gt;&lt;/m:ctrlPr&gt;&lt;/m:eqArrPr&gt;&lt;m:e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СЂСЏРґ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.100&lt;/m:t&gt;&lt;/m:r&gt;&lt;m:r&gt;&lt;m:rPr&gt;&lt;m:sty m:val=&quot;p&quot;/&gt;&lt;/m:rPr&gt;&lt;w:rPr&gt;&lt;w:rFonts w:ascii=&quot;Cambria Math&quot; w:h-ansi=&quot;Times New Roman&quot;/&gt;&lt;wx:font wx:val=&quot;Times New Roman&quot;/&gt;&lt;w:sz w:val=&quot;28&quot;/&gt;&lt;w:sz-cs w:val=&quot;28&quot;/&gt;&lt;w:lang w:val=&quot;UK&quot;/&gt;&lt;/w:rPr&gt;&lt;m:t&gt;вЂ¦&lt;/m:t&gt;&lt;/m:r&gt;&lt;m:r&gt;&lt;m:rPr&gt;&lt;m:sty m:val=&quot;p&quot;/&gt;&lt;/m:rPr&gt;&lt;w:rPr&gt;&lt;w:rFonts w:ascii=&quot;Cambria Math&quot; w:h-ansi=&quot;Times New Roman&quot;/&gt;&lt;wx:font wx:val=&quot;Cambria Math&quot;/&gt;&lt;w:sz w:val=&quot;28&quot;/&gt;&lt;w:sz-cs w:val=&quot;28&quot;/&gt;&lt;w:lang w:val=&quot;UK&quot;/&gt;&lt;/w:rPr&gt;&lt;m:t&gt;140&lt;/m:t&gt;&lt;/m:r&gt;&lt;/m:e&gt;&lt;/m:eqAr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77" o:title="" chromakey="white"/>
          </v:shape>
        </w:pict>
      </w:r>
      <w:r w:rsidR="00D653E4" w:rsidRPr="00D653E4">
        <w:rPr>
          <w:rFonts w:ascii="Times New Roman" w:hAnsi="Times New Roman"/>
          <w:sz w:val="28"/>
          <w:szCs w:val="28"/>
          <w:lang w:val="uk-UA"/>
        </w:rPr>
        <w:fldChar w:fldCharType="end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періоду: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-798,96-1323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-2121,96&lt;0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842-1323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-481&lt;0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1050,48-1323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-275,52&lt;0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S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(0;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;0)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періоду: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-48,04-1779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-1827,04&lt;0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1587,89-1779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-191,11531644&lt;0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1951,43-1779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172,43&gt;0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S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(0;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;1)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Зробивши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зробити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висновок,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початок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кінець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нестійкий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стан.</w:t>
      </w:r>
    </w:p>
    <w:p w:rsidR="00C52602" w:rsidRPr="00A561B7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561B7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61B7">
        <w:rPr>
          <w:rFonts w:ascii="Times New Roman" w:hAnsi="Times New Roman"/>
          <w:sz w:val="28"/>
          <w:szCs w:val="28"/>
          <w:lang w:val="uk-UA"/>
        </w:rPr>
        <w:t>3.5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Визначення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операційного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та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фінансового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циклу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Операційний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цикл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дебіторської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заборгованості.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запасів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становить:</w:t>
      </w:r>
    </w:p>
    <w:p w:rsidR="00A561B7" w:rsidRDefault="00A561B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зап.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1258,6Т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зап.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=1140,6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дебіторської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</w:p>
    <w:p w:rsidR="00375FDE" w:rsidRDefault="00375FDE">
      <w:pPr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об.д.з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2,21К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об.д.з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2,02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Звідси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визначаємо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деб.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заборгованості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д.з.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поч.</w:t>
      </w:r>
      <w:r w:rsidRPr="00A7395F">
        <w:rPr>
          <w:rFonts w:ascii="Times New Roman" w:hAnsi="Times New Roman"/>
          <w:sz w:val="28"/>
          <w:szCs w:val="28"/>
          <w:lang w:val="uk-UA"/>
        </w:rPr>
        <w:t>=365/2,21=165,16Т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д.з.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кін.</w:t>
      </w:r>
      <w:r w:rsidRPr="00A7395F">
        <w:rPr>
          <w:rFonts w:ascii="Times New Roman" w:hAnsi="Times New Roman"/>
          <w:sz w:val="28"/>
          <w:szCs w:val="28"/>
          <w:lang w:val="uk-UA"/>
        </w:rPr>
        <w:t>=365/2,02=180,7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Отже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цикл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дорівнює:</w:t>
      </w:r>
    </w:p>
    <w:p w:rsidR="00A561B7" w:rsidRDefault="00A561B7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ОЦ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1258,6+165,16=1423,76ОЦ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1140,6+180,7=1321,3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цикл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різниці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циклом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кредиторської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заборгованості.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Коефіцієнт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р.040/Ф1(р530гр3+р.530гр4)/2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кз.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290/((215,64+210,64)/2)=1,36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К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кз.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320/((215,64+210,64)/2)=1,5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Звідси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період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заборгованості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дорівнює: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к.з.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365/1,36=268Т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об.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к.з.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365/1,5=243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цикл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дорівнює: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ФЦ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1423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268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1155ФЦ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1321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243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1078</w:t>
      </w:r>
    </w:p>
    <w:p w:rsidR="00A561B7" w:rsidRDefault="00A561B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Отримані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незадовільними,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оскільки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цикли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занадто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великі.</w:t>
      </w:r>
    </w:p>
    <w:p w:rsidR="00375FDE" w:rsidRDefault="00375FDE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C52602" w:rsidRPr="00A561B7" w:rsidRDefault="00C52602" w:rsidP="00A7395F">
      <w:pPr>
        <w:pStyle w:val="a3"/>
        <w:widowControl w:val="0"/>
        <w:numPr>
          <w:ilvl w:val="1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561B7">
        <w:rPr>
          <w:rFonts w:ascii="Times New Roman" w:hAnsi="Times New Roman"/>
          <w:sz w:val="28"/>
          <w:szCs w:val="28"/>
          <w:lang w:val="uk-UA"/>
        </w:rPr>
        <w:t>Оцінка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ймовірності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банкрутства</w:t>
      </w:r>
      <w:r w:rsidR="00A7395F" w:rsidRPr="00A561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61B7">
        <w:rPr>
          <w:rFonts w:ascii="Times New Roman" w:hAnsi="Times New Roman"/>
          <w:sz w:val="28"/>
          <w:szCs w:val="28"/>
          <w:lang w:val="uk-UA"/>
        </w:rPr>
        <w:t>підприємства</w:t>
      </w:r>
    </w:p>
    <w:p w:rsidR="00375FDE" w:rsidRPr="00A561B7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Проаналізуємо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ймовірність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банкрутства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наступних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моделей.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Інтегральна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модель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Альтмана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(1968р.)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вигляд: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A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1,2Х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1,4Х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3,3Х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0,6Х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1,0Х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5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нерозподілений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ринкова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вартість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позиковий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=обсяг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продажу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(виручка)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активів.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A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1,2*0,41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1,4*0,06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3,3*0,16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0,6*0,67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1,0*0,28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1,78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A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1,2*0,43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1,4*0,07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3,3*0,11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0,6*0,68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1,0*0,23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1,62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Граничне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дорівнює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2,675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Модель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Ліса: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0,063Х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0,092Х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0,057Х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0,001Х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нерозподілений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власний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Л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0,063*0,41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0,092*0,17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0,057*0,06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0,001*0,42=0,05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Л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0,063*0,43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0,092*0,13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0,057*0,07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0,001*0,44=0,04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Граничне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0,037,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тобто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задовільний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платоспроможним.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Тест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ймовірність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банкрутства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Таффлера: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0,03Х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0,13Х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0,18Х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0,16Х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короткострокові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зобов`язання;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оборотні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короткострокові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зобов`язання;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короткострокові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зобов`язання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виручка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Т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0,03*0,89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0,13*2,12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0,18*0,2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0,16*0,28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0,38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Т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кін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0,03*0,56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0,13*1,85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0,18*0,23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0,16*0,23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0,34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більшим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0,3,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зробити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висновок,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добрі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довгострокові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перспективи.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Модель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Спрінгейта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вигляд: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1,03Х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3,07Х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0,66Х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0,4Х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робочий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активи;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сплати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відсотків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податку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активи;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прибуток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сплати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відсотків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податку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короткострокові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зобов`язання;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Х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виручка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сума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активів;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С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1,03*0,41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3,07*0,16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0,66*0,84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0,4*0,28=1,6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Z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С</w:t>
      </w:r>
      <w:r w:rsidR="00A7395F"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vertAlign w:val="subscript"/>
          <w:lang w:val="uk-UA"/>
        </w:rPr>
        <w:t>поч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=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1,03*0,43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3,07*0,12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0,66*0,5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+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0,4*0,23=1,22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Отримані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показника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перевищують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граничне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значення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(0,862),з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зробити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висновок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добрий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ВИСНОВКИ: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проведених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можемо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зробити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висновки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задовільний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розраховані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коефіцієнти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говорять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загальну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платоспроможність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ймовірності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банкрутства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основі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моделей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показав,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добрі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перспективи.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ВИСНОВКИ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Написавши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дану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роботу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можна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дійти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висновку,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охоплюють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некомерційні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кредити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країнами,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відносини,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пов’язані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будівництвом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об’єктів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кордоном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наданням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допомоги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країнам.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iCs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iCs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являють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собою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систему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механізмів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грошових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вимог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зобов'язань,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виникають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різними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суб'єктами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відносин.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Еволюція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відображає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розвиток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відносин,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систем,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числі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послуг.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Необхідність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обумовлена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міжнародною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торгівлею,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вивозом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капіталу,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міграційними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процесами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здійснюються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переважно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безготівковій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формі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шляхом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записів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банківських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рахунках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уповноважених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банках,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безпосередньо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пов'язані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обміном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ринках.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Основними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суб’єктами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є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експортери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імпортери,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також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обслуговують.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Усі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вони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вступають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відповідні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відносини,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які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пов’язані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рухом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товаророзпорядчих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документів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операційним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оформленням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платежів.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При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цьому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провідна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роль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розрахунках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належить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банкам.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Ступінь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впливу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залежить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масштабів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зв’язків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країни,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купівельної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спроможності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національної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валюти,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спеціалізації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універсалізації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банків,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їх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фінансового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стану,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ділової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репутації,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мережі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філій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кореспондентських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рахунків.</w:t>
      </w:r>
    </w:p>
    <w:p w:rsidR="00C52602" w:rsidRPr="00A7395F" w:rsidRDefault="00C52602" w:rsidP="00A7395F">
      <w:pPr>
        <w:pStyle w:val="2"/>
        <w:widowControl w:val="0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практиці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міжнародних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розрахунків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існує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три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способи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платежу: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готівкою;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авансовий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платіж;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платіж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у</w:t>
      </w:r>
      <w:r w:rsidR="00A7395F">
        <w:rPr>
          <w:b w:val="0"/>
          <w:sz w:val="28"/>
          <w:szCs w:val="28"/>
          <w:lang w:val="uk-UA"/>
        </w:rPr>
        <w:t xml:space="preserve"> </w:t>
      </w:r>
      <w:r w:rsidRPr="00A7395F">
        <w:rPr>
          <w:b w:val="0"/>
          <w:sz w:val="28"/>
          <w:szCs w:val="28"/>
          <w:lang w:val="uk-UA"/>
        </w:rPr>
        <w:t>кредит.</w:t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br w:type="page"/>
      </w:r>
    </w:p>
    <w:p w:rsidR="00375FDE" w:rsidRDefault="00375FDE" w:rsidP="00375FD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СПИСОК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ВИКОРИСТАНОЇ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ЛІТЕРАТУРИ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5FDE" w:rsidRPr="00A7395F" w:rsidRDefault="00375FDE" w:rsidP="00375FDE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“Про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бухгалтерський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облік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звітність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Україні”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16.07.1999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№996-ХІV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змінами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доповненнями,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внесеними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Законами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11.05.2000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№1707-ІІІ,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08.06.2000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№1829-ІІ.</w:t>
      </w:r>
    </w:p>
    <w:p w:rsidR="00375FDE" w:rsidRPr="00A7395F" w:rsidRDefault="00375FDE" w:rsidP="00375FDE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Бандурка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О.М.,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Коробов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М.Я.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Підруч.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студ.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вищ.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закл.,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освітньо-проф.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спеціаліста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спец."Фінанси",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"Банківська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справа":"Облік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аудит".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2.вид.,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перероб.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Либідь,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384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Білик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М.Д.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„Сутність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оцінка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2005.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№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Ізмайлова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посіб.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МАУП,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152</w:t>
      </w:r>
    </w:p>
    <w:p w:rsidR="00375FDE" w:rsidRPr="00A7395F" w:rsidRDefault="00375FDE" w:rsidP="00375FDE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Зятковський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посіб.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студ.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спец.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вищ.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закл..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Кондор,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364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7.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Коробов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М.Я.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Фінансово-економічний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с.267.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8.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Лахтіонова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Л.А.Фінансовий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господарювання: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Монографія.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КНЕУ,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2001.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9.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Мец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В.О.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Навч.посіб.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Вища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школа,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2003.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Онисько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С.М.,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Марич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П.М.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Підручник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вищих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освіти.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2-ге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доповнене.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Львів: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„Магнолія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Плюс”,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367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Попович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П.Я.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суб’єктів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господарювання.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Підручник.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Тернопіль: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думка,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454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Савицька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Посіб.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Знання,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2004.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Слав’юк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посібник.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Київ: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ЦУК,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460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Стасюк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Р.А.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посібник.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Херсон: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Олді-плюс,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480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15.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Терещенко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О.О.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суб”єктів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господарювання: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Навч.посібник.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КНЕУ,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554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Підручник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авт.кол.і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науки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ред.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проф.А.М.Поддєрьогін.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3-тє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перероб.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КНЕУ,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2004.546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17.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Шиян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Д.В.,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Строченко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аналіз: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посібник.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А.С.К.,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229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18.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валютно-фінансові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валютно-кредитні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відносини.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Конспект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лекцій.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1995.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19.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Новицький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В.Є.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економічна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України: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Підручник.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КНЕУ,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948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20.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Румянцев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А.П.,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Румянцева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Н.С.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економіка: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Короткий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конспект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лекцій.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МАУП,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1999.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21.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Світова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економіка: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підручник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/А.С.Філіпенко,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Рогач,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О.І.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Шнирков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Либідь,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2000.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982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22.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зовнішньоекономічною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діяльністю: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Навч.посібник: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2-ге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вид.,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випр.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доп.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заг.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ред.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Кредісова.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ВІРА-Р,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552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Pr="00A7395F" w:rsidRDefault="00375FDE" w:rsidP="00375FDE">
      <w:pPr>
        <w:widowControl w:val="0"/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23.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Циганкова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Т.М.,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Петрашко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Л.П.,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Кальченко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Т.В.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Міжнародна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торгівля: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посібник.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К.: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КНЕУ,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2001.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488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с.</w:t>
      </w:r>
    </w:p>
    <w:p w:rsidR="00375FDE" w:rsidRDefault="00375FD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ДОДАТОК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А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Баланс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підприємства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6"/>
        <w:gridCol w:w="967"/>
        <w:gridCol w:w="1264"/>
        <w:gridCol w:w="1474"/>
      </w:tblGrid>
      <w:tr w:rsidR="00C52602" w:rsidRPr="00D653E4" w:rsidTr="00D653E4">
        <w:trPr>
          <w:trHeight w:val="1035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Код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початок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звітного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кінець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звітного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періоду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І.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Необоротні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Нематеріальні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активи: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Залишкова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Первісна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Накопичена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Незавершене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будівництво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Основні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засоби: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Залишкова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2040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2353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Первісна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2481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2841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441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488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Довгострокові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біологічні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активи: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справедлива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(залишкова)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первісна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накопичена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Довгострокові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інвестиції: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125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які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обліковуються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методом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участі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капіталі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інших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підприємств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інвестиції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</w:tr>
      <w:tr w:rsidR="00C52602" w:rsidRPr="00D653E4" w:rsidTr="00D653E4">
        <w:trPr>
          <w:trHeight w:val="299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Довгострокова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дебіторська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заборгованість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245</w:t>
            </w:r>
          </w:p>
        </w:tc>
      </w:tr>
      <w:tr w:rsidR="00C52602" w:rsidRPr="00D653E4" w:rsidTr="00D653E4">
        <w:trPr>
          <w:trHeight w:val="33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Справедлива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(залишкова)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інвестиційної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нерухомості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167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первісна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інвестиційної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нерухомості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знос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інвестиційної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нерухомості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Відстрочені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податкові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Гудвіл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необоротні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Усього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розділом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80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2714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2988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ІІ.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Оборотні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Запаси: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виробничі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запаси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548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718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Поточні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біологічні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незавершене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виробництво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385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готова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продукція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147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Товари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Векселі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одержані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380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425</w:t>
            </w:r>
          </w:p>
        </w:tc>
      </w:tr>
      <w:tr w:rsidR="00C52602" w:rsidRPr="00D653E4" w:rsidTr="00D653E4">
        <w:trPr>
          <w:trHeight w:val="276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Дебіторська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заборгованість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товари,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роботи,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послуги: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чиста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реалізаційна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первісна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резерв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сумнівних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боргів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</w:tr>
      <w:tr w:rsidR="00C52602" w:rsidRPr="00D653E4" w:rsidTr="00D653E4">
        <w:trPr>
          <w:trHeight w:val="194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Дебіторська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заборгованість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розрахунками: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бюджетом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виданими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авансами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нарахованих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190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із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внутрішніх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розрахунків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</w:tr>
      <w:tr w:rsidR="00C52602" w:rsidRPr="00D653E4" w:rsidTr="00D653E4">
        <w:trPr>
          <w:trHeight w:val="339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поточна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дебіторська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заборгованість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Поточні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інвестиції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220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Грошові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кошти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їх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еквіваленти: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національній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валюті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182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іноземній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валюті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оборотні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активи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250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Усього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розділом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260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2153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2584</w:t>
            </w:r>
          </w:p>
        </w:tc>
      </w:tr>
      <w:tr w:rsidR="00C52602" w:rsidRPr="00D653E4" w:rsidTr="00D653E4">
        <w:trPr>
          <w:trHeight w:val="270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ІІІ.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Витрати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майбутніх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періодів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270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345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487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IV.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Необоротні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активи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групи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вибуття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275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Пасив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Код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початок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звітного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періоду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кінець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звітного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періоду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І.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Власний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капітал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Статутний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капітал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1407,24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1635,93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Пайовий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капітал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310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Додатковий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вкладений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капітал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320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364,84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424,13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Інший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додатковий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капітал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330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Резервний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капітал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340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104,24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181,77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Нерозподілений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прибуток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(непокритий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збиток)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312,72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424,13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Неоплачений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капітал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)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Вилучений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капітал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370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(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)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Усього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розділом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380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2189,04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2665,96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ІІ.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Забезпечення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таких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витрат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платежів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Забезпечення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виплат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персоналу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364,84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363,54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Усього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розділом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430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364,84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363,54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ІІІ.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Довгострокові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зобов’язання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Довгострокові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кредити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банків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440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964,22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1030,03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довгострокові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зобов’язання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450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364,84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181,77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Відстрочені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податкові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зобов’язання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460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довгострокові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зобов’язання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470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312,72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424,13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Усього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розділом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ІІІ.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480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1641,78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1635,93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ІV.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Поточні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зобов’язання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Короткострокові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кредити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банків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208,48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363,54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Поточна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заборгованість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довгостроковими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зобов’язаннями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510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Векселі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видані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520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260,6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181,77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Кредиторська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заборгованість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товари,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роботи,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послуги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530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234,54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424,13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Поточні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зобов’язання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розрахунками: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одержаних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авансів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540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бюджетом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550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позабюджетних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платежів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560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208,48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363,54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страхування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570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оплати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праці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580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учасниками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590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із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внутрішніх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розрахунків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104,24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60,59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Зобов'язання,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пов'язані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необоротними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активами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та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групами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вибуття,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утримуваними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для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продажу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605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поточні</w:t>
            </w:r>
            <w:r w:rsidR="00A7395F"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зобов’язання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610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Усього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розділом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ІV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620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1016,34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1393,57</w:t>
            </w:r>
          </w:p>
        </w:tc>
      </w:tr>
      <w:tr w:rsidR="00C52602" w:rsidRPr="00D653E4" w:rsidTr="00D653E4">
        <w:trPr>
          <w:trHeight w:val="298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V.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Доходи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майбутніх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періодів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630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412"/>
        </w:trPr>
        <w:tc>
          <w:tcPr>
            <w:tcW w:w="5866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640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5212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6059</w:t>
            </w:r>
          </w:p>
        </w:tc>
      </w:tr>
    </w:tbl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br w:type="page"/>
      </w: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ДОДАТОК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Б</w:t>
      </w:r>
    </w:p>
    <w:p w:rsidR="00375FDE" w:rsidRDefault="00375FDE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7395F">
        <w:rPr>
          <w:rFonts w:ascii="Times New Roman" w:hAnsi="Times New Roman"/>
          <w:sz w:val="28"/>
          <w:szCs w:val="28"/>
          <w:lang w:val="uk-UA"/>
        </w:rPr>
        <w:t>Звіт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про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фінансові</w:t>
      </w:r>
      <w:r w:rsidR="00A73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395F">
        <w:rPr>
          <w:rFonts w:ascii="Times New Roman" w:hAnsi="Times New Roman"/>
          <w:sz w:val="28"/>
          <w:szCs w:val="28"/>
          <w:lang w:val="uk-UA"/>
        </w:rPr>
        <w:t>результати</w:t>
      </w:r>
    </w:p>
    <w:tbl>
      <w:tblPr>
        <w:tblW w:w="9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3"/>
        <w:gridCol w:w="967"/>
        <w:gridCol w:w="1180"/>
        <w:gridCol w:w="1957"/>
      </w:tblGrid>
      <w:tr w:rsidR="00C52602" w:rsidRPr="00D653E4" w:rsidTr="00D653E4">
        <w:trPr>
          <w:trHeight w:val="78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Стаття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Код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рядка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звітний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період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попередній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період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</w:t>
            </w:r>
          </w:p>
        </w:tc>
      </w:tr>
      <w:tr w:rsidR="00C52602" w:rsidRPr="00D653E4" w:rsidTr="00D653E4">
        <w:trPr>
          <w:trHeight w:val="301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(виручка)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реалізації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продукції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(товарів,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робіт,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послуг)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1388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1484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Податок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додану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вартість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231,33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247,33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Акцизний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збір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вирахування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доходу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525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Чистий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(виручка)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реалізації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продукції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(товарів,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робіт,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послуг)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1122,67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1188,67</w:t>
            </w:r>
          </w:p>
        </w:tc>
      </w:tr>
      <w:tr w:rsidR="00C52602" w:rsidRPr="00D653E4" w:rsidTr="00D653E4">
        <w:trPr>
          <w:trHeight w:val="351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Собівартість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реалізованої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продукції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(товарів,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робіт,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послуг)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341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281</w:t>
            </w:r>
          </w:p>
        </w:tc>
      </w:tr>
      <w:tr w:rsidR="00C52602" w:rsidRPr="00D653E4" w:rsidTr="00D653E4">
        <w:trPr>
          <w:trHeight w:val="255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Валовий: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781,67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907,67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операційні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Адміністративні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збут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операційні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</w:tr>
      <w:tr w:rsidR="00C52602" w:rsidRPr="00D653E4" w:rsidTr="00D653E4">
        <w:trPr>
          <w:trHeight w:val="506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операційної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діяльності:</w:t>
            </w:r>
          </w:p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690,67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817,67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участі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капіталі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Втрати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участі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капіталі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Інші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83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Прибуток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(збиток)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впливу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інфляції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монетарні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статті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165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51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звичайної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діяльності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до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оподаткування: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700,67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858,67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175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323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Податок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прибуток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звичайної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175,17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214,67</w:t>
            </w:r>
          </w:p>
        </w:tc>
      </w:tr>
      <w:tr w:rsidR="00C52602" w:rsidRPr="00D653E4" w:rsidTr="00D653E4">
        <w:trPr>
          <w:trHeight w:val="347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податку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прибуток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звичайної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діяльності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185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344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Фінансові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від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звичайної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діяльності:</w:t>
            </w:r>
          </w:p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190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525,50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644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55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Надзвичайні: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доходи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витрати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205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Податки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надзвичайного</w:t>
            </w:r>
            <w:r w:rsidR="00A7395F" w:rsidRPr="00D653E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прибутку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C52602" w:rsidRPr="00D653E4" w:rsidTr="00D653E4">
        <w:trPr>
          <w:trHeight w:val="255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Чистий:</w:t>
            </w:r>
            <w:r w:rsidR="00A7395F"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D653E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220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525,50</w:t>
            </w: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644</w:t>
            </w:r>
          </w:p>
        </w:tc>
      </w:tr>
      <w:tr w:rsidR="00C52602" w:rsidRPr="00D653E4" w:rsidTr="00D653E4">
        <w:trPr>
          <w:trHeight w:val="270"/>
        </w:trPr>
        <w:tc>
          <w:tcPr>
            <w:tcW w:w="5453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653E4">
              <w:rPr>
                <w:rFonts w:ascii="Times New Roman" w:hAnsi="Times New Roman"/>
                <w:sz w:val="20"/>
                <w:szCs w:val="20"/>
                <w:lang w:val="uk-UA"/>
              </w:rPr>
              <w:t>225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57" w:type="dxa"/>
            <w:shd w:val="clear" w:color="auto" w:fill="auto"/>
            <w:vAlign w:val="center"/>
            <w:hideMark/>
          </w:tcPr>
          <w:p w:rsidR="00C52602" w:rsidRPr="00D653E4" w:rsidRDefault="00C52602" w:rsidP="00D653E4">
            <w:pPr>
              <w:widowControl w:val="0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C52602" w:rsidRPr="00A7395F" w:rsidRDefault="00C52602" w:rsidP="00A7395F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sectPr w:rsidR="00C52602" w:rsidRPr="00A7395F" w:rsidSect="00A7395F">
      <w:footerReference w:type="default" r:id="rId7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DE8" w:rsidRDefault="00123DE8" w:rsidP="00B66C40">
      <w:pPr>
        <w:spacing w:after="0" w:line="240" w:lineRule="auto"/>
      </w:pPr>
      <w:r>
        <w:separator/>
      </w:r>
    </w:p>
  </w:endnote>
  <w:endnote w:type="continuationSeparator" w:id="0">
    <w:p w:rsidR="00123DE8" w:rsidRDefault="00123DE8" w:rsidP="00B6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5F" w:rsidRDefault="00D653E4">
    <w:pPr>
      <w:pStyle w:val="a9"/>
      <w:jc w:val="right"/>
    </w:pPr>
    <w:r>
      <w:rPr>
        <w:noProof/>
      </w:rPr>
      <w:t>2</w:t>
    </w:r>
  </w:p>
  <w:p w:rsidR="00A7395F" w:rsidRDefault="00A739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DE8" w:rsidRDefault="00123DE8" w:rsidP="00B66C40">
      <w:pPr>
        <w:spacing w:after="0" w:line="240" w:lineRule="auto"/>
      </w:pPr>
      <w:r>
        <w:separator/>
      </w:r>
    </w:p>
  </w:footnote>
  <w:footnote w:type="continuationSeparator" w:id="0">
    <w:p w:rsidR="00123DE8" w:rsidRDefault="00123DE8" w:rsidP="00B66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217B3"/>
    <w:multiLevelType w:val="multilevel"/>
    <w:tmpl w:val="A6C440E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26E83957"/>
    <w:multiLevelType w:val="multilevel"/>
    <w:tmpl w:val="017C599A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3F086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7D27448"/>
    <w:multiLevelType w:val="multilevel"/>
    <w:tmpl w:val="A486249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cs="Times New Roman" w:hint="default"/>
      </w:rPr>
    </w:lvl>
  </w:abstractNum>
  <w:abstractNum w:abstractNumId="4">
    <w:nsid w:val="5251374E"/>
    <w:multiLevelType w:val="multilevel"/>
    <w:tmpl w:val="DF7C55F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5636134B"/>
    <w:multiLevelType w:val="hybridMultilevel"/>
    <w:tmpl w:val="DF22D812"/>
    <w:lvl w:ilvl="0" w:tplc="9892A8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7B17BC8"/>
    <w:multiLevelType w:val="hybridMultilevel"/>
    <w:tmpl w:val="AC56D5D2"/>
    <w:lvl w:ilvl="0" w:tplc="108E5D8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CCE0B91"/>
    <w:multiLevelType w:val="hybridMultilevel"/>
    <w:tmpl w:val="744852EC"/>
    <w:lvl w:ilvl="0" w:tplc="108E5D80">
      <w:start w:val="2"/>
      <w:numFmt w:val="bullet"/>
      <w:lvlText w:val="-"/>
      <w:lvlJc w:val="left"/>
      <w:pPr>
        <w:ind w:left="116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8">
    <w:nsid w:val="66E642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15F1F16"/>
    <w:multiLevelType w:val="multilevel"/>
    <w:tmpl w:val="EF1EEA1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10">
    <w:nsid w:val="73C80AC1"/>
    <w:multiLevelType w:val="multilevel"/>
    <w:tmpl w:val="6AF8041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79E4657A"/>
    <w:multiLevelType w:val="multilevel"/>
    <w:tmpl w:val="EF1EEA1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12">
    <w:nsid w:val="7D644411"/>
    <w:multiLevelType w:val="multilevel"/>
    <w:tmpl w:val="EDB4D1A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602"/>
    <w:rsid w:val="00020345"/>
    <w:rsid w:val="000631A2"/>
    <w:rsid w:val="00077D15"/>
    <w:rsid w:val="00086AA6"/>
    <w:rsid w:val="000A14DB"/>
    <w:rsid w:val="000B3504"/>
    <w:rsid w:val="00123DE8"/>
    <w:rsid w:val="00145B71"/>
    <w:rsid w:val="001C5D13"/>
    <w:rsid w:val="001D19C4"/>
    <w:rsid w:val="001E73D6"/>
    <w:rsid w:val="002114B0"/>
    <w:rsid w:val="00216E03"/>
    <w:rsid w:val="00241812"/>
    <w:rsid w:val="002620C4"/>
    <w:rsid w:val="00282A18"/>
    <w:rsid w:val="002A389C"/>
    <w:rsid w:val="002A4EFF"/>
    <w:rsid w:val="002B4233"/>
    <w:rsid w:val="002D16D1"/>
    <w:rsid w:val="002F095B"/>
    <w:rsid w:val="002F1D45"/>
    <w:rsid w:val="0030369C"/>
    <w:rsid w:val="00307742"/>
    <w:rsid w:val="00320A26"/>
    <w:rsid w:val="003707F3"/>
    <w:rsid w:val="00375FDE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104D"/>
    <w:rsid w:val="008B2CBC"/>
    <w:rsid w:val="008E050D"/>
    <w:rsid w:val="009039C5"/>
    <w:rsid w:val="009116BE"/>
    <w:rsid w:val="00945BC2"/>
    <w:rsid w:val="00981B15"/>
    <w:rsid w:val="009C4F80"/>
    <w:rsid w:val="009D0550"/>
    <w:rsid w:val="00A05B06"/>
    <w:rsid w:val="00A12F43"/>
    <w:rsid w:val="00A17112"/>
    <w:rsid w:val="00A522BD"/>
    <w:rsid w:val="00A561B7"/>
    <w:rsid w:val="00A7395F"/>
    <w:rsid w:val="00AC32D3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66C40"/>
    <w:rsid w:val="00B742DE"/>
    <w:rsid w:val="00BB47F9"/>
    <w:rsid w:val="00BC07AA"/>
    <w:rsid w:val="00BD331E"/>
    <w:rsid w:val="00C250C6"/>
    <w:rsid w:val="00C4569A"/>
    <w:rsid w:val="00C52602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52E2D"/>
    <w:rsid w:val="00D653E4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251FA"/>
    <w:rsid w:val="00F42FAE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  <w14:defaultImageDpi w14:val="0"/>
  <w15:chartTrackingRefBased/>
  <w15:docId w15:val="{16B4CEC7-61E4-4255-967E-149F9C9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02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260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526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602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52602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"/>
    <w:locked/>
    <w:rsid w:val="00C52602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40">
    <w:name w:val="Заголовок 4 Знак"/>
    <w:link w:val="4"/>
    <w:uiPriority w:val="9"/>
    <w:semiHidden/>
    <w:locked/>
    <w:rsid w:val="00C52602"/>
    <w:rPr>
      <w:rFonts w:ascii="Cambria" w:eastAsia="Times New Roman" w:hAnsi="Cambria" w:cs="Times New Roman"/>
      <w:b/>
      <w:bCs/>
      <w:i/>
      <w:iCs/>
      <w:color w:val="4F81BD"/>
      <w:lang w:val="x-none" w:eastAsia="ru-RU"/>
    </w:rPr>
  </w:style>
  <w:style w:type="paragraph" w:styleId="a3">
    <w:name w:val="List Paragraph"/>
    <w:basedOn w:val="a"/>
    <w:uiPriority w:val="34"/>
    <w:qFormat/>
    <w:rsid w:val="00C526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52602"/>
    <w:pPr>
      <w:spacing w:before="100" w:beforeAutospacing="1" w:after="100" w:afterAutospacing="1" w:line="240" w:lineRule="auto"/>
    </w:pPr>
    <w:rPr>
      <w:rFonts w:ascii="Tahoma" w:hAnsi="Tahoma" w:cs="Tahoma"/>
      <w:color w:val="666666"/>
      <w:sz w:val="18"/>
      <w:szCs w:val="18"/>
    </w:rPr>
  </w:style>
  <w:style w:type="paragraph" w:customStyle="1" w:styleId="11">
    <w:name w:val="Обычный1"/>
    <w:rsid w:val="00C52602"/>
    <w:pPr>
      <w:snapToGrid w:val="0"/>
      <w:spacing w:before="100" w:after="100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C52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52602"/>
    <w:rPr>
      <w:rFonts w:ascii="Tahoma" w:eastAsia="Times New Roman" w:hAnsi="Tahoma" w:cs="Tahoma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semiHidden/>
    <w:unhideWhenUsed/>
    <w:rsid w:val="00C5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C52602"/>
    <w:rPr>
      <w:rFonts w:eastAsia="Times New Roman" w:cs="Times New Roman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C5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C52602"/>
    <w:rPr>
      <w:rFonts w:eastAsia="Times New Roman" w:cs="Times New Roman"/>
      <w:lang w:val="x-none" w:eastAsia="ru-RU"/>
    </w:rPr>
  </w:style>
  <w:style w:type="table" w:styleId="ab">
    <w:name w:val="Table Grid"/>
    <w:basedOn w:val="a1"/>
    <w:uiPriority w:val="59"/>
    <w:rsid w:val="00C52602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png"/><Relationship Id="rId7" Type="http://schemas.openxmlformats.org/officeDocument/2006/relationships/image" Target="media/image1.png"/><Relationship Id="rId71" Type="http://schemas.openxmlformats.org/officeDocument/2006/relationships/image" Target="media/image65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png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png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png"/><Relationship Id="rId8" Type="http://schemas.openxmlformats.org/officeDocument/2006/relationships/image" Target="media/image2.png"/><Relationship Id="rId51" Type="http://schemas.openxmlformats.org/officeDocument/2006/relationships/image" Target="media/image45.wmf"/><Relationship Id="rId72" Type="http://schemas.openxmlformats.org/officeDocument/2006/relationships/image" Target="media/image66.png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png"/><Relationship Id="rId75" Type="http://schemas.openxmlformats.org/officeDocument/2006/relationships/image" Target="media/image6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9131</Words>
  <Characters>52052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2014-03-22T08:40:00Z</dcterms:created>
  <dcterms:modified xsi:type="dcterms:W3CDTF">2014-03-22T08:40:00Z</dcterms:modified>
</cp:coreProperties>
</file>