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44" w:rsidRDefault="00AA0744">
      <w:pPr>
        <w:pStyle w:val="a5"/>
        <w:rPr>
          <w:sz w:val="56"/>
          <w:szCs w:val="56"/>
        </w:rPr>
      </w:pPr>
      <w:r>
        <w:rPr>
          <w:sz w:val="56"/>
          <w:szCs w:val="56"/>
        </w:rPr>
        <w:t>Калининградский государственный университет</w:t>
      </w:r>
    </w:p>
    <w:p w:rsidR="00AA0744" w:rsidRDefault="00AA0744"/>
    <w:p w:rsidR="00AA0744" w:rsidRDefault="00AA0744"/>
    <w:p w:rsidR="00AA0744" w:rsidRDefault="00AA0744"/>
    <w:p w:rsidR="00AA0744" w:rsidRDefault="00AA0744">
      <w:pPr>
        <w:pStyle w:val="a5"/>
        <w:rPr>
          <w:sz w:val="52"/>
          <w:szCs w:val="52"/>
        </w:rPr>
      </w:pPr>
      <w:r>
        <w:rPr>
          <w:sz w:val="52"/>
          <w:szCs w:val="52"/>
        </w:rPr>
        <w:t>Юридический факультет</w:t>
      </w:r>
    </w:p>
    <w:p w:rsidR="00AA0744" w:rsidRDefault="00AA0744"/>
    <w:p w:rsidR="00AA0744" w:rsidRDefault="00AA0744">
      <w:pPr>
        <w:pStyle w:val="a5"/>
        <w:rPr>
          <w:sz w:val="52"/>
          <w:szCs w:val="52"/>
        </w:rPr>
      </w:pPr>
      <w:r>
        <w:rPr>
          <w:sz w:val="52"/>
          <w:szCs w:val="52"/>
        </w:rPr>
        <w:t>Кафедра предпринимательского права</w:t>
      </w:r>
    </w:p>
    <w:p w:rsidR="00AA0744" w:rsidRDefault="00AA0744"/>
    <w:p w:rsidR="00AA0744" w:rsidRDefault="00AA0744"/>
    <w:p w:rsidR="00AA0744" w:rsidRDefault="00AA0744"/>
    <w:p w:rsidR="00AA0744" w:rsidRDefault="00AA0744"/>
    <w:p w:rsidR="00AA0744" w:rsidRDefault="00AA0744">
      <w:pPr>
        <w:pStyle w:val="a5"/>
        <w:rPr>
          <w:sz w:val="52"/>
          <w:szCs w:val="52"/>
        </w:rPr>
      </w:pPr>
      <w:r>
        <w:rPr>
          <w:sz w:val="52"/>
          <w:szCs w:val="52"/>
        </w:rPr>
        <w:t xml:space="preserve">Контрольная работа </w:t>
      </w:r>
    </w:p>
    <w:p w:rsidR="00AA0744" w:rsidRDefault="00AA0744">
      <w:pPr>
        <w:pStyle w:val="a5"/>
        <w:rPr>
          <w:sz w:val="52"/>
          <w:szCs w:val="52"/>
        </w:rPr>
      </w:pPr>
      <w:r>
        <w:rPr>
          <w:sz w:val="52"/>
          <w:szCs w:val="52"/>
        </w:rPr>
        <w:t>по финансовому праву</w:t>
      </w:r>
    </w:p>
    <w:p w:rsidR="00AA0744" w:rsidRDefault="00AA0744"/>
    <w:p w:rsidR="00AA0744" w:rsidRDefault="00AA0744"/>
    <w:p w:rsidR="00AA0744" w:rsidRDefault="00AA0744"/>
    <w:p w:rsidR="00AA0744" w:rsidRDefault="00AA0744">
      <w:pPr>
        <w:pStyle w:val="a5"/>
        <w:rPr>
          <w:sz w:val="52"/>
          <w:szCs w:val="52"/>
        </w:rPr>
      </w:pPr>
      <w:r>
        <w:rPr>
          <w:sz w:val="52"/>
          <w:szCs w:val="52"/>
        </w:rPr>
        <w:t>Вариант 2</w:t>
      </w:r>
    </w:p>
    <w:p w:rsidR="00AA0744" w:rsidRDefault="00AA0744"/>
    <w:p w:rsidR="00AA0744" w:rsidRDefault="00AA0744"/>
    <w:p w:rsidR="00AA0744" w:rsidRDefault="00AA0744"/>
    <w:p w:rsidR="00AA0744" w:rsidRDefault="00AA0744"/>
    <w:p w:rsidR="00AA0744" w:rsidRDefault="00AA0744"/>
    <w:p w:rsidR="00AA0744" w:rsidRDefault="00AA074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35"/>
      </w:tblGrid>
      <w:tr w:rsidR="00AA0744">
        <w:tc>
          <w:tcPr>
            <w:tcW w:w="4503" w:type="dxa"/>
          </w:tcPr>
          <w:p w:rsidR="00AA0744" w:rsidRDefault="00AA0744">
            <w:pPr>
              <w:jc w:val="left"/>
            </w:pPr>
          </w:p>
        </w:tc>
        <w:tc>
          <w:tcPr>
            <w:tcW w:w="5635" w:type="dxa"/>
          </w:tcPr>
          <w:p w:rsidR="00AA0744" w:rsidRDefault="00AA0744">
            <w:pPr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Выполнила:</w:t>
            </w:r>
          </w:p>
          <w:p w:rsidR="00AA0744" w:rsidRDefault="00AA0744">
            <w:pPr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Студентка 2 курса спецотделения</w:t>
            </w:r>
          </w:p>
          <w:p w:rsidR="00AA0744" w:rsidRDefault="00AA0744">
            <w:pPr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Макарьева Ольга Викторовна</w:t>
            </w:r>
          </w:p>
          <w:p w:rsidR="00AA0744" w:rsidRDefault="00AA0744">
            <w:pPr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Проверила:</w:t>
            </w:r>
          </w:p>
          <w:p w:rsidR="00AA0744" w:rsidRDefault="00AA0744">
            <w:pPr>
              <w:jc w:val="left"/>
              <w:rPr>
                <w:sz w:val="36"/>
                <w:szCs w:val="36"/>
              </w:rPr>
            </w:pPr>
          </w:p>
          <w:p w:rsidR="00AA0744" w:rsidRDefault="00AA0744">
            <w:pPr>
              <w:jc w:val="left"/>
              <w:rPr>
                <w:sz w:val="36"/>
                <w:szCs w:val="36"/>
              </w:rPr>
            </w:pPr>
          </w:p>
        </w:tc>
      </w:tr>
    </w:tbl>
    <w:p w:rsidR="00AA0744" w:rsidRDefault="00AA0744">
      <w:pPr>
        <w:jc w:val="left"/>
      </w:pPr>
    </w:p>
    <w:p w:rsidR="00AA0744" w:rsidRDefault="00AA0744">
      <w:pPr>
        <w:jc w:val="left"/>
      </w:pPr>
    </w:p>
    <w:p w:rsidR="00AA0744" w:rsidRDefault="00AA0744">
      <w:pPr>
        <w:jc w:val="left"/>
      </w:pPr>
    </w:p>
    <w:p w:rsidR="00AA0744" w:rsidRDefault="00AA0744">
      <w:pPr>
        <w:jc w:val="left"/>
      </w:pPr>
    </w:p>
    <w:p w:rsidR="00AA0744" w:rsidRDefault="00AA0744">
      <w:pPr>
        <w:jc w:val="left"/>
      </w:pPr>
    </w:p>
    <w:p w:rsidR="00AA0744" w:rsidRDefault="00AA0744">
      <w:pPr>
        <w:pStyle w:val="a5"/>
        <w:rPr>
          <w:sz w:val="44"/>
          <w:szCs w:val="44"/>
        </w:rPr>
      </w:pPr>
      <w:r>
        <w:rPr>
          <w:sz w:val="44"/>
          <w:szCs w:val="44"/>
        </w:rPr>
        <w:t>г. Калининград</w:t>
      </w:r>
    </w:p>
    <w:p w:rsidR="00AA0744" w:rsidRDefault="00AA0744">
      <w:pPr>
        <w:pStyle w:val="a5"/>
        <w:rPr>
          <w:sz w:val="44"/>
          <w:szCs w:val="44"/>
        </w:rPr>
      </w:pPr>
      <w:r>
        <w:rPr>
          <w:sz w:val="44"/>
          <w:szCs w:val="44"/>
        </w:rPr>
        <w:t>1999 г.</w:t>
      </w:r>
    </w:p>
    <w:p w:rsidR="00AA0744" w:rsidRDefault="00AA0744">
      <w:pPr>
        <w:pStyle w:val="a5"/>
        <w:numPr>
          <w:ilvl w:val="0"/>
          <w:numId w:val="1"/>
        </w:numPr>
      </w:pPr>
      <w:r>
        <w:t>Каковы полномочия в области финансов палат Федерального собрания, Президента и Правительства РФ?</w:t>
      </w:r>
    </w:p>
    <w:p w:rsidR="00AA0744" w:rsidRDefault="00AA0744"/>
    <w:p w:rsidR="00AA0744" w:rsidRDefault="00AA0744">
      <w:pPr>
        <w:pStyle w:val="a4"/>
      </w:pPr>
      <w:r>
        <w:t>Финансовую деятельность осуществляют все без исключения государственные органы, так как выполнение функций государства по всем направлениям связано с использованием финансов. Однако в силу различия задач и правового положения тех или иных государственных и местных органов масштабы их финансовой деятельности и степень участия в ней неодинаковы.</w:t>
      </w:r>
    </w:p>
    <w:p w:rsidR="00AA0744" w:rsidRDefault="00AA0744">
      <w:pPr>
        <w:pStyle w:val="a4"/>
      </w:pPr>
      <w:r>
        <w:t>Президенту РФ, Совету Федерации, членам Совета Федерации, депутатам Государственной Думы, Правительству РФ согласно ч. 1 ст. 104 Конституции принадлежит право законодательной инициативы по всем вопросам, в том числе и в области финансов.</w:t>
      </w:r>
    </w:p>
    <w:p w:rsidR="00AA0744" w:rsidRDefault="00AA0744">
      <w:pPr>
        <w:pStyle w:val="a4"/>
      </w:pPr>
      <w:r>
        <w:rPr>
          <w:b/>
          <w:bCs/>
        </w:rPr>
        <w:t xml:space="preserve">Президент РФ </w:t>
      </w:r>
      <w:r>
        <w:t>обеспечивает в области финансов согласованное функционирование и взаимодействие органов государственной власти, исходя из положений Конституции и федеральных законов определяет основные направления внутренней и внешней политики государства, соответственно которой строится финансовая политика. С изложением положения в стране и данных направлений политики Президент РФ обращается ежегодно к Федеральному собранию (ч. 3 ст. 80 и п. е ст. 84 Конституции РФ).</w:t>
      </w:r>
    </w:p>
    <w:p w:rsidR="00AA0744" w:rsidRDefault="00AA0744">
      <w:pPr>
        <w:pStyle w:val="a4"/>
      </w:pPr>
      <w:r>
        <w:t>Президент РФ издает указы и распоряжения по вопросам формирования и исполнения бюджетов, внебюджетных государственных фондов, финансирования государственных расходов федерального уровня, денежно-кредитной политики, организации расчетов, регулирования валютных и других финансовых отношений, организации органов финансово-кредитной системы, через Контрольное управление Президента РФ осуществляет финансовый контроль.</w:t>
      </w:r>
    </w:p>
    <w:p w:rsidR="00AA0744" w:rsidRDefault="00AA0744">
      <w:pPr>
        <w:pStyle w:val="a4"/>
      </w:pPr>
      <w:r>
        <w:t>Президент РФ представляет Государственной Думе кандидатуру для назначения на должность Председателя Центрального банка РФ; ставит перед Государственной Думой вопрос об освобождении от должности Председателя Центрального  банка РФ (п. г ст. 83 конституции РФ).</w:t>
      </w:r>
    </w:p>
    <w:p w:rsidR="00AA0744" w:rsidRDefault="00AA0744">
      <w:pPr>
        <w:pStyle w:val="a4"/>
      </w:pPr>
      <w:r>
        <w:rPr>
          <w:b/>
          <w:bCs/>
        </w:rPr>
        <w:t>Правительство Российской Федерации</w:t>
      </w:r>
      <w:r>
        <w:t xml:space="preserve"> разрабатывает и представляет Государственной Думе федеральный бюджет и обеспечивает его исполнение; представляет Государственной Думе отчет об исполнении федерального бюджета (п. а ч. 1 ст. 114 Конституции РФ); обеспечивает проведение в Российской Федерации единой финансовой, кредитной и денежной политики (п. б ч. 1 ст. 114 Конституции РФ). Согласно ч. 3 ст. 104 Конституции законопроекты о введении или отмене налогов, освобождении от их уплаты, о выпуске государственных займов, об изменении финансовых обязательств государства, другие законопроекты, предусматривающие расходы, покрываемые за счет федерального бюджета, могут быть внесены на рассмотрение в Государственную Думу только при наличии заключения Правительства РФ.</w:t>
      </w:r>
    </w:p>
    <w:p w:rsidR="00AA0744" w:rsidRDefault="00AA0744">
      <w:pPr>
        <w:pStyle w:val="a4"/>
      </w:pPr>
      <w:r>
        <w:t xml:space="preserve">К ведению </w:t>
      </w:r>
      <w:r>
        <w:rPr>
          <w:b/>
          <w:bCs/>
        </w:rPr>
        <w:t xml:space="preserve">Государственной Думы Федерального собрания РФ </w:t>
      </w:r>
      <w:r>
        <w:t>относятся: назначение на должность и освобождение от должности Председателя Центрального банка РФ (п. в ч. 1 ст. 103 Конституции РФ).</w:t>
      </w:r>
    </w:p>
    <w:p w:rsidR="00AA0744" w:rsidRDefault="00AA0744">
      <w:pPr>
        <w:pStyle w:val="a4"/>
      </w:pPr>
      <w:r>
        <w:t xml:space="preserve">Согласно ч. 5 ст. 101 Конституции РФ для осуществления контроля за исполнением федерального бюджета </w:t>
      </w:r>
      <w:r>
        <w:rPr>
          <w:b/>
          <w:bCs/>
        </w:rPr>
        <w:t>Совет Федерации и Государственная Дума</w:t>
      </w:r>
      <w:r>
        <w:t xml:space="preserve"> образуют Счетную палату, состав и порядок деятельности которой определяются федеральным законом.</w:t>
      </w:r>
    </w:p>
    <w:p w:rsidR="00AA0744" w:rsidRDefault="00AA0744">
      <w:pPr>
        <w:pStyle w:val="a4"/>
      </w:pPr>
      <w:r>
        <w:rPr>
          <w:b/>
          <w:bCs/>
        </w:rPr>
        <w:t>Государственная Дума</w:t>
      </w:r>
      <w:r>
        <w:t xml:space="preserve"> назначает на должность и освобождает от должности Председателя Счетной палаты и половину состава ее аудиторов. </w:t>
      </w:r>
      <w:r>
        <w:rPr>
          <w:b/>
          <w:bCs/>
        </w:rPr>
        <w:t>Совет Федерации Федерального собрания РФ</w:t>
      </w:r>
      <w:r>
        <w:t xml:space="preserve"> назначает на должность и освобождает от должности заместителя Председателя Счетной палаты и половину состава ее аудиторов.</w:t>
      </w:r>
    </w:p>
    <w:p w:rsidR="00AA0744" w:rsidRDefault="00AA0744">
      <w:pPr>
        <w:pStyle w:val="a4"/>
      </w:pPr>
      <w:r>
        <w:t xml:space="preserve">Согласно ст. 106 Конституции РФ (п.п. а – г) обязательному рассмотрению в Совете Федерации подлежат принятые Государственной Думой федеральные законы по вопросам: федерального бюджета; федеральных налогов и сборов; финансового, валютного, кредитного, таможенного регулирования, денежной эмиссии; ратификации и денонсации международных договоров РФ (что может отразиться на финансовой политике РФ). </w:t>
      </w:r>
    </w:p>
    <w:p w:rsidR="00AA0744" w:rsidRDefault="00AA0744">
      <w:pPr>
        <w:pStyle w:val="a4"/>
      </w:pPr>
    </w:p>
    <w:p w:rsidR="00AA0744" w:rsidRDefault="00AA0744">
      <w:pPr>
        <w:pStyle w:val="a5"/>
        <w:numPr>
          <w:ilvl w:val="0"/>
          <w:numId w:val="1"/>
        </w:numPr>
      </w:pPr>
      <w:r>
        <w:t>К какому виду валютных операций относится перевод иностранной валюты из РФ в другую страну в оплату права собственности на землю?</w:t>
      </w:r>
    </w:p>
    <w:p w:rsidR="00AA0744" w:rsidRDefault="00AA0744">
      <w:pPr>
        <w:pStyle w:val="a4"/>
      </w:pPr>
    </w:p>
    <w:p w:rsidR="00AA0744" w:rsidRDefault="00AA0744">
      <w:pPr>
        <w:pStyle w:val="a4"/>
      </w:pPr>
      <w:r>
        <w:t>Согласно п. 3 ст. 1 Закона Российской Федерации «О валютном регулировании и валютном контроле» (далее – Закона) Иностранная валюта – это:</w:t>
      </w:r>
    </w:p>
    <w:p w:rsidR="00AA0744" w:rsidRDefault="00AA0744">
      <w:pPr>
        <w:pStyle w:val="a4"/>
      </w:pPr>
      <w:r>
        <w:t>а) денежные знаки в виде банкнот, казначейских билетов, монеты, находящиеся в обращении и являющиеся законным платежным средством в соответствующем иностранном государстве или группе государств, а также изъятые или изымаемые из обращения, но подлежащие обмену денежные знаки;</w:t>
      </w:r>
    </w:p>
    <w:p w:rsidR="00AA0744" w:rsidRDefault="00AA0744">
      <w:pPr>
        <w:pStyle w:val="a4"/>
      </w:pPr>
      <w:r>
        <w:t>б) средства на счетах в денежных единицах иностранных государств и международных денежных или расчетных единицах.</w:t>
      </w:r>
    </w:p>
    <w:p w:rsidR="00AA0744" w:rsidRDefault="00AA0744">
      <w:pPr>
        <w:pStyle w:val="a4"/>
      </w:pPr>
      <w:r>
        <w:t>Согласно п. 7 Закона Валютные операции – это:</w:t>
      </w:r>
    </w:p>
    <w:p w:rsidR="00AA0744" w:rsidRDefault="00AA0744">
      <w:pPr>
        <w:pStyle w:val="a4"/>
      </w:pPr>
      <w:r>
        <w:t>а) операции, связанные с переходом права собственности и иных прав на валютные ценности, в том числе операции, связанные с использованием в качестве средства платежа иностранной валюты и платежных документов в иностранной валюте;</w:t>
      </w:r>
    </w:p>
    <w:p w:rsidR="00AA0744" w:rsidRDefault="00AA0744">
      <w:pPr>
        <w:pStyle w:val="a4"/>
      </w:pPr>
      <w:r>
        <w:t>б) ввоз и пересылка в РФ, а также вывоз и пересылка из РФ валютных ценностей;</w:t>
      </w:r>
    </w:p>
    <w:p w:rsidR="00AA0744" w:rsidRDefault="00AA0744">
      <w:pPr>
        <w:pStyle w:val="a4"/>
      </w:pPr>
      <w:r>
        <w:t>в) осуществление международных денежных переводов.</w:t>
      </w:r>
    </w:p>
    <w:p w:rsidR="00AA0744" w:rsidRDefault="00AA0744">
      <w:pPr>
        <w:pStyle w:val="a4"/>
      </w:pPr>
      <w:r>
        <w:t>Согласно п. 8 Закона операции с иностранной валютой и ценными бумагами в иностранной валюте подразделяются на текущие валютные операции и валютные операции, связанные с движением капитала.</w:t>
      </w:r>
    </w:p>
    <w:p w:rsidR="00AA0744" w:rsidRDefault="00AA0744">
      <w:pPr>
        <w:pStyle w:val="a4"/>
      </w:pPr>
      <w:r>
        <w:t>Перевод иностранной валюты из РФ в другую страну в оплату права собственности на землю в соответствии с п. в ст. 10 Закона – валютная операция, связанная с движением капитала, а именно: «переводы в оплату права собственности на здания, сооружения и иное имущество, включая землю и ее недра, относимое по законодательству страны его местонахождения к недвижимому имуществу, а также иных прав на недвижимость».</w:t>
      </w: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5"/>
        <w:numPr>
          <w:ilvl w:val="0"/>
          <w:numId w:val="1"/>
        </w:numPr>
      </w:pPr>
      <w:r>
        <w:t xml:space="preserve">Российское предприятие-импортер перевело за границу 100 000 долларов на закупку компьютеров. Во время погрузки товара на судно произошел пожар не по вине российского предприятия и часть продукции на сумму </w:t>
      </w:r>
    </w:p>
    <w:p w:rsidR="00AA0744" w:rsidRDefault="00AA0744">
      <w:pPr>
        <w:pStyle w:val="a5"/>
      </w:pPr>
      <w:r>
        <w:t xml:space="preserve">30 000 долларов погибла. Случившийся факт был подтвержден документально. В результате в РФ были ввезены компьютеры на сумму </w:t>
      </w:r>
    </w:p>
    <w:p w:rsidR="00AA0744" w:rsidRDefault="00AA0744">
      <w:pPr>
        <w:pStyle w:val="a5"/>
      </w:pPr>
      <w:r>
        <w:t>70 000 долларов. ЦБ взыскал с предприятия штраф в сумме 100 000 долларов за несоответствие стоимости ввезенного товара вывезенной и уплаченной за него валюте. Предприятие обратилось в суд с исковым заявлением, указав в нем, что, во-первых, штраф взыскан ненадлежащим органом и, во-вторых, оснований для такого взыскания не было.</w:t>
      </w:r>
    </w:p>
    <w:p w:rsidR="00AA0744" w:rsidRDefault="00AA0744">
      <w:pPr>
        <w:pStyle w:val="a5"/>
      </w:pPr>
      <w:r>
        <w:t>Какое решение должен принять суд?</w:t>
      </w:r>
    </w:p>
    <w:p w:rsidR="00AA0744" w:rsidRDefault="00AA0744"/>
    <w:p w:rsidR="00AA0744" w:rsidRDefault="00AA0744">
      <w:pPr>
        <w:pStyle w:val="a4"/>
      </w:pPr>
      <w:r>
        <w:t>Согласно п. 2 Указа Президента РФ № 1163 от 21.11.95 г. «О первоочередных мерах по усилению системы валютного контроля в РФ» импортеры-резидент, заключившие или от имени которых заключены сделки, предусматривающие перевод из РФ иностранной валюты в целях приобретения товаров, обязаны ввести товары, стоимость которых эквивалентна сумме уплаченных за них денежных средств в иностранной валюте. В случае невыполнения или ненадлежащего выполнения ими предписаний органов валютного контроля РФ по обеспечению реализации п. 2 Указа импортера-резиденты несут ответственность в виде штрафа в размере суммы, эквивалентной сумме иностранной валюты, ранее переведенной в оплату товаров (п. 3 Указа). Взыскание штрафа осуществляется Федеральной службой России по валютному и экспортному контролю. Предусмотренный Указом штраф не налагается в подтвержденных соответствующими документами случаях, если товары в момент, когда риски несла российская сторона, оказались уничтоженными вследствие действия непреодолимой силы.</w:t>
      </w:r>
    </w:p>
    <w:p w:rsidR="00AA0744" w:rsidRDefault="00AA0744">
      <w:pPr>
        <w:pStyle w:val="a4"/>
      </w:pPr>
      <w:r>
        <w:t xml:space="preserve">Таким образом, суд должен принять решение об удовлетворении искового заявления в связи с тем, что </w:t>
      </w:r>
    </w:p>
    <w:p w:rsidR="00AA0744" w:rsidRDefault="00AA0744">
      <w:pPr>
        <w:pStyle w:val="a4"/>
        <w:numPr>
          <w:ilvl w:val="0"/>
          <w:numId w:val="2"/>
        </w:numPr>
      </w:pPr>
      <w:r>
        <w:t xml:space="preserve">Штраф взыскан ненадлежащим органом – Центробанком, а не Федеральной службой России по валютному и экспортному контролю.  </w:t>
      </w:r>
    </w:p>
    <w:p w:rsidR="00AA0744" w:rsidRDefault="00AA0744">
      <w:pPr>
        <w:pStyle w:val="a4"/>
        <w:numPr>
          <w:ilvl w:val="0"/>
          <w:numId w:val="2"/>
        </w:numPr>
      </w:pPr>
      <w:r>
        <w:t>Согласно п. 3 Указа при наличии документального подтверждения действия непреодолимой силы (пожар), штраф не налагается.</w:t>
      </w: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4"/>
      </w:pPr>
    </w:p>
    <w:p w:rsidR="00AA0744" w:rsidRDefault="00AA0744">
      <w:pPr>
        <w:pStyle w:val="a5"/>
      </w:pPr>
    </w:p>
    <w:p w:rsidR="00AA0744" w:rsidRDefault="00AA0744">
      <w:pPr>
        <w:pStyle w:val="a5"/>
        <w:rPr>
          <w:sz w:val="32"/>
          <w:szCs w:val="32"/>
        </w:rPr>
      </w:pPr>
      <w:r>
        <w:rPr>
          <w:sz w:val="32"/>
          <w:szCs w:val="32"/>
        </w:rPr>
        <w:t>Использованная литература:</w:t>
      </w:r>
    </w:p>
    <w:p w:rsidR="00AA0744" w:rsidRDefault="00AA0744"/>
    <w:p w:rsidR="00AA0744" w:rsidRDefault="00AA074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Конституция Российской Федерации. – М.: Юридическая литература, 1993.- 96 с.</w:t>
      </w:r>
    </w:p>
    <w:p w:rsidR="00AA0744" w:rsidRDefault="00AA074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Закон Российской Федерации «О валютном регулировании и валютном контроле» 09.10.92 г. </w:t>
      </w:r>
    </w:p>
    <w:p w:rsidR="00AA0744" w:rsidRDefault="00AA074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Указ Президента Российской Федерации № 1163 от 21.11.95 г. «О первоочередных мерах по усилению системы валютного контроля в Российской Федерации».</w:t>
      </w:r>
    </w:p>
    <w:p w:rsidR="00AA0744" w:rsidRDefault="00AA0744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Финансовое право. Учебник. Ответственный редактор </w:t>
      </w:r>
    </w:p>
    <w:p w:rsidR="00AA0744" w:rsidRDefault="00AA0744">
      <w:pPr>
        <w:rPr>
          <w:sz w:val="32"/>
          <w:szCs w:val="32"/>
        </w:rPr>
      </w:pPr>
      <w:r>
        <w:rPr>
          <w:sz w:val="32"/>
          <w:szCs w:val="32"/>
        </w:rPr>
        <w:t xml:space="preserve">Н.И. Химичева.- М.: Издательство БЕК, 1995.- 525 с. – гл. 4, 27.  </w:t>
      </w:r>
    </w:p>
    <w:p w:rsidR="00AA0744" w:rsidRDefault="00AA0744">
      <w:pPr>
        <w:pStyle w:val="a4"/>
      </w:pPr>
      <w:bookmarkStart w:id="0" w:name="_GoBack"/>
      <w:bookmarkEnd w:id="0"/>
    </w:p>
    <w:sectPr w:rsidR="00AA0744">
      <w:footerReference w:type="default" r:id="rId7"/>
      <w:pgSz w:w="11907" w:h="16840"/>
      <w:pgMar w:top="1134" w:right="567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954" w:rsidRDefault="00953954">
      <w:r>
        <w:separator/>
      </w:r>
    </w:p>
  </w:endnote>
  <w:endnote w:type="continuationSeparator" w:id="0">
    <w:p w:rsidR="00953954" w:rsidRDefault="0095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44" w:rsidRDefault="00A519BE">
    <w:pPr>
      <w:pStyle w:val="a6"/>
      <w:framePr w:wrap="auto" w:vAnchor="text" w:hAnchor="margin" w:xAlign="right" w:y="1"/>
      <w:rPr>
        <w:rStyle w:val="a8"/>
      </w:rPr>
    </w:pPr>
    <w:r>
      <w:rPr>
        <w:rStyle w:val="a8"/>
        <w:noProof/>
      </w:rPr>
      <w:t>3</w:t>
    </w:r>
  </w:p>
  <w:p w:rsidR="00AA0744" w:rsidRDefault="00AA07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954" w:rsidRDefault="00953954">
      <w:r>
        <w:separator/>
      </w:r>
    </w:p>
  </w:footnote>
  <w:footnote w:type="continuationSeparator" w:id="0">
    <w:p w:rsidR="00953954" w:rsidRDefault="0095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5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AEA1D95"/>
    <w:multiLevelType w:val="singleLevel"/>
    <w:tmpl w:val="28E658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1CA47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744"/>
    <w:rsid w:val="002075F4"/>
    <w:rsid w:val="00953954"/>
    <w:rsid w:val="00960D1A"/>
    <w:rsid w:val="00A519BE"/>
    <w:rsid w:val="00AA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05AA0B-8453-415B-93D0-AA521432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 письма"/>
    <w:basedOn w:val="a"/>
    <w:uiPriority w:val="99"/>
    <w:pPr>
      <w:ind w:left="5103"/>
      <w:jc w:val="left"/>
    </w:pPr>
  </w:style>
  <w:style w:type="paragraph" w:customStyle="1" w:styleId="a4">
    <w:name w:val="Обы"/>
    <w:basedOn w:val="a"/>
    <w:uiPriority w:val="99"/>
    <w:pPr>
      <w:suppressAutoHyphens w:val="0"/>
      <w:ind w:firstLine="720"/>
    </w:pPr>
  </w:style>
  <w:style w:type="paragraph" w:customStyle="1" w:styleId="a5">
    <w:name w:val="Загол"/>
    <w:basedOn w:val="a"/>
    <w:next w:val="a"/>
    <w:uiPriority w:val="99"/>
    <w:pPr>
      <w:jc w:val="center"/>
    </w:pPr>
    <w:rPr>
      <w:b/>
      <w:bCs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6"/>
      <w:szCs w:val="26"/>
    </w:rPr>
  </w:style>
  <w:style w:type="character" w:styleId="a8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Калининградский государственный университет</vt:lpstr>
    </vt:vector>
  </TitlesOfParts>
  <Company> 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Калининградский государственный университет</dc:title>
  <dc:subject/>
  <dc:creator>*</dc:creator>
  <cp:keywords/>
  <dc:description/>
  <cp:lastModifiedBy>admin</cp:lastModifiedBy>
  <cp:revision>2</cp:revision>
  <dcterms:created xsi:type="dcterms:W3CDTF">2014-02-17T19:00:00Z</dcterms:created>
  <dcterms:modified xsi:type="dcterms:W3CDTF">2014-02-17T19:00:00Z</dcterms:modified>
</cp:coreProperties>
</file>