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E9" w:rsidRDefault="00277892">
      <w:pPr>
        <w:pStyle w:val="1"/>
        <w:jc w:val="center"/>
      </w:pPr>
      <w:r>
        <w:t>Структурная лабильность эритроцитарных мембран лягушек и регуляторные процессы при адреналиновой нагрузке in vitro</w:t>
      </w:r>
    </w:p>
    <w:p w:rsidR="00DE35E9" w:rsidRPr="00277892" w:rsidRDefault="00277892">
      <w:pPr>
        <w:pStyle w:val="a3"/>
      </w:pPr>
      <w:r>
        <w:t> </w:t>
      </w:r>
    </w:p>
    <w:p w:rsidR="00DE35E9" w:rsidRDefault="00277892">
      <w:pPr>
        <w:pStyle w:val="a3"/>
      </w:pPr>
      <w:r>
        <w:t>М.Ю. Скоркина, Е.А. Липунова, А.С. Зеленцова</w:t>
      </w:r>
    </w:p>
    <w:p w:rsidR="00DE35E9" w:rsidRDefault="00277892">
      <w:pPr>
        <w:pStyle w:val="a3"/>
      </w:pPr>
      <w:r>
        <w:t>Белгородский государственный университет, 308015, г. Белгород, ул. Победы, 85</w:t>
      </w:r>
    </w:p>
    <w:p w:rsidR="00DE35E9" w:rsidRDefault="00277892">
      <w:pPr>
        <w:pStyle w:val="a3"/>
      </w:pPr>
      <w:r>
        <w:t>Впервые для эритроцитов лягушек определен мембранный резерв, рассчитан коэффициент резервной поверхности и выявлены влияния на эти важнейшие клеточные характеристики гипотонии. Изучены особенности клеточного ответа на адреналиновую, гипотоническую нагрузки и их сочетание. Показана стабилизирующая роль адреналина на мембрану, мембранные каналы и участие гормона в регуляции формы эритроцита.</w:t>
      </w:r>
    </w:p>
    <w:p w:rsidR="00DE35E9" w:rsidRDefault="00277892">
      <w:pPr>
        <w:pStyle w:val="a3"/>
      </w:pPr>
      <w:r>
        <w:t>Введение</w:t>
      </w:r>
    </w:p>
    <w:p w:rsidR="00DE35E9" w:rsidRDefault="00277892">
      <w:pPr>
        <w:pStyle w:val="a3"/>
      </w:pPr>
      <w:r>
        <w:t>Способность эритроцитов к регуляции объема имеет важное значение в реализации реологических свойств крови, обеспечении оптимального кислородного питания тканей и удалении метаболитов. В механизмах поддержания объема особая роль отводится процессам ауторегуляции и гормонам, способным модифицировать работу ионных переносчиков и изменять состояние цитоскелета [1], макромолекулы которого обеспечивают клетке высокую чувствительность к изменению объема [6], препятствуют свободному току воды в клетку [5], изменяют упруго-эластические характеристики мембран, что имеет значение для контроля транспортной активности.</w:t>
      </w:r>
    </w:p>
    <w:p w:rsidR="00DE35E9" w:rsidRDefault="00277892">
      <w:pPr>
        <w:pStyle w:val="a3"/>
      </w:pPr>
      <w:r>
        <w:t>Целью исследования явилось изучение влияния адреналина на резервные возможности мембран, регуляторные способности и устойчивость эритроцитов к гипоосмотическим нагрузкам.</w:t>
      </w:r>
    </w:p>
    <w:p w:rsidR="00DE35E9" w:rsidRDefault="00277892">
      <w:pPr>
        <w:pStyle w:val="a3"/>
      </w:pPr>
      <w:r>
        <w:t>Материалы и методы исследования</w:t>
      </w:r>
    </w:p>
    <w:p w:rsidR="00DE35E9" w:rsidRDefault="00277892">
      <w:pPr>
        <w:pStyle w:val="a3"/>
      </w:pPr>
      <w:r>
        <w:t>Исследования in vitro проведены на эритроцитах зимних лягушек Rana ridibunda Pall. Трижды отмытые эритроциты инкубировали в течение 15 мин при температуре 200C с адреналином (0,25 ммоль-л-1), а затем помещали в гипоосмотическую среду (0,2% раствор хлорида натрия). В ходе часовой экспозиции через каждые 30 с осуществляли видеорегистрацию клеток и компьютерный анализ в каждой контрольной точке, используя анализатор изображений с программным обеспечением «Видео - Тест - Мастер - Морфология». Измеряли максимальную и минимальную оси клетки; рассчитывали средний объем, толщину (высоту), площадь поверхности и коэффициент эксцентричности [3]. Биометрические индексы определяли по предложенному нами способу [2]. Контролем служили эритроциты, также погруженные в 0,2% NaCl, но не инкубированные с адреналином.</w:t>
      </w:r>
    </w:p>
    <w:p w:rsidR="00DE35E9" w:rsidRDefault="00277892">
      <w:pPr>
        <w:pStyle w:val="a3"/>
      </w:pPr>
      <w:r>
        <w:t>Результаты исследования и их обсуждение</w:t>
      </w:r>
    </w:p>
    <w:p w:rsidR="00DE35E9" w:rsidRDefault="00277892">
      <w:pPr>
        <w:pStyle w:val="a3"/>
      </w:pPr>
      <w:r>
        <w:t>Обработка клеток адреналином изменяет свойства мембраны. Через 30 с экспозиции при незначительном увеличении объема (на 1,9%; р&gt;0,05) прирост площади поверхности мембраны составил 57,9% (р&lt;0,001), но через 300 с коэффициент эксцентричности, объем, толщина и площадь поверхности в опытной пробе клеток были ниже на 3,2; 3,6; 0,3 и 3,3% (р&gt;0,05) соответственно по сравнению с контрольной. Через 1 ч толщина эритроцитов уменьшалась на 6,1% (р&lt;0,001) и увеличивались коэффициент эксцентричности, объем и площадь поверхности мембраны соответственно на 5,6% (p&lt;0,05); 5,1 и 6,2% (р&gt;0,05) (табл.).</w:t>
      </w:r>
    </w:p>
    <w:p w:rsidR="00DE35E9" w:rsidRDefault="00277892">
      <w:pPr>
        <w:pStyle w:val="a3"/>
      </w:pPr>
      <w:r>
        <w:t>Динамика морфометрических характеристик эритроцитарной популяции лягушек</w:t>
      </w:r>
    </w:p>
    <w:p w:rsidR="00DE35E9" w:rsidRDefault="00277892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DE35E9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DE35E9" w:rsidRPr="00277892" w:rsidRDefault="00277892">
            <w:pPr>
              <w:pStyle w:val="a3"/>
            </w:pPr>
            <w:r w:rsidRPr="00277892">
              <w:t>Время,</w:t>
            </w:r>
          </w:p>
          <w:p w:rsidR="00DE35E9" w:rsidRPr="00277892" w:rsidRDefault="00277892">
            <w:pPr>
              <w:pStyle w:val="a3"/>
            </w:pPr>
            <w:r w:rsidRPr="00277892">
              <w:t>с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Условия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s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T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S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0,774+0,008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2365,369+68,039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5,484+0,075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375,996+7,61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0,778+0,008*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2410,254+83,812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5,478+0,088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892,630+19,995***</w:t>
            </w:r>
          </w:p>
        </w:tc>
      </w:tr>
      <w:tr w:rsidR="00DE35E9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0,769+076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2880,807+71,994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5,893+0,070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1009,281+15,798</w:t>
            </w:r>
          </w:p>
        </w:tc>
      </w:tr>
      <w:tr w:rsidR="00DE35E9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0,765+0,009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2732,055+70,271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5,790+0,068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972,953+16,742</w:t>
            </w:r>
          </w:p>
        </w:tc>
      </w:tr>
      <w:tr w:rsidR="00DE35E9">
        <w:trPr>
          <w:trHeight w:val="3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120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0,761+0,006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2968,709+79,407*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5,994+0,070*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1025,211+16,846*</w:t>
            </w:r>
          </w:p>
        </w:tc>
      </w:tr>
      <w:tr w:rsidR="00DE35E9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0,769+0,007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2700,043+87,314*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5,738+0,070*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964,045+20,924*</w:t>
            </w:r>
          </w:p>
        </w:tc>
      </w:tr>
      <w:tr w:rsidR="00DE35E9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180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0,768+0,006*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2770,656+75,629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5,818+0,075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978,647+18,636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0,741+0,009*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2625,999+81,618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5,784+0,076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938,463+19,355</w:t>
            </w:r>
          </w:p>
        </w:tc>
      </w:tr>
      <w:tr w:rsidR="00DE35E9">
        <w:trPr>
          <w:trHeight w:val="30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300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0,762+0,006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2862,017+75,569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5,913+0,067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1001,665+16,462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0,752+0,008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2720,61+85,123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5,818+0,075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964,184+19,376</w:t>
            </w:r>
          </w:p>
        </w:tc>
      </w:tr>
      <w:tr w:rsidR="00DE35E9">
        <w:trPr>
          <w:trHeight w:val="28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330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0,766+0,007*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2933,137+79,875*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5,959+0,067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1016,66+17,157*</w:t>
            </w:r>
          </w:p>
        </w:tc>
      </w:tr>
      <w:tr w:rsidR="00DE35E9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0,746+0,007*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2695,881+74,699*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5,848+0,065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957,314+17,141*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3600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0,747+0,005*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2712,727+68,052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5,858+0,065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964,285+15,106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0,765+0,005*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2722,741+73,092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5,810+0,063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967,356+16,972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900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0,727+0,007*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2764,496+64,539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5,951+0,060*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973,956+14,597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0,763+0,010*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2653,445+79,794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5,722+0,074*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952,656+18,314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1800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0,725+0,010*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2726,036+87,706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5,894+0,068*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958,679+21,021</w:t>
            </w:r>
          </w:p>
        </w:tc>
      </w:tr>
      <w:tr w:rsidR="00DE35E9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0,769+0,008*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2589,895+102,867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5,650+0,083*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932,621+22,793</w:t>
            </w:r>
          </w:p>
        </w:tc>
      </w:tr>
      <w:tr w:rsidR="00DE35E9">
        <w:trPr>
          <w:trHeight w:val="2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DE35E9" w:rsidRDefault="00277892">
            <w:r>
              <w:t>3600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контроль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0,720+0,009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3148,611+74,716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6,249+0,063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1059,6+16,034</w:t>
            </w:r>
          </w:p>
        </w:tc>
      </w:tr>
      <w:tr w:rsidR="00DE35E9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35E9" w:rsidRDefault="00DE35E9"/>
        </w:tc>
        <w:tc>
          <w:tcPr>
            <w:tcW w:w="0" w:type="auto"/>
            <w:vAlign w:val="center"/>
            <w:hideMark/>
          </w:tcPr>
          <w:p w:rsidR="00DE35E9" w:rsidRDefault="00277892">
            <w:r>
              <w:t>опыт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0,763+0,016*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3319,701+147,014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5,869+0,083***</w:t>
            </w:r>
          </w:p>
        </w:tc>
        <w:tc>
          <w:tcPr>
            <w:tcW w:w="0" w:type="auto"/>
            <w:vAlign w:val="center"/>
            <w:hideMark/>
          </w:tcPr>
          <w:p w:rsidR="00DE35E9" w:rsidRDefault="00277892">
            <w:r>
              <w:t>1129,194+38,497</w:t>
            </w:r>
          </w:p>
        </w:tc>
      </w:tr>
    </w:tbl>
    <w:p w:rsidR="00DE35E9" w:rsidRPr="00277892" w:rsidRDefault="00277892">
      <w:pPr>
        <w:pStyle w:val="a3"/>
      </w:pPr>
      <w:r>
        <w:t>Примечание. е - коэффициент числовой эксцентричности, V - объём клетки, T - толщина клетки, S - площадь поверхности мембраны.</w:t>
      </w:r>
    </w:p>
    <w:p w:rsidR="00DE35E9" w:rsidRDefault="00277892">
      <w:pPr>
        <w:pStyle w:val="a3"/>
      </w:pPr>
      <w:r>
        <w:t>Статистическая значимость достоверности различия с исходными данными при - р &lt; 0,05;</w:t>
      </w:r>
    </w:p>
    <w:p w:rsidR="00DE35E9" w:rsidRDefault="00277892">
      <w:pPr>
        <w:pStyle w:val="a3"/>
      </w:pPr>
      <w:r>
        <w:t>** - р &lt;0,002; *** - р&lt;0,001.</w:t>
      </w:r>
    </w:p>
    <w:p w:rsidR="00DE35E9" w:rsidRDefault="00277892">
      <w:pPr>
        <w:pStyle w:val="a3"/>
      </w:pPr>
      <w:r>
        <w:t>Экспозиция эритроцитов в течение часа в гипотонической среде отразилась на значениях биометрических индексов: через 30с резервные возможности мембраны (RVM) и регуляторные возможности клеток (RVK) в опыте и контроле отличались незначительно; коэффициент резервной поверхности (Крп) был выше в опытной пробе на 58,1% (p&lt; 0,001). Через 150с RVM, RVK и Крп в обеих пробах были близки по значению. Через 180 с под влиянием адреналина прирост RVM составил 53,0%, Крп понизился на 17,5% (р&lt;0,001), а RVM возросли на 94,1% (р&lt;0,05). Тенденция роста RVM сохранялась в опытной пробе: через 270 с на 7,2%; 600 с - 8,4; 900 с - 10,0 и через 3600 с - на 48,8% (р&lt;0,001). Изменения Крп находились в обратной зависимости от RVH: через 270 с экспозиции снижение Крп составило 14,8%, 600 с - 13,5; 900 с</w:t>
      </w:r>
    </w:p>
    <w:p w:rsidR="00DE35E9" w:rsidRDefault="00277892">
      <w:pPr>
        <w:pStyle w:val="a3"/>
      </w:pPr>
      <w:r>
        <w:t>9,3 (р&lt;0,001) и через 3600 с - 5,44% (р&gt;0,05).</w:t>
      </w:r>
    </w:p>
    <w:p w:rsidR="00DE35E9" w:rsidRDefault="00277892">
      <w:pPr>
        <w:pStyle w:val="a3"/>
      </w:pPr>
      <w:r>
        <w:t>Заключение</w:t>
      </w:r>
    </w:p>
    <w:p w:rsidR="00DE35E9" w:rsidRDefault="00277892">
      <w:pPr>
        <w:pStyle w:val="a3"/>
      </w:pPr>
      <w:r>
        <w:t>Адреналин, стабилизируя мембрану эритроцита, понижает проницаемость его для воды и снижает гипоосмотическую нагрузку. Вероятно, в условиях in vitro свободно-радикальные процессы сведены до минимума и, следовательно, структурно-функциональные изменения в мембранах не ведут к их дестабилизации. Начальное увеличение коэффициента резервной поверхности клеток, инкубированных с адреналином, обусловлено эффектом «растекания» гормонального действия вследствие изменения физико-химического состояния липидной фазы в сторону большей ее жидкостности, а следовательно, и подвижности как липидных, так и белковых молекул в мембране [4]. Увеличение Крп влечет за собой рост площади поверхности клеток; однако мембрана эритроцитов лягушек способна выдерживать относительно небольшое растяжение.</w:t>
      </w:r>
    </w:p>
    <w:p w:rsidR="00DE35E9" w:rsidRDefault="00277892">
      <w:pPr>
        <w:pStyle w:val="a3"/>
      </w:pPr>
      <w:r>
        <w:t>Список литературы</w:t>
      </w:r>
    </w:p>
    <w:p w:rsidR="00DE35E9" w:rsidRDefault="00277892">
      <w:pPr>
        <w:pStyle w:val="a3"/>
      </w:pPr>
      <w:r>
        <w:t>Орлов С.Н., Новиков К.Н. Регуляция объема клетки: механизмы, сопряженные клеточные реакции и патофизиологическое значение // Физиологический журнал СССР им. И.М. Сеченова. - 1996.</w:t>
      </w:r>
    </w:p>
    <w:p w:rsidR="00DE35E9" w:rsidRDefault="00277892">
      <w:pPr>
        <w:pStyle w:val="a3"/>
      </w:pPr>
      <w:r>
        <w:t>Т. 82, № 8-9. - С. 1-15.</w:t>
      </w:r>
    </w:p>
    <w:p w:rsidR="00DE35E9" w:rsidRDefault="00277892">
      <w:pPr>
        <w:pStyle w:val="a3"/>
      </w:pPr>
      <w:r>
        <w:t>Патент на изобретение № 2268463 РФ. Способ оценки активности эритропоэза / Е.А. Липунова,</w:t>
      </w:r>
    </w:p>
    <w:p w:rsidR="00DE35E9" w:rsidRDefault="00277892">
      <w:pPr>
        <w:pStyle w:val="a3"/>
      </w:pPr>
      <w:r>
        <w:t>В.М. Никитин, М.Ю. Скоркина, А.С. Зеленцова - по заявке № 2004111098 от 12.04.04 // БИПМ. - № 2, Ч. III.</w:t>
      </w:r>
    </w:p>
    <w:p w:rsidR="00DE35E9" w:rsidRDefault="00277892">
      <w:pPr>
        <w:pStyle w:val="a3"/>
      </w:pPr>
      <w:r>
        <w:t>2006. - С. 1979.</w:t>
      </w:r>
    </w:p>
    <w:p w:rsidR="00DE35E9" w:rsidRDefault="00277892">
      <w:pPr>
        <w:pStyle w:val="a3"/>
      </w:pPr>
      <w:r>
        <w:t>Патент на изобретение № 2234701 РФ. Способ идентификации субпопуляций эритроцитарной системы / Е.А. Липунова, В.М. Никитин, Н.А. Чеканов, М.Ю. Скоркина.- по заявке № 2002134029 от 17.12.02 // БИПМ. - № 23, Ч. III. - 2004. - С. 573.</w:t>
      </w:r>
    </w:p>
    <w:p w:rsidR="00DE35E9" w:rsidRDefault="00277892">
      <w:pPr>
        <w:pStyle w:val="a3"/>
      </w:pPr>
      <w:r>
        <w:t>Перцева М.Н. Молекулярные основы развития гормонокомпетентности. - Л.: Наука, 1989. -</w:t>
      </w:r>
    </w:p>
    <w:p w:rsidR="00DE35E9" w:rsidRDefault="00277892">
      <w:pPr>
        <w:pStyle w:val="a3"/>
      </w:pPr>
      <w:r>
        <w:t>251 с.</w:t>
      </w:r>
    </w:p>
    <w:p w:rsidR="00DE35E9" w:rsidRDefault="00277892">
      <w:pPr>
        <w:pStyle w:val="a3"/>
      </w:pPr>
      <w:r>
        <w:t>Смирнова Е.А., Казачкина Н.Н., Ченцов Ю.С. Устойчивость разных типов клеток к действию гипотонии // Цитология. - 1987. - Т. 29, № 1. - С. 47-53.</w:t>
      </w:r>
    </w:p>
    <w:p w:rsidR="00DE35E9" w:rsidRDefault="00277892">
      <w:pPr>
        <w:pStyle w:val="a3"/>
      </w:pPr>
      <w:r>
        <w:t>Doctor B.R., Zhelev D.V., Mandel L.J. Loss of plasma membrane structural support in ATP-depleted renal epithelia // Am. J. Physiol. - 1997. - V. 272. - P. 439-449.</w:t>
      </w:r>
      <w:bookmarkStart w:id="0" w:name="_GoBack"/>
      <w:bookmarkEnd w:id="0"/>
    </w:p>
    <w:sectPr w:rsidR="00DE35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892"/>
    <w:rsid w:val="000730DB"/>
    <w:rsid w:val="00277892"/>
    <w:rsid w:val="00D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665E-BCFA-4CA6-82B3-6630E20F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6196</Characters>
  <Application>Microsoft Office Word</Application>
  <DocSecurity>0</DocSecurity>
  <Lines>51</Lines>
  <Paragraphs>14</Paragraphs>
  <ScaleCrop>false</ScaleCrop>
  <Company>diakov.net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Структурная лабильность эритроцитарных мембран лягушек и регуляторные процессы при адреналиновой нагрузке in vitro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