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F2" w:rsidRPr="008845F2" w:rsidRDefault="008845F2" w:rsidP="008845F2">
      <w:pPr>
        <w:spacing w:before="120" w:line="240" w:lineRule="auto"/>
        <w:ind w:firstLine="0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8845F2">
        <w:rPr>
          <w:rFonts w:ascii="Times New Roman" w:hAnsi="Times New Roman" w:cs="Times New Roman"/>
          <w:b/>
          <w:bCs/>
          <w:kern w:val="0"/>
          <w:sz w:val="32"/>
          <w:szCs w:val="32"/>
        </w:rPr>
        <w:t>Управление инвестиционными рисками</w:t>
      </w:r>
    </w:p>
    <w:p w:rsidR="008845F2" w:rsidRPr="008845F2" w:rsidRDefault="008845F2" w:rsidP="008845F2">
      <w:pPr>
        <w:spacing w:before="120" w:line="240" w:lineRule="auto"/>
        <w:ind w:firstLine="0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845F2">
        <w:rPr>
          <w:rFonts w:ascii="Times New Roman" w:hAnsi="Times New Roman" w:cs="Times New Roman"/>
          <w:color w:val="000000"/>
          <w:kern w:val="0"/>
          <w:sz w:val="28"/>
          <w:szCs w:val="28"/>
        </w:rPr>
        <w:t>Знаменский В.В., Марочкина Е.В.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Рассмотрим механизмы управления специфическими рисками, сопровождающими инвестиционную деятельность. Вопрос этот актуален, поскольку снижение рисков повышает привлекательность инвестиций. Методы оценки и управления инвестиционными рисками имеют ряд особенностей, что требует специального рассмотрения.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Под инвестиционными рисками понимается возможность недополучения запланированной прибыли от произведенных инвестиций. Объектом риска в данном случае выступают имущественные интересы — инвестора.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 xml:space="preserve">Инвестиционная деятельность подвержена различным видам рисков, среди которых можно выделить неспецифические, т.е. характерные и для других видов деловой активности. 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Для того чтобы оценить рискованность вложений необходимо руководствоваться основными принципами управления инвестициями.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Суть инвестирования заключается во вложении собственного или заемного капитала в определенные виды активов, которые должны обеспечить в будущем получение прибыли. Инвестиции могут быть долгосрочными и краткосрочными. В любом случае, для принятия решения о вложении капитала, необходимо располагать информацией, в той или иной степени подтверждающей три основополагающих тезиса (условия):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• должен быть обеспечен полный возврат вложенных средств;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• предполагаемая прибыль должна быть достаточно велика, чтобы обеспечить привлекательность выбранного вида инвестиций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по сравнению с другими возможностями;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• предполагаемая прибыль должна компенсировать риск, возникающий в силу неопределенности конечного результата.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Последнее условие устанавливает прямую связь между риском и ожидаемым доходом от инвестиций. Чем выше риск, тем выше должен быть и предполагаемый доход. Если существует альтернатива выбора между вложениями в два вида активов с одинаковой доходностью, то, очевидно, что предпочтительным является вариант с меньшим риском недополучения прибыли. Таким образом, проблема управления инвестициями состоит в разработке программы вложения капитала, обеспечивающей требуемую доходность при минимальном уровне риска.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Формы и содержание вариантов инвестирования могут быть разнообразными – от плана производства новой продукции до оценки целесообразности новой эмиссии акций действующего предприятия. Однако необходимо учитывать временной лаг (задержку) между моментом начала инвестирования и моментом, когда инвестиции начнут приносить прибыль.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 xml:space="preserve">Можно выделить две основные группы критериев оценки коммерческой состоятельности и эффективности варианта инвестирования — финансовые и экономические (обе они взаимодополняют друг друга). В первом случае анализируется ликвидность </w:t>
      </w:r>
      <w:r w:rsidRPr="008845F2">
        <w:rPr>
          <w:rFonts w:ascii="Times New Roman" w:hAnsi="Times New Roman" w:cs="Times New Roman"/>
          <w:color w:val="FF0000"/>
          <w:kern w:val="0"/>
        </w:rPr>
        <w:t>проекта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в ходе его реализации, во втором оценивается доходная часть, срок окупаемости и норма прибыли.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 xml:space="preserve">Упрощая ситуацию, можно сказать, что критерием эффективности является наиболее благоприятное соотношение между прибыльностью и рискованностью </w:t>
      </w:r>
      <w:r w:rsidRPr="008845F2">
        <w:rPr>
          <w:rFonts w:ascii="Times New Roman" w:hAnsi="Times New Roman" w:cs="Times New Roman"/>
          <w:color w:val="FF0000"/>
          <w:kern w:val="0"/>
        </w:rPr>
        <w:t>проекта</w:t>
      </w:r>
      <w:r w:rsidRPr="008845F2">
        <w:rPr>
          <w:rFonts w:ascii="Times New Roman" w:hAnsi="Times New Roman" w:cs="Times New Roman"/>
          <w:color w:val="000000"/>
          <w:kern w:val="0"/>
        </w:rPr>
        <w:t>. При таком подходе под прибыльностью понимается не просто прирост капитала, а такой темп увеличения последнего, который, во-первых, полностью компенсирует общее (инфляционное) уменьшение покупательной способности денег в течение инвестиционного цикла, а во-вторых, покрывает риски инвестора, связанные с возможностью недополучения прибыли.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Существуют два основных подхода к решению проблемы количественной оценки эффективности инвестиционного проекта. Первый из них основан на применении простых статических методов оценки. Другой подход связан с применением методов дисконтирования для учета будущих платежей и их вклада в общую прибыль. Методы дисконтирования наиболее приемлемы для учета различных рисков, возникающих в ходе реализации проекта, и в силу этого будут рассмотрены более подробно.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Метод дисконтирования основан на приведении всех будущих поступлений – отдачу инвестированного капитала (включая дивиденды и остаточную стоимость активов) к стоимости «сегодняшнего дня». Операция дисконтирования определяет ожидаемую «немедленную» прибыль, возникающую сразу же после принятия решения об инвестировании. Ее абсолютная величина, очевидно, будет меньше номинальной суммы всех будущих платежей, возможных в ходе реализации проекта.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 xml:space="preserve">Подробное описание применения методов дисконтирования можно найти либо в публикациях ЮНИДО, либо в «Методических рекомендациях по оценке эффективности инвестиционных проектов и их отбору для финансирования». 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Ключевым параметром для применения рассматриваемого метода является величина ставки дисконта (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discount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rate</w:t>
      </w:r>
      <w:r w:rsidRPr="008845F2">
        <w:rPr>
          <w:rFonts w:ascii="Times New Roman" w:hAnsi="Times New Roman" w:cs="Times New Roman"/>
          <w:color w:val="000000"/>
          <w:kern w:val="0"/>
        </w:rPr>
        <w:t>), которая может быть найдена различными способами. Главными факторами, определяющими ее величину, являются так называемая безрисковая ставка и надбавка за инвестиционный риск.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можно определить чистую текущую (приведенную) стоимость (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NPV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,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net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present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value</w:t>
      </w:r>
      <w:r w:rsidRPr="008845F2">
        <w:rPr>
          <w:rFonts w:ascii="Times New Roman" w:hAnsi="Times New Roman" w:cs="Times New Roman"/>
          <w:color w:val="000000"/>
          <w:kern w:val="0"/>
        </w:rPr>
        <w:t>) варианта инвестирования по следующей формуле: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  <w:lang w:val="en-US"/>
        </w:rPr>
        <w:t>NPV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=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NCV</w:t>
      </w:r>
      <w:r w:rsidRPr="008845F2">
        <w:rPr>
          <w:rFonts w:ascii="Times New Roman" w:hAnsi="Times New Roman" w:cs="Times New Roman"/>
          <w:color w:val="000000"/>
          <w:kern w:val="0"/>
          <w:vertAlign w:val="subscript"/>
        </w:rPr>
        <w:t>0</w:t>
      </w:r>
      <w:r w:rsidRPr="008845F2">
        <w:rPr>
          <w:rFonts w:ascii="Times New Roman" w:hAnsi="Times New Roman" w:cs="Times New Roman"/>
          <w:color w:val="000000"/>
          <w:kern w:val="0"/>
        </w:rPr>
        <w:t>+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NCV</w:t>
      </w:r>
      <w:r w:rsidRPr="008845F2">
        <w:rPr>
          <w:rFonts w:ascii="Times New Roman" w:hAnsi="Times New Roman" w:cs="Times New Roman"/>
          <w:color w:val="000000"/>
          <w:kern w:val="0"/>
          <w:vertAlign w:val="subscript"/>
          <w:lang w:val="en-US"/>
        </w:rPr>
        <w:t>l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·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DF</w:t>
      </w:r>
      <w:r w:rsidRPr="008845F2">
        <w:rPr>
          <w:rFonts w:ascii="Times New Roman" w:hAnsi="Times New Roman" w:cs="Times New Roman"/>
          <w:color w:val="000000"/>
          <w:kern w:val="0"/>
          <w:vertAlign w:val="subscript"/>
          <w:lang w:val="en-US"/>
        </w:rPr>
        <w:t>l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+... +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NCVn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·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DFn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, (12.2)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 xml:space="preserve">где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n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— общее число интервалов планирования;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  <w:lang w:val="en-US"/>
        </w:rPr>
        <w:t>NPV</w:t>
      </w:r>
      <w:r w:rsidRPr="008845F2">
        <w:rPr>
          <w:rFonts w:ascii="Times New Roman" w:hAnsi="Times New Roman" w:cs="Times New Roman"/>
          <w:color w:val="000000"/>
          <w:kern w:val="0"/>
        </w:rPr>
        <w:t>— чистая текущая стоимость;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  <w:lang w:val="en-US"/>
        </w:rPr>
        <w:t>NCV</w:t>
      </w:r>
      <w:r w:rsidRPr="008845F2">
        <w:rPr>
          <w:rFonts w:ascii="Times New Roman" w:hAnsi="Times New Roman" w:cs="Times New Roman"/>
          <w:color w:val="000000"/>
          <w:kern w:val="0"/>
          <w:vertAlign w:val="subscript"/>
          <w:lang w:val="en-US"/>
        </w:rPr>
        <w:t>i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— чистый поток денежных средств по окончании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i</w:t>
      </w:r>
      <w:r w:rsidRPr="008845F2">
        <w:rPr>
          <w:rFonts w:ascii="Times New Roman" w:hAnsi="Times New Roman" w:cs="Times New Roman"/>
          <w:color w:val="000000"/>
          <w:kern w:val="0"/>
        </w:rPr>
        <w:t>-го интервала планирования (может быть как положительным, так и отрицательным);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  <w:lang w:val="en-US"/>
        </w:rPr>
        <w:t>NCV</w:t>
      </w:r>
      <w:r w:rsidRPr="008845F2">
        <w:rPr>
          <w:rFonts w:ascii="Times New Roman" w:hAnsi="Times New Roman" w:cs="Times New Roman"/>
          <w:color w:val="000000"/>
          <w:kern w:val="0"/>
          <w:vertAlign w:val="subscript"/>
          <w:lang w:val="en-US"/>
        </w:rPr>
        <w:t>n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— чистый поток денежных средств по окончании последнего интервала планирования;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  <w:lang w:val="en-US"/>
        </w:rPr>
        <w:t>DFi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— фактор дисконтирования для /-го интервала планирования;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  <w:lang w:val="en-US"/>
        </w:rPr>
        <w:t>DF</w:t>
      </w:r>
      <w:r w:rsidRPr="008845F2">
        <w:rPr>
          <w:rFonts w:ascii="Times New Roman" w:hAnsi="Times New Roman" w:cs="Times New Roman"/>
          <w:color w:val="000000"/>
          <w:kern w:val="0"/>
          <w:vertAlign w:val="subscript"/>
          <w:lang w:val="en-US"/>
        </w:rPr>
        <w:t>n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— фактор дисконтирования для последнего интервала планирования.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В последний чистый поток денежных средств (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NCV</w:t>
      </w:r>
      <w:r w:rsidRPr="008845F2">
        <w:rPr>
          <w:rFonts w:ascii="Times New Roman" w:hAnsi="Times New Roman" w:cs="Times New Roman"/>
          <w:color w:val="000000"/>
          <w:kern w:val="0"/>
          <w:vertAlign w:val="subscript"/>
          <w:lang w:val="en-US"/>
        </w:rPr>
        <w:t>n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)входит также возвращаемая остаточная стоимость активов (основного и оборотного капитала).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 xml:space="preserve">Если рассчитанная по формуле (12.2) чистая текущая стоимость проекта будет равна нулю, то это означает, что инвестор, в конце концов, окупит свои затраты, но не получит прибыли. Чем больше величина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NPV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, тем привлекательнее </w:t>
      </w:r>
      <w:r w:rsidRPr="008845F2">
        <w:rPr>
          <w:rFonts w:ascii="Times New Roman" w:hAnsi="Times New Roman" w:cs="Times New Roman"/>
          <w:color w:val="FF0000"/>
          <w:kern w:val="0"/>
        </w:rPr>
        <w:t>проект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для инвестора. Если же величина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NPV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отрицательная, то </w:t>
      </w:r>
      <w:r w:rsidRPr="008845F2">
        <w:rPr>
          <w:rFonts w:ascii="Times New Roman" w:hAnsi="Times New Roman" w:cs="Times New Roman"/>
          <w:color w:val="FF0000"/>
          <w:kern w:val="0"/>
        </w:rPr>
        <w:t>проект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является убыточным и от его реализации следует отказаться.</w:t>
      </w:r>
    </w:p>
    <w:p w:rsidR="008845F2" w:rsidRPr="008845F2" w:rsidRDefault="008845F2" w:rsidP="008845F2">
      <w:pPr>
        <w:spacing w:before="12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8845F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Учет неопределенности и оценка риска варианта инвестирования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 xml:space="preserve">В ходе реализации проекта инвестирования могут возникнуть непредвиденные ситуации, которые существенно изменят запланированные показатели прибыли и издержек. Это может быть результатом действия как внутренних факторов (менеджмент, другие), так и внешних (политическая ситуация, изменение конъюнктуры рынка). Проект инвестирования, </w:t>
      </w:r>
      <w:r w:rsidRPr="008845F2">
        <w:rPr>
          <w:rFonts w:ascii="Times New Roman" w:hAnsi="Times New Roman" w:cs="Times New Roman"/>
          <w:color w:val="FF0000"/>
          <w:kern w:val="0"/>
        </w:rPr>
        <w:t>как уже отмечалось</w:t>
      </w:r>
      <w:r w:rsidRPr="008845F2">
        <w:rPr>
          <w:rFonts w:ascii="Times New Roman" w:hAnsi="Times New Roman" w:cs="Times New Roman"/>
          <w:color w:val="000000"/>
          <w:kern w:val="0"/>
        </w:rPr>
        <w:t>, подвержен различным видам финансовых, коммерческих, страновых и других рисков.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Оценка инвестиционного риска в меньшей степени, чем другие этапы разработки проекта, поддается формализации и количественному выражению. Поэтому в данной области не существует общепринятых стандартов.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Методы учета неопределенности конечных результатов реализации проекта инвестирования можно условно разделить на три группы: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• вероятностные методы;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• определение критических точек;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• анализ чувствительности.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Вероятностные методы основываются на знании количественных характеристик рисков, сопровождающих реализацию аналогичных проектов, и учете специфики отрасли, политической и экономической ситуации. В рамках вероятностных методов можно проанализировать и оценить отдельные виды инвестиционных рисков. В то же время два других метода — определение критических точек и анализ чувствительности — дают лишь общее представление об устойчивости проекта к изменениям заложенных в него параметров.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 xml:space="preserve">В связи с указанными обстоятельствами в данной работе будут подробно рассмотрены два основных вероятностных метода — бета-анализ и кумулятивный метод. 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Определение критических точек обычно сводится к расчету так называемой «точки безубыточности» (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break</w:t>
      </w:r>
      <w:r w:rsidRPr="008845F2">
        <w:rPr>
          <w:rFonts w:ascii="Times New Roman" w:hAnsi="Times New Roman" w:cs="Times New Roman"/>
          <w:color w:val="000000"/>
          <w:kern w:val="0"/>
        </w:rPr>
        <w:t>-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even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point</w:t>
      </w:r>
      <w:r w:rsidRPr="008845F2">
        <w:rPr>
          <w:rFonts w:ascii="Times New Roman" w:hAnsi="Times New Roman" w:cs="Times New Roman"/>
          <w:color w:val="000000"/>
          <w:kern w:val="0"/>
        </w:rPr>
        <w:t>). Для этого рассчитывается такой уровень производства и реализации продукции, при котором чистая текущая стоимость проекта (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NPV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) равна нулю, то есть проект не приносит ни прибыли, ни убытка. Чем ниже будет этот уровень, тем более вероятно, что данный </w:t>
      </w:r>
      <w:r w:rsidRPr="008845F2">
        <w:rPr>
          <w:rFonts w:ascii="Times New Roman" w:hAnsi="Times New Roman" w:cs="Times New Roman"/>
          <w:color w:val="FF0000"/>
          <w:kern w:val="0"/>
        </w:rPr>
        <w:t>проект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будет жизнеспособен в условиях снижения спроса, и тем ниже будет риск инвестора.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Анализ чувствительности (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sensitivity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analysis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) заключается в оценке влияния изменения исходных параметров </w:t>
      </w:r>
      <w:r w:rsidRPr="008845F2">
        <w:rPr>
          <w:rFonts w:ascii="Times New Roman" w:hAnsi="Times New Roman" w:cs="Times New Roman"/>
          <w:color w:val="FF0000"/>
          <w:kern w:val="0"/>
        </w:rPr>
        <w:t>проекта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на его конечные характеристики, в качестве которых, обычно, используется внутренняя норма прибыли или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NPV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. Техника проведения анализа чувствительности состоит в изменении выбранных параметров в определенных пределах, при условии, что остальные параметры остаются неизменными. Чем больше диапазон вариации параметров, при котором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NPV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или норма прибыли остается положительной величиной, тем устойчивее </w:t>
      </w:r>
      <w:r w:rsidRPr="008845F2">
        <w:rPr>
          <w:rFonts w:ascii="Times New Roman" w:hAnsi="Times New Roman" w:cs="Times New Roman"/>
          <w:color w:val="FF0000"/>
          <w:kern w:val="0"/>
        </w:rPr>
        <w:t>проект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. </w:t>
      </w:r>
    </w:p>
    <w:p w:rsidR="008845F2" w:rsidRPr="008845F2" w:rsidRDefault="008845F2" w:rsidP="008845F2">
      <w:pPr>
        <w:spacing w:before="12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8845F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Методы оценки ставки дисконта 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Согласно международным стандартам, под ставкой дисконта понимается ставка дохода, используемая для пересчета денежных сумм, подлежащих уплате или получению в будущем, к текущей стоимости. Применительно к оценке инвестиционных проектов ставка дисконта используется для определения суммы будущей прибыли, которую инвестор получит, приняв решение о вложении средств, в текущих ценах. Другой вариант толкования содержания понятия дисконта: ставка дохода, которую требует инвестор при покупке потока ожидаемых денежных платежей с учетом степени риска получения этих доходов.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Выбор вида ставки дисконта зависит от выбранного вида денежного потока. В табл. 1 приведены два различных вида денежных потоков и соответствующих им ставок дисконта: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 xml:space="preserve">Таблица 1 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Виды ставки дисконта</w:t>
      </w:r>
    </w:p>
    <w:tbl>
      <w:tblPr>
        <w:tblW w:w="889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449"/>
      </w:tblGrid>
      <w:tr w:rsidR="008845F2" w:rsidRPr="008845F2">
        <w:tc>
          <w:tcPr>
            <w:tcW w:w="4448" w:type="dxa"/>
          </w:tcPr>
          <w:p w:rsidR="008845F2" w:rsidRPr="008845F2" w:rsidRDefault="008845F2" w:rsidP="008845F2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8845F2">
              <w:rPr>
                <w:rFonts w:ascii="Times New Roman" w:hAnsi="Times New Roman" w:cs="Times New Roman"/>
                <w:color w:val="000000"/>
                <w:kern w:val="0"/>
              </w:rPr>
              <w:t>Вид денежного потока</w:t>
            </w:r>
          </w:p>
        </w:tc>
        <w:tc>
          <w:tcPr>
            <w:tcW w:w="4449" w:type="dxa"/>
          </w:tcPr>
          <w:p w:rsidR="008845F2" w:rsidRPr="008845F2" w:rsidRDefault="008845F2" w:rsidP="008845F2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8845F2">
              <w:rPr>
                <w:rFonts w:ascii="Times New Roman" w:hAnsi="Times New Roman" w:cs="Times New Roman"/>
                <w:color w:val="000000"/>
                <w:kern w:val="0"/>
              </w:rPr>
              <w:t>Вид ставки дисконта</w:t>
            </w:r>
          </w:p>
        </w:tc>
      </w:tr>
      <w:tr w:rsidR="008845F2" w:rsidRPr="008845F2">
        <w:tc>
          <w:tcPr>
            <w:tcW w:w="4448" w:type="dxa"/>
          </w:tcPr>
          <w:p w:rsidR="008845F2" w:rsidRPr="008845F2" w:rsidRDefault="008845F2" w:rsidP="008845F2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8845F2">
              <w:rPr>
                <w:rFonts w:ascii="Times New Roman" w:hAnsi="Times New Roman" w:cs="Times New Roman"/>
                <w:color w:val="000000"/>
                <w:kern w:val="0"/>
              </w:rPr>
              <w:t>Бездолговой денежный поток</w:t>
            </w:r>
          </w:p>
        </w:tc>
        <w:tc>
          <w:tcPr>
            <w:tcW w:w="4449" w:type="dxa"/>
          </w:tcPr>
          <w:p w:rsidR="008845F2" w:rsidRPr="008845F2" w:rsidRDefault="008845F2" w:rsidP="008845F2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8845F2">
              <w:rPr>
                <w:rFonts w:ascii="Times New Roman" w:hAnsi="Times New Roman" w:cs="Times New Roman"/>
                <w:color w:val="000000"/>
                <w:kern w:val="0"/>
              </w:rPr>
              <w:t>Средневзвешенная стоимость капитала</w:t>
            </w:r>
          </w:p>
        </w:tc>
      </w:tr>
      <w:tr w:rsidR="008845F2" w:rsidRPr="008845F2">
        <w:tc>
          <w:tcPr>
            <w:tcW w:w="4448" w:type="dxa"/>
          </w:tcPr>
          <w:p w:rsidR="008845F2" w:rsidRPr="008845F2" w:rsidRDefault="008845F2" w:rsidP="008845F2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8845F2">
              <w:rPr>
                <w:rFonts w:ascii="Times New Roman" w:hAnsi="Times New Roman" w:cs="Times New Roman"/>
                <w:color w:val="000000"/>
                <w:kern w:val="0"/>
              </w:rPr>
              <w:t xml:space="preserve">Денежный поток для собственного </w:t>
            </w:r>
          </w:p>
          <w:p w:rsidR="008845F2" w:rsidRPr="008845F2" w:rsidRDefault="008845F2" w:rsidP="008845F2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8845F2">
              <w:rPr>
                <w:rFonts w:ascii="Times New Roman" w:hAnsi="Times New Roman" w:cs="Times New Roman"/>
                <w:color w:val="000000"/>
                <w:kern w:val="0"/>
              </w:rPr>
              <w:t>Капитала</w:t>
            </w:r>
          </w:p>
        </w:tc>
        <w:tc>
          <w:tcPr>
            <w:tcW w:w="4449" w:type="dxa"/>
          </w:tcPr>
          <w:p w:rsidR="008845F2" w:rsidRPr="008845F2" w:rsidRDefault="008845F2" w:rsidP="008845F2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8845F2">
              <w:rPr>
                <w:rFonts w:ascii="Times New Roman" w:hAnsi="Times New Roman" w:cs="Times New Roman"/>
                <w:color w:val="000000"/>
                <w:kern w:val="0"/>
              </w:rPr>
              <w:t>Стоимость собственного капитала</w:t>
            </w:r>
          </w:p>
        </w:tc>
      </w:tr>
    </w:tbl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Бездолговой денежный поток представляет собой сумму чистого дохода после уплаты налогов, начисления износа и прочих балансовых статей. Из этой суммы исключаются также вложения в основной и оборотный капитал. Выплачиваемые проценты по кредитам и изменение остатка долгосрочной задолженности не принимаются во внимание.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Денежный поток для собственного капитала отличается от предыдущего тем, что из него исключаются уплачиваемые проценты по кредитам и иным заемным средствам. Таким образом рассчитывается величина денежного потока, поступающего в распоряжение владельцев собственного капитала или акционеров. В обоих случаях денежный поток может исчисляться как до, так и после уплаты налога на прибыль. Кроме того, расчеты могут вестись как в реальных ценах, так и в номинальных (т.е. не очищенных от инфляции).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 xml:space="preserve">Наиболее адекватная оценка инвестиционных </w:t>
      </w:r>
      <w:r w:rsidRPr="008845F2">
        <w:rPr>
          <w:rFonts w:ascii="Times New Roman" w:hAnsi="Times New Roman" w:cs="Times New Roman"/>
          <w:color w:val="FF0000"/>
          <w:kern w:val="0"/>
        </w:rPr>
        <w:t>проектов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получается при использовании в расчетах денежных потоков для собственного капитала после уплаты всех налогов. Кроме того, имеет смысл использовать ставку дисконта для реальной стоимости, т.е. из ее состава следует вычесть инфляционную составляющую.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 xml:space="preserve">Рассмотрим два наиболее широко применяемых подхода к определению ставки дисконта для собственного капитала. Это модель оценки капитальных активов (САРМ —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Capital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Asset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Pricing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Model</w:t>
      </w:r>
      <w:r w:rsidRPr="008845F2">
        <w:rPr>
          <w:rFonts w:ascii="Times New Roman" w:hAnsi="Times New Roman" w:cs="Times New Roman"/>
          <w:color w:val="000000"/>
          <w:kern w:val="0"/>
        </w:rPr>
        <w:t>), называемая также моделью β-коэффициентов, и кумулятивная модель («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build</w:t>
      </w:r>
      <w:r w:rsidRPr="008845F2">
        <w:rPr>
          <w:rFonts w:ascii="Times New Roman" w:hAnsi="Times New Roman" w:cs="Times New Roman"/>
          <w:color w:val="000000"/>
          <w:kern w:val="0"/>
        </w:rPr>
        <w:t>-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up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»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approach</w:t>
      </w:r>
      <w:r w:rsidRPr="008845F2">
        <w:rPr>
          <w:rFonts w:ascii="Times New Roman" w:hAnsi="Times New Roman" w:cs="Times New Roman"/>
          <w:color w:val="000000"/>
          <w:kern w:val="0"/>
        </w:rPr>
        <w:t>). В каждой из них происходит учет риска путем расчета соответствующих поправок к величине ставки дисконта. Описание моделей приводится в соответствии с рекомендациями Всемирного Банка (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World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Bank</w:t>
      </w:r>
      <w:r w:rsidRPr="008845F2">
        <w:rPr>
          <w:rFonts w:ascii="Times New Roman" w:hAnsi="Times New Roman" w:cs="Times New Roman"/>
          <w:color w:val="000000"/>
          <w:kern w:val="0"/>
        </w:rPr>
        <w:t>).</w:t>
      </w:r>
    </w:p>
    <w:p w:rsidR="008845F2" w:rsidRPr="008845F2" w:rsidRDefault="008845F2" w:rsidP="008845F2">
      <w:pPr>
        <w:spacing w:before="12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8845F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оценки капитальных активов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Модель оценки капитальных активов (САРМ) основана на представлении о том, что любой дополнительный риск для инвестора находит свое выражение в увеличении ожидаемой доходности инвестиционного проекта. В модели размер ожидаемого дохода на собственный капитал и соответствующей ставки дисконта определяется на основе трех компонентов: безрисковой ставки дохода, коэффициенте β и рыночной премии за риск.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 xml:space="preserve">Разница между среднерыночной и безрисковой ставками дохода называется рыночной премией за риск. Смысл ее заключается в учете дополнительного риска при оптимальном размещении средств в рыночные активы (акции, облигации, депозиты и др.) по сравнению с так называемыми безрисковыми вложениями, </w:t>
      </w:r>
      <w:r w:rsidRPr="008845F2">
        <w:rPr>
          <w:rFonts w:ascii="Times New Roman" w:hAnsi="Times New Roman" w:cs="Times New Roman"/>
          <w:color w:val="FF0000"/>
          <w:kern w:val="0"/>
        </w:rPr>
        <w:t xml:space="preserve">смысл которых будет разъяснен позже. </w:t>
      </w:r>
      <w:r w:rsidRPr="008845F2">
        <w:rPr>
          <w:rFonts w:ascii="Times New Roman" w:hAnsi="Times New Roman" w:cs="Times New Roman"/>
          <w:color w:val="000000"/>
          <w:kern w:val="0"/>
        </w:rPr>
        <w:t>Величина рыночной премии отражает усредненный риск диверсифицированного рыночного портфеля.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Коэффициент β определяет систематический риск компании относительно среднерыночного риска. Модифицированный вариант САРМ учитывает также несистематический риск компании, зависящий от особенностей ее организации и хозяйственной деятельности. Модифицированное уравнение САРМ выглядит следующим образом: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В США основным активом для расчета безрисковой ставки служат облигации 30-летнего государственного займа правительства США, обладающие номинальной доходностью в пределах 5—6% годовых.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С учетом приведенных данных возможны варианты методики выбора безрисковой ставки.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1-й вариант. Можно взять ставку по правительственным облигациям страны, в которой производятся инвестиции, с наибольшим сроком обращения. Для России рекомендуется брать среднюю эффективную ставку по облигациям внутреннего валютного займа (ОВВЗ).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Данный вариант активно и с успехом применялся в докризисный период в России и, вероятно, будет применяться в будущем, когда обстановка в стране станет стабильной. В условиях кризиса, когда Россия не может обслуживать свой внешний и внутренний долг, этот вариант неприменим.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 xml:space="preserve">2-й вариант. В случае иностранных инвестиций можно взять доходность государственных облигаций страны происхождения инвестора с наибольшим сроком обращения. При этом в структуре ставки дисконта </w:t>
      </w:r>
      <w:r w:rsidRPr="008845F2">
        <w:rPr>
          <w:rFonts w:ascii="Times New Roman" w:hAnsi="Times New Roman" w:cs="Times New Roman"/>
          <w:color w:val="000000"/>
          <w:kern w:val="0"/>
          <w:lang w:val="en-US"/>
        </w:rPr>
        <w:t>R</w:t>
      </w:r>
      <w:r w:rsidRPr="008845F2">
        <w:rPr>
          <w:rFonts w:ascii="Times New Roman" w:hAnsi="Times New Roman" w:cs="Times New Roman"/>
          <w:color w:val="000000"/>
          <w:kern w:val="0"/>
          <w:vertAlign w:val="subscript"/>
          <w:lang w:val="en-US"/>
        </w:rPr>
        <w:t>c</w:t>
      </w:r>
      <w:r w:rsidRPr="008845F2">
        <w:rPr>
          <w:rFonts w:ascii="Times New Roman" w:hAnsi="Times New Roman" w:cs="Times New Roman"/>
          <w:color w:val="000000"/>
          <w:kern w:val="0"/>
        </w:rPr>
        <w:t xml:space="preserve"> необходимо учесть еще и страновой риск.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Разность между безрисковыми ставками страны вложения инвестиций и страны происхождения инвестора приблизительно равна величине странового риска, выраженного в единицах доходности (это правило действует в условиях стабильной экономики). Некоторая часть странового риска присутствует еще и в составе рыночной премии.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3-й вариант. В случае оценки эффективности иностранных инвестиций в России безотносительно к каким-либо потенциальным инвесторам можно взять усредненную безрисковую ставку по промышленно развитым странам Европы или мира. При этом также необходимо учесть усредненный страновой риск России.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 xml:space="preserve">Два последних варианта вполне могут быть применены к оценке ставки дисконта по инвестициям в условиях кризиса. 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Согласно модели САРМ, риск разделяется на две категории -систематический и несистематический. Систематический риск связан с изменением конъюнктуры на рынке ценных бумаг в целом под влиянием макроэкономических и политических факторов (роста или снижения ставки рефинансирования, инфляции, изменений в правительственной политике и т.д.). Действие этих факторов сказывается в той или иной мере на всех компаниях в данной стране.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Мерой систематического риска в модели САРМ служит коэффициент β. Он определяет степень воздействия указанных выше глобальных факторов на амплитуду колебаний стоимости выбранного вида активов. На рынке акций коэффициент β служит мерой амплитуды колебаний цены на акции компании по отношению к амплитуде колебаний рынка в целом, измеренной для диверсифицированного рыночного портфеля.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Среднерыночный уровень риска соответствует коэффициенту β, равному единице. Инвестиции в компанию, у которой β превышает единицу, сопряжены с повышенным риском относительно среднего уровня. Соответственно, если β меньше единицы, то это отражает меньшую изменчивость акций компании и, следовательно, меньший риск. Значение β, равное, например, 1,2, означает, что при подъеме акции растут на 20% быстрее рынка, а при падении рынка акции будут уменьшаться на 20% быстрее.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Отрицательное значение коэффициента β обозначает тенденцию, противоположную рынку: при подъеме рынка акции компании падают, и наоборот.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Несистематический риск связывается с присущими только данному предприятию характеристиками финансовой и хозяйственной деятельности. Колебания курсов, обусловленные несистематическим риском, не коррелируют с общерыночными тенденциями. В несистематическом риске могут быть выделены следующие составляющие: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• предпринимательский риск, связанный с менеджментом компании, конкурентоспособностью, управлением затратами предприятия и т.д.;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color w:val="000000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• финансовый риск, связанный с уровнем ликвидности активов,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8845F2">
        <w:rPr>
          <w:rFonts w:ascii="Times New Roman" w:hAnsi="Times New Roman" w:cs="Times New Roman"/>
          <w:color w:val="000000"/>
          <w:kern w:val="0"/>
        </w:rPr>
        <w:t>показателями внутренней и внешней задолженности, оборачиваемостью средств и т.д.</w:t>
      </w:r>
    </w:p>
    <w:p w:rsidR="008845F2" w:rsidRPr="008845F2" w:rsidRDefault="008845F2" w:rsidP="008845F2">
      <w:pPr>
        <w:spacing w:before="120" w:line="240" w:lineRule="auto"/>
        <w:ind w:firstLine="567"/>
        <w:rPr>
          <w:rFonts w:ascii="Times New Roman" w:hAnsi="Times New Roman" w:cs="Times New Roman"/>
        </w:rPr>
      </w:pPr>
      <w:bookmarkStart w:id="0" w:name="_GoBack"/>
      <w:bookmarkEnd w:id="0"/>
    </w:p>
    <w:sectPr w:rsidR="008845F2" w:rsidRPr="008845F2" w:rsidSect="008845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anta Thi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87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45F2"/>
    <w:rsid w:val="000A574A"/>
    <w:rsid w:val="003E5DAE"/>
    <w:rsid w:val="003F3287"/>
    <w:rsid w:val="008845F2"/>
    <w:rsid w:val="00A61A35"/>
    <w:rsid w:val="00AD4860"/>
    <w:rsid w:val="00BB0DE0"/>
    <w:rsid w:val="00BD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6A92FB-8E73-4F14-B01C-E535BA44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5F2"/>
    <w:pPr>
      <w:spacing w:after="0" w:line="300" w:lineRule="auto"/>
      <w:ind w:firstLine="680"/>
      <w:jc w:val="both"/>
    </w:pPr>
    <w:rPr>
      <w:rFonts w:ascii="Vanta Thin" w:hAnsi="Vanta Thin" w:cs="Vanta Thin"/>
      <w:kern w:val="26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84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9971</Words>
  <Characters>5684</Characters>
  <Application>Microsoft Office Word</Application>
  <DocSecurity>0</DocSecurity>
  <Lines>47</Lines>
  <Paragraphs>31</Paragraphs>
  <ScaleCrop>false</ScaleCrop>
  <Company>Home</Company>
  <LinksUpToDate>false</LinksUpToDate>
  <CharactersWithSpaces>15624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инвестиционными рисками</dc:title>
  <dc:subject/>
  <dc:creator>User</dc:creator>
  <cp:keywords/>
  <dc:description/>
  <cp:lastModifiedBy>admin</cp:lastModifiedBy>
  <cp:revision>2</cp:revision>
  <dcterms:created xsi:type="dcterms:W3CDTF">2014-01-25T20:57:00Z</dcterms:created>
  <dcterms:modified xsi:type="dcterms:W3CDTF">2014-01-25T20:57:00Z</dcterms:modified>
</cp:coreProperties>
</file>