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EA" w:rsidRDefault="001A3BB4">
      <w:pPr>
        <w:pStyle w:val="1"/>
        <w:jc w:val="center"/>
      </w:pPr>
      <w:r>
        <w:t>Методы прогнозирования финансовых показателей</w:t>
      </w:r>
    </w:p>
    <w:p w:rsidR="007E2CEA" w:rsidRPr="001A3BB4" w:rsidRDefault="001A3BB4">
      <w:pPr>
        <w:pStyle w:val="a3"/>
        <w:divId w:val="707949491"/>
      </w:pPr>
      <w:r>
        <w:rPr>
          <w:b/>
          <w:bCs/>
        </w:rPr>
        <w:t>1.Модель с аддитивной компонентой</w:t>
      </w:r>
    </w:p>
    <w:p w:rsidR="007E2CEA" w:rsidRDefault="001A3BB4">
      <w:pPr>
        <w:pStyle w:val="a3"/>
        <w:divId w:val="707949491"/>
      </w:pPr>
      <w:r>
        <w:t xml:space="preserve">Аддитивную модель прогнозирования можно представить в виде формулы: </w:t>
      </w:r>
    </w:p>
    <w:p w:rsidR="007E2CEA" w:rsidRDefault="001A3BB4">
      <w:pPr>
        <w:pStyle w:val="a3"/>
        <w:divId w:val="707949491"/>
      </w:pPr>
      <w:r>
        <w:rPr>
          <w:b/>
          <w:bCs/>
        </w:rPr>
        <w:t> </w:t>
      </w:r>
    </w:p>
    <w:p w:rsidR="007E2CEA" w:rsidRDefault="001A3BB4">
      <w:pPr>
        <w:pStyle w:val="a3"/>
        <w:divId w:val="707949491"/>
      </w:pPr>
      <w:r>
        <w:rPr>
          <w:b/>
          <w:bCs/>
        </w:rPr>
        <w:t xml:space="preserve">F = T + S + E </w:t>
      </w:r>
    </w:p>
    <w:p w:rsidR="007E2CEA" w:rsidRDefault="001A3BB4">
      <w:pPr>
        <w:pStyle w:val="a3"/>
        <w:divId w:val="707949491"/>
      </w:pPr>
      <w:r>
        <w:t xml:space="preserve">где: </w:t>
      </w:r>
      <w:r>
        <w:rPr>
          <w:b/>
          <w:bCs/>
        </w:rPr>
        <w:t>F</w:t>
      </w:r>
      <w:r>
        <w:t xml:space="preserve"> – прогнозируемое значение; </w:t>
      </w:r>
      <w:r>
        <w:rPr>
          <w:b/>
          <w:bCs/>
        </w:rPr>
        <w:t>Т</w:t>
      </w:r>
      <w:r>
        <w:t xml:space="preserve"> – тренд; </w:t>
      </w:r>
      <w:r>
        <w:rPr>
          <w:b/>
          <w:bCs/>
        </w:rPr>
        <w:t>S</w:t>
      </w:r>
      <w:r>
        <w:t xml:space="preserve"> – сезонная компонента;</w:t>
      </w:r>
    </w:p>
    <w:p w:rsidR="007E2CEA" w:rsidRDefault="001A3BB4">
      <w:pPr>
        <w:pStyle w:val="a3"/>
        <w:divId w:val="707949491"/>
      </w:pPr>
      <w:r>
        <w:t> </w:t>
      </w:r>
      <w:r>
        <w:rPr>
          <w:b/>
          <w:bCs/>
        </w:rPr>
        <w:t>Е</w:t>
      </w:r>
      <w:r>
        <w:t xml:space="preserve"> – ошибка прогноза. </w:t>
      </w:r>
    </w:p>
    <w:p w:rsidR="007E2CEA" w:rsidRDefault="001A3BB4">
      <w:pPr>
        <w:pStyle w:val="a3"/>
        <w:divId w:val="707949491"/>
      </w:pPr>
      <w:r>
        <w:rPr>
          <w:b/>
          <w:bCs/>
        </w:rPr>
        <w:t xml:space="preserve">Алгоритм построения прогнозной модели </w:t>
      </w:r>
    </w:p>
    <w:p w:rsidR="007E2CEA" w:rsidRDefault="001A3BB4">
      <w:pPr>
        <w:pStyle w:val="a3"/>
        <w:divId w:val="707949491"/>
      </w:pPr>
      <w:r>
        <w:t xml:space="preserve">Для прогнозирования объема продаж, имеющего сезонный характер, предлагается следующий алгоритм построения прогнозной модели: </w:t>
      </w:r>
    </w:p>
    <w:p w:rsidR="007E2CEA" w:rsidRDefault="001A3BB4">
      <w:pPr>
        <w:pStyle w:val="a3"/>
        <w:divId w:val="707949491"/>
      </w:pPr>
      <w:r>
        <w:rPr>
          <w:b/>
          <w:bCs/>
        </w:rPr>
        <w:t>1.Определяется тренд,</w:t>
      </w:r>
      <w:r>
        <w:t xml:space="preserve"> наилучшим образом аппроксимирующий фактические данные. Существенным моментом при этом является предложение использовать полиномиальный тренд, что позволяет сократить ошибку прогнозной модели. </w:t>
      </w:r>
    </w:p>
    <w:p w:rsidR="007E2CEA" w:rsidRDefault="001A3BB4">
      <w:pPr>
        <w:pStyle w:val="a3"/>
        <w:divId w:val="707949491"/>
      </w:pPr>
      <w:r>
        <w:rPr>
          <w:b/>
          <w:bCs/>
        </w:rPr>
        <w:t>2</w:t>
      </w:r>
      <w:r>
        <w:t xml:space="preserve">.Вычитая из фактических значений объёмов продаж значения тренда, </w:t>
      </w:r>
      <w:r>
        <w:rPr>
          <w:b/>
          <w:bCs/>
        </w:rPr>
        <w:t>определяют</w:t>
      </w:r>
      <w:r>
        <w:t xml:space="preserve"> </w:t>
      </w:r>
      <w:r>
        <w:rPr>
          <w:b/>
          <w:bCs/>
        </w:rPr>
        <w:t>величины сезонной компоненты</w:t>
      </w:r>
      <w:r>
        <w:t xml:space="preserve"> и корректируют таким образом, чтобы их сумма была равна нулю. </w:t>
      </w:r>
    </w:p>
    <w:p w:rsidR="007E2CEA" w:rsidRDefault="001A3BB4">
      <w:pPr>
        <w:pStyle w:val="a3"/>
        <w:divId w:val="707949491"/>
      </w:pPr>
      <w:r>
        <w:rPr>
          <w:b/>
          <w:bCs/>
        </w:rPr>
        <w:t>3.Рассчитываются ошибки модели</w:t>
      </w:r>
      <w:r>
        <w:t xml:space="preserve"> как разности между фактическими значениями и значениями модели</w:t>
      </w:r>
      <w:r>
        <w:rPr>
          <w:b/>
          <w:bCs/>
        </w:rPr>
        <w:t xml:space="preserve">. </w:t>
      </w:r>
    </w:p>
    <w:p w:rsidR="007E2CEA" w:rsidRDefault="001A3BB4">
      <w:pPr>
        <w:pStyle w:val="a3"/>
        <w:divId w:val="707949491"/>
      </w:pPr>
      <w:r>
        <w:rPr>
          <w:b/>
          <w:bCs/>
        </w:rPr>
        <w:t xml:space="preserve">Применение алгоритма рассмотрим на следующем примере. </w:t>
      </w:r>
    </w:p>
    <w:p w:rsidR="007E2CEA" w:rsidRDefault="001A3BB4">
      <w:pPr>
        <w:pStyle w:val="a3"/>
        <w:divId w:val="707949491"/>
      </w:pPr>
      <w:r>
        <w:rPr>
          <w:b/>
          <w:bCs/>
        </w:rPr>
        <w:t xml:space="preserve">Исходные данные: </w:t>
      </w:r>
      <w:r>
        <w:t>Объемы фактических расходов бюджета _________ района, взяты из месячной и годовой отчетности финансового управления администрации ________ района. Данная статистика характеризуется тем, что значения объёма продаж имеют выраженный сезонный характер с возрастающим трендом. Исходная информация представлена в табл. 1.</w:t>
      </w:r>
    </w:p>
    <w:p w:rsidR="007E2CEA" w:rsidRDefault="001A3BB4">
      <w:pPr>
        <w:pStyle w:val="a3"/>
        <w:divId w:val="707949491"/>
      </w:pPr>
      <w:r>
        <w:t>табл.1</w:t>
      </w:r>
    </w:p>
    <w:tbl>
      <w:tblPr>
        <w:tblW w:w="83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6930"/>
      </w:tblGrid>
      <w:tr w:rsidR="007E2CEA">
        <w:trPr>
          <w:divId w:val="707949491"/>
          <w:trHeight w:val="315"/>
          <w:tblCellSpacing w:w="0" w:type="dxa"/>
        </w:trPr>
        <w:tc>
          <w:tcPr>
            <w:tcW w:w="1380" w:type="dxa"/>
            <w:noWrap/>
            <w:vAlign w:val="bottom"/>
            <w:hideMark/>
          </w:tcPr>
          <w:p w:rsidR="007E2CEA" w:rsidRPr="001A3BB4" w:rsidRDefault="007E2CEA"/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Объем фактических расходов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1999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24518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1999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23778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1999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25143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1999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27622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2000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26149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2000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24123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2000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27580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2000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30854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2001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29147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2001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26478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2001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30159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2001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33149</w:t>
            </w:r>
          </w:p>
        </w:tc>
      </w:tr>
      <w:tr w:rsidR="007E2CEA">
        <w:trPr>
          <w:divId w:val="707949491"/>
          <w:trHeight w:val="330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2002 г.</w:t>
            </w:r>
          </w:p>
        </w:tc>
        <w:tc>
          <w:tcPr>
            <w:tcW w:w="6930" w:type="dxa"/>
            <w:noWrap/>
            <w:vAlign w:val="bottom"/>
            <w:hideMark/>
          </w:tcPr>
          <w:p w:rsidR="007E2CEA" w:rsidRDefault="001A3BB4">
            <w:r>
              <w:t>32451</w:t>
            </w:r>
          </w:p>
        </w:tc>
      </w:tr>
    </w:tbl>
    <w:p w:rsidR="007E2CEA" w:rsidRPr="001A3BB4" w:rsidRDefault="001A3BB4">
      <w:pPr>
        <w:pStyle w:val="a3"/>
        <w:divId w:val="707949491"/>
      </w:pPr>
      <w:r>
        <w:t xml:space="preserve">Реализуем алгоритм построения прогнозной модели, описанный выше. Решение данной задачи рекомендуется осуществлять в среде MS Excel, что позволит существенно сократить количество расчётов и время построения модели. </w:t>
      </w:r>
    </w:p>
    <w:p w:rsidR="007E2CEA" w:rsidRDefault="00D02F15">
      <w:pPr>
        <w:pStyle w:val="a3"/>
        <w:divId w:val="70794949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87.5pt;height:282.75pt">
            <v:imagedata r:id="rId4" o:title=""/>
          </v:shape>
        </w:pict>
      </w:r>
      <w:r w:rsidR="001A3BB4">
        <w:rPr>
          <w:b/>
          <w:bCs/>
        </w:rPr>
        <w:t>1. Определяем тренд</w:t>
      </w:r>
      <w:r w:rsidR="001A3BB4">
        <w:t>, наилучшим образом аппроксимирующий фактические данные. Для этого рекомендуется использовать полиномиальный тренд, что позволяет сократить ошибку прогнозной модели)</w:t>
      </w:r>
    </w:p>
    <w:p w:rsidR="007E2CEA" w:rsidRDefault="001A3BB4">
      <w:pPr>
        <w:pStyle w:val="a3"/>
        <w:divId w:val="707949491"/>
      </w:pPr>
      <w:r>
        <w:rPr>
          <w:b/>
          <w:bCs/>
        </w:rPr>
        <w:t xml:space="preserve">Таблица 2. </w:t>
      </w:r>
      <w:r>
        <w:rPr>
          <w:b/>
          <w:bCs/>
        </w:rPr>
        <w:br/>
        <w:t>Расчёт значений сезонной компоненты</w:t>
      </w:r>
    </w:p>
    <w:p w:rsidR="007E2CEA" w:rsidRDefault="001A3BB4">
      <w:pPr>
        <w:pStyle w:val="a3"/>
        <w:divId w:val="707949491"/>
      </w:pPr>
      <w:r>
        <w:rPr>
          <w:b/>
          <w:bCs/>
        </w:rPr>
        <w:t> </w:t>
      </w:r>
    </w:p>
    <w:tbl>
      <w:tblPr>
        <w:tblW w:w="83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960"/>
        <w:gridCol w:w="2040"/>
        <w:gridCol w:w="3930"/>
      </w:tblGrid>
      <w:tr w:rsidR="007E2CEA">
        <w:trPr>
          <w:divId w:val="707949491"/>
          <w:trHeight w:val="315"/>
          <w:tblCellSpacing w:w="0" w:type="dxa"/>
        </w:trPr>
        <w:tc>
          <w:tcPr>
            <w:tcW w:w="1380" w:type="dxa"/>
            <w:noWrap/>
            <w:vAlign w:val="bottom"/>
            <w:hideMark/>
          </w:tcPr>
          <w:p w:rsidR="007E2CEA" w:rsidRPr="001A3BB4" w:rsidRDefault="007E2CEA"/>
        </w:tc>
        <w:tc>
          <w:tcPr>
            <w:tcW w:w="960" w:type="dxa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E2CEA" w:rsidRDefault="001A3BB4">
            <w:r>
              <w:t>Значение тренда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Сезонная компонента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24518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24518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0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23778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24962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-1184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25143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25012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131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27622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25217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2405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26098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51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24123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26958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-2835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27580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27495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85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30854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28017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2837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29147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28964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183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26478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29617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-3139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30159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30498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-339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33149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31485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1664</w:t>
            </w:r>
          </w:p>
        </w:tc>
      </w:tr>
      <w:tr w:rsidR="007E2CEA">
        <w:trPr>
          <w:divId w:val="707949491"/>
          <w:trHeight w:val="330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2002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32451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32451</w:t>
            </w:r>
          </w:p>
        </w:tc>
        <w:tc>
          <w:tcPr>
            <w:tcW w:w="3930" w:type="dxa"/>
            <w:noWrap/>
            <w:vAlign w:val="bottom"/>
            <w:hideMark/>
          </w:tcPr>
          <w:p w:rsidR="007E2CEA" w:rsidRDefault="001A3BB4">
            <w:r>
              <w:t>0</w:t>
            </w:r>
          </w:p>
        </w:tc>
      </w:tr>
    </w:tbl>
    <w:p w:rsidR="007E2CEA" w:rsidRPr="001A3BB4" w:rsidRDefault="001A3BB4">
      <w:pPr>
        <w:pStyle w:val="a3"/>
        <w:divId w:val="707949491"/>
      </w:pPr>
      <w:r>
        <w:t xml:space="preserve">Скорректируем значения сезонной компоненты таким образом, чтобы их сумма была равна нулю. 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  <w:gridCol w:w="480"/>
        <w:gridCol w:w="480"/>
        <w:gridCol w:w="480"/>
        <w:gridCol w:w="480"/>
        <w:gridCol w:w="480"/>
        <w:gridCol w:w="480"/>
      </w:tblGrid>
      <w:tr w:rsidR="007E2CEA">
        <w:trPr>
          <w:divId w:val="707949491"/>
          <w:cantSplit/>
          <w:trHeight w:val="375"/>
          <w:tblCellSpacing w:w="0" w:type="dxa"/>
        </w:trPr>
        <w:tc>
          <w:tcPr>
            <w:tcW w:w="9075" w:type="dxa"/>
            <w:gridSpan w:val="7"/>
            <w:noWrap/>
            <w:vAlign w:val="bottom"/>
            <w:hideMark/>
          </w:tcPr>
          <w:p w:rsidR="007E2CEA" w:rsidRDefault="001A3BB4">
            <w:pPr>
              <w:pStyle w:val="1"/>
            </w:pPr>
            <w:r>
              <w:t xml:space="preserve">Таблица 3. </w:t>
            </w:r>
            <w:r>
              <w:br/>
              <w:t>Расчет средних значений сезонной компоненты</w:t>
            </w:r>
          </w:p>
        </w:tc>
      </w:tr>
      <w:tr w:rsidR="007E2CEA">
        <w:trPr>
          <w:divId w:val="707949491"/>
          <w:trHeight w:val="390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Итого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Среднее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Сезонная компонента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51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183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89,75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-1184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-2835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-3139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-7158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-2386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-2374,25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131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85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-339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-123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-41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-29,25</w:t>
            </w:r>
          </w:p>
        </w:tc>
      </w:tr>
      <w:tr w:rsidR="007E2CEA">
        <w:trPr>
          <w:divId w:val="707949491"/>
          <w:trHeight w:val="390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2405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2837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1664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6906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2302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2313,75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Сумма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-47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-11,75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/>
        </w:tc>
      </w:tr>
    </w:tbl>
    <w:p w:rsidR="007E2CEA" w:rsidRPr="001A3BB4" w:rsidRDefault="001A3BB4">
      <w:pPr>
        <w:pStyle w:val="a3"/>
        <w:divId w:val="707949491"/>
      </w:pPr>
      <w:r>
        <w:rPr>
          <w:b/>
          <w:bCs/>
        </w:rPr>
        <w:t>3. Рассчитываем ошибки модели</w:t>
      </w:r>
      <w:r>
        <w:t xml:space="preserve"> как разности между фактическими значениями и значениями модели. </w:t>
      </w:r>
    </w:p>
    <w:p w:rsidR="007E2CEA" w:rsidRDefault="001A3BB4">
      <w:pPr>
        <w:pStyle w:val="a3"/>
        <w:divId w:val="707949491"/>
      </w:pPr>
      <w:r>
        <w:rPr>
          <w:b/>
          <w:bCs/>
        </w:rPr>
        <w:t xml:space="preserve">Таблица 4. </w:t>
      </w:r>
      <w:r>
        <w:rPr>
          <w:b/>
          <w:bCs/>
        </w:rPr>
        <w:br/>
        <w:t>Расчёт ошибок</w:t>
      </w:r>
      <w:r>
        <w:t xml:space="preserve"> </w:t>
      </w:r>
    </w:p>
    <w:tbl>
      <w:tblPr>
        <w:tblW w:w="60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245"/>
        <w:gridCol w:w="1845"/>
        <w:gridCol w:w="1545"/>
      </w:tblGrid>
      <w:tr w:rsidR="007E2CEA">
        <w:trPr>
          <w:divId w:val="707949491"/>
          <w:trHeight w:val="375"/>
          <w:tblCellSpacing w:w="0" w:type="dxa"/>
        </w:trPr>
        <w:tc>
          <w:tcPr>
            <w:tcW w:w="1425" w:type="dxa"/>
            <w:noWrap/>
            <w:vAlign w:val="bottom"/>
            <w:hideMark/>
          </w:tcPr>
          <w:p w:rsidR="007E2CEA" w:rsidRPr="001A3BB4" w:rsidRDefault="007E2CEA"/>
        </w:tc>
        <w:tc>
          <w:tcPr>
            <w:tcW w:w="1245" w:type="dxa"/>
            <w:noWrap/>
            <w:vAlign w:val="bottom"/>
            <w:hideMark/>
          </w:tcPr>
          <w:p w:rsidR="007E2CEA" w:rsidRDefault="001A3BB4">
            <w:r>
              <w:t>расходы</w:t>
            </w:r>
          </w:p>
        </w:tc>
        <w:tc>
          <w:tcPr>
            <w:tcW w:w="1845" w:type="dxa"/>
            <w:noWrap/>
            <w:vAlign w:val="bottom"/>
            <w:hideMark/>
          </w:tcPr>
          <w:p w:rsidR="007E2CEA" w:rsidRDefault="001A3BB4">
            <w:r>
              <w:t>Значение модели</w:t>
            </w:r>
          </w:p>
        </w:tc>
        <w:tc>
          <w:tcPr>
            <w:tcW w:w="1545" w:type="dxa"/>
            <w:noWrap/>
            <w:vAlign w:val="bottom"/>
            <w:hideMark/>
          </w:tcPr>
          <w:p w:rsidR="007E2CEA" w:rsidRDefault="001A3BB4">
            <w:r>
              <w:t>Отклонение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24518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24607,75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-89,75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23778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22587,75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1190,25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25143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24982,75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160,25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27622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27530,75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91,25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26187,75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-38,75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24123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24583,75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-460,75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27580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27465,75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114,25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30854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30330,75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523,25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29147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29053,75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93,25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26478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27242,75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-764,75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30159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30468,75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-309,75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33149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33798,75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-649,75</w:t>
            </w:r>
          </w:p>
        </w:tc>
      </w:tr>
      <w:tr w:rsidR="007E2CEA">
        <w:trPr>
          <w:divId w:val="707949491"/>
          <w:trHeight w:val="390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2002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32451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32540,75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-89,75</w:t>
            </w:r>
          </w:p>
        </w:tc>
      </w:tr>
    </w:tbl>
    <w:p w:rsidR="007E2CEA" w:rsidRPr="001A3BB4" w:rsidRDefault="001A3BB4">
      <w:pPr>
        <w:pStyle w:val="a3"/>
        <w:divId w:val="707949491"/>
      </w:pPr>
      <w:r>
        <w:t xml:space="preserve">Находим среднеквадратическую ошибку модели (Е) по формуле: </w:t>
      </w:r>
    </w:p>
    <w:p w:rsidR="007E2CEA" w:rsidRDefault="001A3BB4">
      <w:pPr>
        <w:pStyle w:val="a3"/>
        <w:divId w:val="707949491"/>
      </w:pPr>
      <w:r>
        <w:rPr>
          <w:b/>
          <w:bCs/>
          <w:i/>
          <w:iCs/>
        </w:rPr>
        <w:t>Е= Σ О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 xml:space="preserve"> : Σ (T+S)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</w:rPr>
        <w:t xml:space="preserve"> </w:t>
      </w:r>
    </w:p>
    <w:p w:rsidR="007E2CEA" w:rsidRDefault="001A3BB4">
      <w:pPr>
        <w:pStyle w:val="a3"/>
        <w:divId w:val="707949491"/>
      </w:pPr>
      <w:r>
        <w:rPr>
          <w:b/>
          <w:bCs/>
        </w:rPr>
        <w:t xml:space="preserve">где: </w:t>
      </w:r>
      <w:r>
        <w:rPr>
          <w:b/>
          <w:bCs/>
          <w:i/>
          <w:iCs/>
        </w:rPr>
        <w:br/>
        <w:t>Т</w:t>
      </w:r>
      <w:r>
        <w:rPr>
          <w:i/>
          <w:iCs/>
        </w:rPr>
        <w:t>-</w:t>
      </w:r>
      <w:r>
        <w:t xml:space="preserve"> трендовое значение объёма расходов; </w:t>
      </w:r>
      <w:r>
        <w:rPr>
          <w:b/>
          <w:bCs/>
          <w:i/>
          <w:iCs/>
        </w:rPr>
        <w:br/>
        <w:t>S</w:t>
      </w:r>
      <w:r>
        <w:rPr>
          <w:i/>
          <w:iCs/>
        </w:rPr>
        <w:t xml:space="preserve"> </w:t>
      </w:r>
      <w:r>
        <w:t xml:space="preserve">– сезонная компонента; </w:t>
      </w:r>
      <w:r>
        <w:rPr>
          <w:b/>
          <w:bCs/>
          <w:i/>
          <w:iCs/>
        </w:rPr>
        <w:br/>
        <w:t>О</w:t>
      </w:r>
      <w:r>
        <w:t xml:space="preserve">- отклонения модели от фактических значений </w:t>
      </w:r>
    </w:p>
    <w:p w:rsidR="007E2CEA" w:rsidRDefault="001A3BB4">
      <w:pPr>
        <w:pStyle w:val="a3"/>
        <w:divId w:val="707949491"/>
      </w:pPr>
      <w:r>
        <w:t>Е=(3079106/(361151*361151))*100% = 0,002361%</w:t>
      </w:r>
    </w:p>
    <w:p w:rsidR="007E2CEA" w:rsidRDefault="001A3BB4">
      <w:pPr>
        <w:pStyle w:val="a3"/>
        <w:divId w:val="707949491"/>
      </w:pPr>
      <w:r>
        <w:t>Величина полученной ошибки позволяет говорить, что построенная модель хорошо аппроксимирует фактические данные, т.е. она вполне отражает экономические тенденции, определяющие объём расходов, и является предпосылкой для построения прогнозов высокого качества.</w:t>
      </w:r>
    </w:p>
    <w:p w:rsidR="007E2CEA" w:rsidRDefault="001A3BB4">
      <w:pPr>
        <w:pStyle w:val="a3"/>
        <w:divId w:val="707949491"/>
      </w:pPr>
      <w:r>
        <w:rPr>
          <w:b/>
          <w:bCs/>
        </w:rPr>
        <w:t>2. Модель с мультипликативной компонентой.</w:t>
      </w:r>
    </w:p>
    <w:p w:rsidR="007E2CEA" w:rsidRDefault="001A3BB4">
      <w:pPr>
        <w:pStyle w:val="a3"/>
        <w:divId w:val="707949491"/>
      </w:pPr>
      <w:r>
        <w:t>В некоторых временных рядах значение сезонной компоненты не является константой, а представляет собой определенную долю -фондового значения, т.e. значение сезонной компоненты увеличивается с возрастанием значений тренда. Например, рассмотрим график следующих данных об объе</w:t>
      </w:r>
      <w:r>
        <w:softHyphen/>
        <w:t>мах расходов. Объем продаж этого продукта так же, как и в предыдущем при</w:t>
      </w:r>
      <w:r>
        <w:softHyphen/>
        <w:t xml:space="preserve">мере, подвержен сезонным колебаниям, и значения его в разные кварталы разные. Однако размах вариации фактических значении относительно линии тренда постоянно возрастает. Такую ситуацию можно представить с помощью </w:t>
      </w:r>
      <w:r>
        <w:rPr>
          <w:b/>
          <w:bCs/>
        </w:rPr>
        <w:t>модели с мультипликативной компонентой</w:t>
      </w:r>
    </w:p>
    <w:p w:rsidR="007E2CEA" w:rsidRDefault="001A3BB4">
      <w:pPr>
        <w:pStyle w:val="a3"/>
        <w:divId w:val="707949491"/>
      </w:pPr>
      <w:r>
        <w:t>A=T*S*Е</w:t>
      </w:r>
    </w:p>
    <w:p w:rsidR="007E2CEA" w:rsidRDefault="001A3BB4">
      <w:pPr>
        <w:pStyle w:val="a3"/>
        <w:divId w:val="707949491"/>
      </w:pPr>
      <w:r>
        <w:rPr>
          <w:b/>
          <w:bCs/>
        </w:rPr>
        <w:t>1.3.1. Расчет сезонной компоненты</w:t>
      </w:r>
    </w:p>
    <w:p w:rsidR="007E2CEA" w:rsidRDefault="001A3BB4">
      <w:pPr>
        <w:pStyle w:val="a3"/>
        <w:divId w:val="707949491"/>
      </w:pPr>
      <w:r>
        <w:t>Отличие расчета сезонной компоненты для мультипликативной мо</w:t>
      </w:r>
      <w:r>
        <w:softHyphen/>
        <w:t>дели от аддитивной модели заключается лишь в том, что в колонку 6 вписы</w:t>
      </w:r>
      <w:r>
        <w:softHyphen/>
        <w:t>ваются коэффициенты сезонности (аналог оценок сезонной компоненты в ад</w:t>
      </w:r>
      <w:r>
        <w:softHyphen/>
        <w:t xml:space="preserve">дитивной модели) </w:t>
      </w:r>
    </w:p>
    <w:p w:rsidR="007E2CEA" w:rsidRDefault="001A3BB4">
      <w:pPr>
        <w:pStyle w:val="a3"/>
        <w:divId w:val="707949491"/>
      </w:pPr>
      <w:r>
        <w:rPr>
          <w:b/>
          <w:bCs/>
        </w:rPr>
        <w:t>Сезонные коэффициенты</w:t>
      </w:r>
      <w:r>
        <w:t xml:space="preserve"> представляют собой доли тренда, по</w:t>
      </w:r>
      <w:r>
        <w:softHyphen/>
        <w:t>этому принимают, что их сумма должна равняться количеству сезонов в году, т.е. 4, а не нулю, как в аддитивной модели.</w:t>
      </w:r>
    </w:p>
    <w:tbl>
      <w:tblPr>
        <w:tblW w:w="74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840"/>
        <w:gridCol w:w="900"/>
        <w:gridCol w:w="1080"/>
        <w:gridCol w:w="1455"/>
        <w:gridCol w:w="1815"/>
      </w:tblGrid>
      <w:tr w:rsidR="007E2CEA">
        <w:trPr>
          <w:divId w:val="707949491"/>
          <w:trHeight w:val="1110"/>
          <w:tblCellSpacing w:w="0" w:type="dxa"/>
        </w:trPr>
        <w:tc>
          <w:tcPr>
            <w:tcW w:w="1320" w:type="dxa"/>
            <w:vAlign w:val="bottom"/>
            <w:hideMark/>
          </w:tcPr>
          <w:p w:rsidR="007E2CEA" w:rsidRPr="001A3BB4" w:rsidRDefault="007E2CEA"/>
        </w:tc>
        <w:tc>
          <w:tcPr>
            <w:tcW w:w="840" w:type="dxa"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  <w:hideMark/>
          </w:tcPr>
          <w:p w:rsidR="007E2CEA" w:rsidRDefault="001A3BB4">
            <w:r>
              <w:t>Итого за 4 квартала</w:t>
            </w:r>
          </w:p>
        </w:tc>
        <w:tc>
          <w:tcPr>
            <w:tcW w:w="1080" w:type="dxa"/>
            <w:vAlign w:val="bottom"/>
            <w:hideMark/>
          </w:tcPr>
          <w:p w:rsidR="007E2CEA" w:rsidRDefault="001A3BB4">
            <w:r>
              <w:t>Скользящая средняя за 4 квартала</w:t>
            </w:r>
          </w:p>
        </w:tc>
        <w:tc>
          <w:tcPr>
            <w:tcW w:w="1455" w:type="dxa"/>
            <w:vAlign w:val="bottom"/>
            <w:hideMark/>
          </w:tcPr>
          <w:p w:rsidR="007E2CEA" w:rsidRDefault="001A3BB4">
            <w:r>
              <w:t>Центрированная скользящая средняя</w:t>
            </w:r>
          </w:p>
        </w:tc>
        <w:tc>
          <w:tcPr>
            <w:tcW w:w="1815" w:type="dxa"/>
            <w:vAlign w:val="bottom"/>
            <w:hideMark/>
          </w:tcPr>
          <w:p w:rsidR="007E2CEA" w:rsidRDefault="001A3BB4">
            <w:r>
              <w:t>Оценка сезонной компоненты</w:t>
            </w:r>
          </w:p>
        </w:tc>
      </w:tr>
      <w:tr w:rsidR="007E2CEA">
        <w:trPr>
          <w:divId w:val="707949491"/>
          <w:trHeight w:val="270"/>
          <w:tblCellSpacing w:w="0" w:type="dxa"/>
        </w:trPr>
        <w:tc>
          <w:tcPr>
            <w:tcW w:w="1320" w:type="dxa"/>
            <w:vAlign w:val="bottom"/>
            <w:hideMark/>
          </w:tcPr>
          <w:p w:rsidR="007E2CEA" w:rsidRDefault="007E2CEA"/>
        </w:tc>
        <w:tc>
          <w:tcPr>
            <w:tcW w:w="840" w:type="dxa"/>
            <w:vAlign w:val="bottom"/>
            <w:hideMark/>
          </w:tcPr>
          <w:p w:rsidR="007E2CEA" w:rsidRDefault="001A3BB4">
            <w:r>
              <w:t>Y</w:t>
            </w:r>
          </w:p>
        </w:tc>
        <w:tc>
          <w:tcPr>
            <w:tcW w:w="900" w:type="dxa"/>
            <w:vAlign w:val="bottom"/>
            <w:hideMark/>
          </w:tcPr>
          <w:p w:rsidR="007E2CEA" w:rsidRDefault="007E2CEA"/>
        </w:tc>
        <w:tc>
          <w:tcPr>
            <w:tcW w:w="1080" w:type="dxa"/>
            <w:vAlign w:val="bottom"/>
            <w:hideMark/>
          </w:tcPr>
          <w:p w:rsidR="007E2CEA" w:rsidRDefault="001A3BB4">
            <w:r>
              <w:t>S</w:t>
            </w:r>
          </w:p>
        </w:tc>
        <w:tc>
          <w:tcPr>
            <w:tcW w:w="1455" w:type="dxa"/>
            <w:vAlign w:val="bottom"/>
            <w:hideMark/>
          </w:tcPr>
          <w:p w:rsidR="007E2CEA" w:rsidRDefault="001A3BB4">
            <w:r>
              <w:t>T</w:t>
            </w:r>
          </w:p>
        </w:tc>
        <w:tc>
          <w:tcPr>
            <w:tcW w:w="1815" w:type="dxa"/>
            <w:vAlign w:val="bottom"/>
            <w:hideMark/>
          </w:tcPr>
          <w:p w:rsidR="007E2CEA" w:rsidRDefault="001A3BB4">
            <w:r>
              <w:t>Y/T=S*E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24518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23778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25143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101061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25265,25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1815" w:type="dxa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27622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102692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25673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25469,125</w:t>
            </w:r>
          </w:p>
        </w:tc>
        <w:tc>
          <w:tcPr>
            <w:tcW w:w="1815" w:type="dxa"/>
            <w:noWrap/>
            <w:vAlign w:val="bottom"/>
            <w:hideMark/>
          </w:tcPr>
          <w:p w:rsidR="007E2CEA" w:rsidRDefault="001A3BB4">
            <w:r>
              <w:t>1,084528817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103037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25759,25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25716,125</w:t>
            </w:r>
          </w:p>
        </w:tc>
        <w:tc>
          <w:tcPr>
            <w:tcW w:w="1815" w:type="dxa"/>
            <w:noWrap/>
            <w:vAlign w:val="bottom"/>
            <w:hideMark/>
          </w:tcPr>
          <w:p w:rsidR="007E2CEA" w:rsidRDefault="001A3BB4">
            <w:r>
              <w:t>1,016832824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24123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105474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26368,5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26063,875</w:t>
            </w:r>
          </w:p>
        </w:tc>
        <w:tc>
          <w:tcPr>
            <w:tcW w:w="1815" w:type="dxa"/>
            <w:noWrap/>
            <w:vAlign w:val="bottom"/>
            <w:hideMark/>
          </w:tcPr>
          <w:p w:rsidR="007E2CEA" w:rsidRDefault="001A3BB4">
            <w:r>
              <w:t>0,925533905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27580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108706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27176,5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26772,5</w:t>
            </w:r>
          </w:p>
        </w:tc>
        <w:tc>
          <w:tcPr>
            <w:tcW w:w="1815" w:type="dxa"/>
            <w:noWrap/>
            <w:vAlign w:val="bottom"/>
            <w:hideMark/>
          </w:tcPr>
          <w:p w:rsidR="007E2CEA" w:rsidRDefault="001A3BB4">
            <w:r>
              <w:t>1,030161546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30854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111704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27926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27551,25</w:t>
            </w:r>
          </w:p>
        </w:tc>
        <w:tc>
          <w:tcPr>
            <w:tcW w:w="1815" w:type="dxa"/>
            <w:noWrap/>
            <w:vAlign w:val="bottom"/>
            <w:hideMark/>
          </w:tcPr>
          <w:p w:rsidR="007E2CEA" w:rsidRDefault="001A3BB4">
            <w:r>
              <w:t>1,119876594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29147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114059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28514,75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28220,375</w:t>
            </w:r>
          </w:p>
        </w:tc>
        <w:tc>
          <w:tcPr>
            <w:tcW w:w="1815" w:type="dxa"/>
            <w:noWrap/>
            <w:vAlign w:val="bottom"/>
            <w:hideMark/>
          </w:tcPr>
          <w:p w:rsidR="007E2CEA" w:rsidRDefault="001A3BB4">
            <w:r>
              <w:t>1,032835318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26478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116638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29159,5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28837,125</w:t>
            </w:r>
          </w:p>
        </w:tc>
        <w:tc>
          <w:tcPr>
            <w:tcW w:w="1815" w:type="dxa"/>
            <w:noWrap/>
            <w:vAlign w:val="bottom"/>
            <w:hideMark/>
          </w:tcPr>
          <w:p w:rsidR="007E2CEA" w:rsidRDefault="001A3BB4">
            <w:r>
              <w:t>0,918191394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30159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118933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29733,25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29446,375</w:t>
            </w:r>
          </w:p>
        </w:tc>
        <w:tc>
          <w:tcPr>
            <w:tcW w:w="1815" w:type="dxa"/>
            <w:noWrap/>
            <w:vAlign w:val="bottom"/>
            <w:hideMark/>
          </w:tcPr>
          <w:p w:rsidR="007E2CEA" w:rsidRDefault="001A3BB4">
            <w:r>
              <w:t>1,024200772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33149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122237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30559,25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30146,25</w:t>
            </w:r>
          </w:p>
        </w:tc>
        <w:tc>
          <w:tcPr>
            <w:tcW w:w="1815" w:type="dxa"/>
            <w:noWrap/>
            <w:vAlign w:val="bottom"/>
            <w:hideMark/>
          </w:tcPr>
          <w:p w:rsidR="007E2CEA" w:rsidRDefault="001A3BB4">
            <w:r>
              <w:t>1,099606087</w:t>
            </w:r>
          </w:p>
        </w:tc>
      </w:tr>
      <w:tr w:rsidR="007E2CEA">
        <w:trPr>
          <w:divId w:val="707949491"/>
          <w:trHeight w:val="330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2002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32451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</w:tr>
    </w:tbl>
    <w:p w:rsidR="007E2CEA" w:rsidRPr="001A3BB4" w:rsidRDefault="00D02F15">
      <w:pPr>
        <w:pStyle w:val="a3"/>
        <w:divId w:val="707949491"/>
      </w:pPr>
      <w:r>
        <w:rPr>
          <w:noProof/>
        </w:rPr>
        <w:pict>
          <v:shape id="_x0000_i1042" type="#_x0000_t75" style="width:487.5pt;height:282.75pt">
            <v:imagedata r:id="rId5" o:title=""/>
          </v:shape>
        </w:pict>
      </w:r>
    </w:p>
    <w:p w:rsidR="007E2CEA" w:rsidRDefault="001A3BB4">
      <w:pPr>
        <w:pStyle w:val="2"/>
        <w:divId w:val="707949491"/>
      </w:pPr>
      <w:r>
        <w:t>Десезонализация данных при расчете тренда</w:t>
      </w:r>
    </w:p>
    <w:p w:rsidR="007E2CEA" w:rsidRPr="001A3BB4" w:rsidRDefault="001A3BB4">
      <w:pPr>
        <w:pStyle w:val="a3"/>
        <w:divId w:val="707949491"/>
      </w:pPr>
      <w:r>
        <w:t>         Десезонализация данных производится по формуле:</w:t>
      </w:r>
    </w:p>
    <w:p w:rsidR="007E2CEA" w:rsidRDefault="00D02F15">
      <w:pPr>
        <w:pStyle w:val="a3"/>
        <w:divId w:val="707949491"/>
      </w:pPr>
      <w:r>
        <w:rPr>
          <w:b/>
          <w:noProof/>
        </w:rPr>
        <w:pict>
          <v:shape id="_x0000_i1045" type="#_x0000_t75" alt="*" style="width:9pt;height:17.25pt">
            <v:imagedata r:id="rId6" o:title=""/>
          </v:shape>
        </w:pict>
      </w:r>
      <w:r w:rsidR="001A3BB4">
        <w:rPr>
          <w:b/>
          <w:bCs/>
        </w:rPr>
        <w:t xml:space="preserve">  </w:t>
      </w:r>
      <w:r>
        <w:rPr>
          <w:b/>
          <w:noProof/>
        </w:rPr>
        <w:pict>
          <v:shape id="_x0000_i1048" type="#_x0000_t75" style="width:75.75pt;height:18pt">
            <v:imagedata r:id="rId7" o:title=""/>
          </v:shape>
        </w:pict>
      </w:r>
    </w:p>
    <w:p w:rsidR="007E2CEA" w:rsidRDefault="00D02F15">
      <w:pPr>
        <w:pStyle w:val="a3"/>
        <w:divId w:val="707949491"/>
      </w:pPr>
      <w:r>
        <w:rPr>
          <w:b/>
          <w:noProof/>
        </w:rPr>
        <w:pict>
          <v:shape id="_x0000_i1051" type="#_x0000_t75" alt="*" style="width:9pt;height:17.25pt">
            <v:imagedata r:id="rId6" o:title=""/>
          </v:shape>
        </w:pict>
      </w:r>
      <w:r w:rsidR="001A3BB4">
        <w:rPr>
          <w:b/>
          <w:bCs/>
        </w:rPr>
        <w:t xml:space="preserve">  </w:t>
      </w:r>
      <w:r w:rsidR="001A3BB4">
        <w:t>Точки, образующие представленный на графике тренд, достаточно сильно разбросаны, что более близко к реальной действительности, чем в предыдущем примере.</w:t>
      </w:r>
    </w:p>
    <w:tbl>
      <w:tblPr>
        <w:tblW w:w="75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35"/>
        <w:gridCol w:w="1740"/>
      </w:tblGrid>
      <w:tr w:rsidR="007E2CEA">
        <w:trPr>
          <w:divId w:val="707949491"/>
          <w:trHeight w:val="375"/>
          <w:tblCellSpacing w:w="0" w:type="dxa"/>
        </w:trPr>
        <w:tc>
          <w:tcPr>
            <w:tcW w:w="960" w:type="dxa"/>
            <w:noWrap/>
            <w:vAlign w:val="bottom"/>
            <w:hideMark/>
          </w:tcPr>
          <w:p w:rsidR="007E2CEA" w:rsidRPr="001A3BB4" w:rsidRDefault="007E2CEA"/>
        </w:tc>
        <w:tc>
          <w:tcPr>
            <w:tcW w:w="960" w:type="dxa"/>
            <w:noWrap/>
            <w:vAlign w:val="bottom"/>
            <w:hideMark/>
          </w:tcPr>
          <w:p w:rsidR="007E2CEA" w:rsidRDefault="001A3BB4">
            <w:r>
              <w:t>1999 г.</w:t>
            </w:r>
          </w:p>
        </w:tc>
        <w:tc>
          <w:tcPr>
            <w:tcW w:w="960" w:type="dxa"/>
            <w:noWrap/>
            <w:vAlign w:val="bottom"/>
            <w:hideMark/>
          </w:tcPr>
          <w:p w:rsidR="007E2CEA" w:rsidRDefault="001A3BB4">
            <w:r>
              <w:t>2000 г.</w:t>
            </w:r>
          </w:p>
        </w:tc>
        <w:tc>
          <w:tcPr>
            <w:tcW w:w="960" w:type="dxa"/>
            <w:noWrap/>
            <w:vAlign w:val="bottom"/>
            <w:hideMark/>
          </w:tcPr>
          <w:p w:rsidR="007E2CEA" w:rsidRDefault="001A3BB4">
            <w:r>
              <w:t>2001 г.</w:t>
            </w:r>
          </w:p>
        </w:tc>
        <w:tc>
          <w:tcPr>
            <w:tcW w:w="960" w:type="dxa"/>
            <w:noWrap/>
            <w:vAlign w:val="bottom"/>
            <w:hideMark/>
          </w:tcPr>
          <w:p w:rsidR="007E2CEA" w:rsidRDefault="001A3BB4">
            <w:r>
              <w:t>Итого</w:t>
            </w:r>
          </w:p>
        </w:tc>
        <w:tc>
          <w:tcPr>
            <w:tcW w:w="1035" w:type="dxa"/>
            <w:noWrap/>
            <w:vAlign w:val="bottom"/>
            <w:hideMark/>
          </w:tcPr>
          <w:p w:rsidR="007E2CEA" w:rsidRDefault="001A3BB4">
            <w:r>
              <w:t>Среднее</w:t>
            </w:r>
          </w:p>
        </w:tc>
        <w:tc>
          <w:tcPr>
            <w:tcW w:w="1740" w:type="dxa"/>
            <w:noWrap/>
            <w:vAlign w:val="bottom"/>
            <w:hideMark/>
          </w:tcPr>
          <w:p w:rsidR="007E2CEA" w:rsidRDefault="001A3BB4">
            <w:r>
              <w:t>Сезонная компонента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1,0168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1,0328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2,0496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0,6832</w:t>
            </w:r>
          </w:p>
        </w:tc>
        <w:tc>
          <w:tcPr>
            <w:tcW w:w="1740" w:type="dxa"/>
            <w:noWrap/>
            <w:vAlign w:val="bottom"/>
            <w:hideMark/>
          </w:tcPr>
          <w:p w:rsidR="007E2CEA" w:rsidRDefault="001A3BB4">
            <w:r>
              <w:t>0,912225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0,9255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0,9182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1,8437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0,6146</w:t>
            </w:r>
          </w:p>
        </w:tc>
        <w:tc>
          <w:tcPr>
            <w:tcW w:w="1740" w:type="dxa"/>
            <w:noWrap/>
            <w:vAlign w:val="bottom"/>
            <w:hideMark/>
          </w:tcPr>
          <w:p w:rsidR="007E2CEA" w:rsidRDefault="001A3BB4">
            <w:r>
              <w:t>0,843592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1,0302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1,0242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2,0544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0,6848</w:t>
            </w:r>
          </w:p>
        </w:tc>
        <w:tc>
          <w:tcPr>
            <w:tcW w:w="1740" w:type="dxa"/>
            <w:noWrap/>
            <w:vAlign w:val="bottom"/>
            <w:hideMark/>
          </w:tcPr>
          <w:p w:rsidR="007E2CEA" w:rsidRDefault="001A3BB4">
            <w:r>
              <w:t>0,913825</w:t>
            </w:r>
          </w:p>
        </w:tc>
      </w:tr>
      <w:tr w:rsidR="007E2CEA">
        <w:trPr>
          <w:divId w:val="707949491"/>
          <w:trHeight w:val="390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1,0845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1,1199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1,0996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3,304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1,1013</w:t>
            </w:r>
          </w:p>
        </w:tc>
        <w:tc>
          <w:tcPr>
            <w:tcW w:w="1740" w:type="dxa"/>
            <w:noWrap/>
            <w:vAlign w:val="bottom"/>
            <w:hideMark/>
          </w:tcPr>
          <w:p w:rsidR="007E2CEA" w:rsidRDefault="001A3BB4">
            <w:r>
              <w:t>1,330358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Сумма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3,0839</w:t>
            </w:r>
          </w:p>
        </w:tc>
        <w:tc>
          <w:tcPr>
            <w:tcW w:w="1740" w:type="dxa"/>
            <w:noWrap/>
            <w:vAlign w:val="bottom"/>
            <w:hideMark/>
          </w:tcPr>
          <w:p w:rsidR="007E2CEA" w:rsidRDefault="001A3BB4">
            <w:r>
              <w:t>4</w:t>
            </w:r>
          </w:p>
        </w:tc>
      </w:tr>
      <w:tr w:rsidR="007E2CEA">
        <w:trPr>
          <w:divId w:val="707949491"/>
          <w:trHeight w:val="37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0,9161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0,229</w:t>
            </w:r>
          </w:p>
        </w:tc>
        <w:tc>
          <w:tcPr>
            <w:tcW w:w="1740" w:type="dxa"/>
            <w:noWrap/>
            <w:vAlign w:val="bottom"/>
            <w:hideMark/>
          </w:tcPr>
          <w:p w:rsidR="007E2CEA" w:rsidRDefault="007E2CEA"/>
        </w:tc>
      </w:tr>
    </w:tbl>
    <w:p w:rsidR="007E2CEA" w:rsidRDefault="007E2CEA">
      <w:pPr>
        <w:divId w:val="707949491"/>
        <w:rPr>
          <w:vanish/>
        </w:rPr>
      </w:pPr>
    </w:p>
    <w:tbl>
      <w:tblPr>
        <w:tblW w:w="55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1455"/>
        <w:gridCol w:w="1515"/>
      </w:tblGrid>
      <w:tr w:rsidR="007E2CEA">
        <w:trPr>
          <w:divId w:val="707949491"/>
          <w:trHeight w:val="1080"/>
          <w:tblCellSpacing w:w="0" w:type="dxa"/>
        </w:trPr>
        <w:tc>
          <w:tcPr>
            <w:tcW w:w="1080" w:type="dxa"/>
            <w:vAlign w:val="bottom"/>
            <w:hideMark/>
          </w:tcPr>
          <w:p w:rsidR="007E2CEA" w:rsidRDefault="007E2CEA"/>
        </w:tc>
        <w:tc>
          <w:tcPr>
            <w:tcW w:w="1440" w:type="dxa"/>
            <w:vAlign w:val="bottom"/>
            <w:hideMark/>
          </w:tcPr>
          <w:p w:rsidR="007E2CEA" w:rsidRDefault="001A3BB4">
            <w:r>
              <w:t>Фактический объем расходов</w:t>
            </w:r>
          </w:p>
        </w:tc>
        <w:tc>
          <w:tcPr>
            <w:tcW w:w="1455" w:type="dxa"/>
            <w:vAlign w:val="bottom"/>
            <w:hideMark/>
          </w:tcPr>
          <w:p w:rsidR="007E2CEA" w:rsidRDefault="001A3BB4">
            <w:r>
              <w:t>Сезонная компонента</w:t>
            </w:r>
          </w:p>
        </w:tc>
        <w:tc>
          <w:tcPr>
            <w:tcW w:w="1515" w:type="dxa"/>
            <w:vAlign w:val="bottom"/>
            <w:hideMark/>
          </w:tcPr>
          <w:p w:rsidR="007E2CEA" w:rsidRDefault="001A3BB4">
            <w:r>
              <w:t>Десезонолизированный объем продаж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1080" w:type="dxa"/>
            <w:vAlign w:val="bottom"/>
            <w:hideMark/>
          </w:tcPr>
          <w:p w:rsidR="007E2CEA" w:rsidRDefault="007E2CEA"/>
        </w:tc>
        <w:tc>
          <w:tcPr>
            <w:tcW w:w="1440" w:type="dxa"/>
            <w:vAlign w:val="bottom"/>
            <w:hideMark/>
          </w:tcPr>
          <w:p w:rsidR="007E2CEA" w:rsidRDefault="001A3BB4">
            <w:r>
              <w:t>Y</w:t>
            </w:r>
          </w:p>
        </w:tc>
        <w:tc>
          <w:tcPr>
            <w:tcW w:w="1455" w:type="dxa"/>
            <w:vAlign w:val="bottom"/>
            <w:hideMark/>
          </w:tcPr>
          <w:p w:rsidR="007E2CEA" w:rsidRDefault="001A3BB4">
            <w:r>
              <w:t>S</w:t>
            </w:r>
          </w:p>
        </w:tc>
        <w:tc>
          <w:tcPr>
            <w:tcW w:w="1515" w:type="dxa"/>
            <w:vAlign w:val="bottom"/>
            <w:hideMark/>
          </w:tcPr>
          <w:p w:rsidR="007E2CEA" w:rsidRDefault="001A3BB4">
            <w:r>
              <w:t>Y/S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24518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0,912225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26877,14106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23778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0,843591667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28186,62267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25143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0,913825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27514,02074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27622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1,330358333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20762,82706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0,912225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28665,07715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24123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0,843591667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28595,58831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27580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0,913825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30180,83331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30854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1,330358333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23192,2477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29147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0,912225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31951,54704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26478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0,843591667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31387,22328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30159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0,913825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33003,03669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33149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1,330358333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24917,34683</w:t>
            </w:r>
          </w:p>
        </w:tc>
      </w:tr>
      <w:tr w:rsidR="007E2CEA">
        <w:trPr>
          <w:divId w:val="707949491"/>
          <w:trHeight w:val="330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2002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32451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0,912225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35573,46049</w:t>
            </w:r>
          </w:p>
        </w:tc>
      </w:tr>
    </w:tbl>
    <w:p w:rsidR="007E2CEA" w:rsidRPr="001A3BB4" w:rsidRDefault="00D02F15">
      <w:pPr>
        <w:pStyle w:val="a3"/>
        <w:divId w:val="707949491"/>
      </w:pPr>
      <w:r>
        <w:rPr>
          <w:noProof/>
        </w:rPr>
        <w:pict>
          <v:shape id="_x0000_i1054" type="#_x0000_t75" style="width:487.5pt;height:282.75pt">
            <v:imagedata r:id="rId8" o:title=""/>
          </v:shape>
        </w:pict>
      </w:r>
    </w:p>
    <w:p w:rsidR="007E2CEA" w:rsidRDefault="007E2CEA">
      <w:pPr>
        <w:divId w:val="707949491"/>
      </w:pPr>
    </w:p>
    <w:p w:rsidR="007E2CEA" w:rsidRDefault="001A3BB4">
      <w:pPr>
        <w:pStyle w:val="2"/>
        <w:divId w:val="707949491"/>
      </w:pPr>
      <w:r>
        <w:t>Расчет ошибок</w:t>
      </w:r>
    </w:p>
    <w:p w:rsidR="007E2CEA" w:rsidRPr="001A3BB4" w:rsidRDefault="001A3BB4">
      <w:pPr>
        <w:pStyle w:val="a3"/>
        <w:divId w:val="707949491"/>
      </w:pPr>
      <w:r>
        <w:t>         Ошибки прогнозируемых объемов расходов расчитывают по формуле:</w:t>
      </w:r>
    </w:p>
    <w:p w:rsidR="007E2CEA" w:rsidRDefault="001A3BB4">
      <w:pPr>
        <w:pStyle w:val="a3"/>
        <w:divId w:val="707949491"/>
      </w:pPr>
      <w:r>
        <w:rPr>
          <w:b/>
          <w:bCs/>
        </w:rPr>
        <w:t>E =A/(T*S)</w:t>
      </w:r>
    </w:p>
    <w:tbl>
      <w:tblPr>
        <w:tblW w:w="62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080"/>
        <w:gridCol w:w="1305"/>
        <w:gridCol w:w="1275"/>
        <w:gridCol w:w="1185"/>
      </w:tblGrid>
      <w:tr w:rsidR="007E2CEA">
        <w:trPr>
          <w:divId w:val="707949491"/>
          <w:trHeight w:val="945"/>
          <w:tblCellSpacing w:w="0" w:type="dxa"/>
        </w:trPr>
        <w:tc>
          <w:tcPr>
            <w:tcW w:w="1425" w:type="dxa"/>
            <w:vAlign w:val="bottom"/>
            <w:hideMark/>
          </w:tcPr>
          <w:p w:rsidR="007E2CEA" w:rsidRPr="001A3BB4" w:rsidRDefault="007E2CEA"/>
        </w:tc>
        <w:tc>
          <w:tcPr>
            <w:tcW w:w="1080" w:type="dxa"/>
            <w:vAlign w:val="bottom"/>
            <w:hideMark/>
          </w:tcPr>
          <w:p w:rsidR="007E2CEA" w:rsidRDefault="001A3BB4">
            <w:r>
              <w:t>Объем расходов</w:t>
            </w:r>
          </w:p>
        </w:tc>
        <w:tc>
          <w:tcPr>
            <w:tcW w:w="1305" w:type="dxa"/>
            <w:vAlign w:val="bottom"/>
            <w:hideMark/>
          </w:tcPr>
          <w:p w:rsidR="007E2CEA" w:rsidRDefault="001A3BB4">
            <w:r>
              <w:t>Сезонная компонента</w:t>
            </w:r>
          </w:p>
        </w:tc>
        <w:tc>
          <w:tcPr>
            <w:tcW w:w="1275" w:type="dxa"/>
            <w:vAlign w:val="bottom"/>
            <w:hideMark/>
          </w:tcPr>
          <w:p w:rsidR="007E2CEA" w:rsidRDefault="001A3BB4">
            <w:r>
              <w:t>Тренд</w:t>
            </w:r>
          </w:p>
        </w:tc>
        <w:tc>
          <w:tcPr>
            <w:tcW w:w="1185" w:type="dxa"/>
            <w:vAlign w:val="bottom"/>
            <w:hideMark/>
          </w:tcPr>
          <w:p w:rsidR="007E2CEA" w:rsidRDefault="001A3BB4">
            <w:r>
              <w:t>Ошибка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24518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0,912225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26877,1411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23778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0,84359167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28186,6227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25143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0,913825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27514,0207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27622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1,33035833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20762,8271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0,912225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28665,0771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24123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0,84359167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28595,5883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27580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0,913825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30180,8333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30854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1,33035833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23192,2477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29147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0,912225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31951,547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26478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0,84359167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31387,2233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30159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0,913825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33003,0367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33149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1,33035833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24917,3468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  <w:tr w:rsidR="007E2CEA">
        <w:trPr>
          <w:divId w:val="707949491"/>
          <w:trHeight w:val="330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2002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32451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0,912225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35573,4605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</w:t>
            </w:r>
          </w:p>
        </w:tc>
      </w:tr>
    </w:tbl>
    <w:p w:rsidR="007E2CEA" w:rsidRPr="001A3BB4" w:rsidRDefault="001A3BB4">
      <w:pPr>
        <w:pStyle w:val="a3"/>
        <w:divId w:val="707949491"/>
      </w:pPr>
      <w:r>
        <w:t>         Можно предположить, что величина ошибки второго прогноза будет несколько ниже чем первого.</w:t>
      </w:r>
    </w:p>
    <w:p w:rsidR="007E2CEA" w:rsidRDefault="007E2CEA">
      <w:pPr>
        <w:divId w:val="707949491"/>
      </w:pPr>
    </w:p>
    <w:p w:rsidR="007E2CEA" w:rsidRPr="001A3BB4" w:rsidRDefault="001A3BB4">
      <w:pPr>
        <w:pStyle w:val="a3"/>
        <w:divId w:val="707949491"/>
      </w:pPr>
      <w:r>
        <w:t>3. Прогноз методом скользящей средней и экспоненциального сглаживания.</w:t>
      </w:r>
    </w:p>
    <w:p w:rsidR="007E2CEA" w:rsidRDefault="001A3BB4">
      <w:pPr>
        <w:pStyle w:val="a3"/>
        <w:divId w:val="707949491"/>
      </w:pPr>
      <w:r>
        <w:t>         Для предсказаний значений временного ряда можно использовать более простую методику.</w:t>
      </w:r>
    </w:p>
    <w:p w:rsidR="007E2CEA" w:rsidRDefault="001A3BB4">
      <w:pPr>
        <w:pStyle w:val="a3"/>
        <w:divId w:val="707949491"/>
      </w:pPr>
      <w:r>
        <w:t>При расчете скользящей средней Y</w:t>
      </w:r>
      <w:r>
        <w:rPr>
          <w:vertAlign w:val="subscript"/>
        </w:rPr>
        <w:t>t</w:t>
      </w:r>
      <w:r>
        <w:rPr>
          <w:vertAlign w:val="superscript"/>
        </w:rPr>
        <w:t>np</w:t>
      </w:r>
      <w:r>
        <w:t xml:space="preserve"> </w:t>
      </w:r>
      <w:r>
        <w:rPr>
          <w:vertAlign w:val="superscript"/>
        </w:rPr>
        <w:t>c</w:t>
      </w:r>
      <w:r>
        <w:t xml:space="preserve"> (m) все m значений параметра Y за m моментов времени учитываются с одинаковым весовым коэффициентом 1/m что   не   всегда  обосновано.   Для   прогнозирования   технико – экономических трендов момент времени, в котором наблюдалось значение параметра Y, играет решающее значение. Естественно предположить, что за</w:t>
      </w:r>
      <w:r>
        <w:softHyphen/>
        <w:t>висимость во временных рядах постепенно ослабевает с увеличением перио</w:t>
      </w:r>
      <w:r>
        <w:softHyphen/>
        <w:t>да между двумя соседними точками. Так, если зависимость прогнозируемою параметра Y</w:t>
      </w:r>
      <w:r>
        <w:rPr>
          <w:vertAlign w:val="subscript"/>
        </w:rPr>
        <w:t>t</w:t>
      </w:r>
      <w:r>
        <w:t xml:space="preserve"> представляется более сильной от значения Y</w:t>
      </w:r>
      <w:r>
        <w:rPr>
          <w:vertAlign w:val="subscript"/>
        </w:rPr>
        <w:t>t-1</w:t>
      </w:r>
      <w:r>
        <w:t>, чем от Y</w:t>
      </w:r>
      <w:r>
        <w:rPr>
          <w:vertAlign w:val="subscript"/>
        </w:rPr>
        <w:t xml:space="preserve">t-s </w:t>
      </w:r>
      <w:r>
        <w:t> то</w:t>
      </w:r>
    </w:p>
    <w:p w:rsidR="007E2CEA" w:rsidRDefault="001A3BB4">
      <w:pPr>
        <w:pStyle w:val="a3"/>
        <w:divId w:val="707949491"/>
      </w:pPr>
      <w:r>
        <w:t>наблюдениям временного ряда следует придавать веса, которые должны уменьшаться но мере удаления oт фиксированного момента времени t. Это обстоятельство учитывается в методе экспоненциального сглаживания. Таким образом, при вычислении .ко экспоненциальной средней используются лишь предшествующая экспоненциальная средняя и последнее наблюдение, а все предыдущие наблюдения игнорируются.</w:t>
      </w:r>
    </w:p>
    <w:p w:rsidR="007E2CEA" w:rsidRDefault="001A3BB4">
      <w:pPr>
        <w:pStyle w:val="a3"/>
        <w:divId w:val="707949491"/>
      </w:pPr>
      <w:r>
        <w:t>Например, пусть необходимо дать прогноз для t-=8 но данным следую</w:t>
      </w:r>
      <w:r>
        <w:softHyphen/>
        <w:t xml:space="preserve">щего временного ряда: 1) методом скользящей средней для m=3, m =4$ 2) методом экспоненциального о сглаживания для  </w:t>
      </w:r>
      <w:r w:rsidR="00D02F15">
        <w:rPr>
          <w:noProof/>
        </w:rPr>
        <w:pict>
          <v:shape id="_x0000_i1057" type="#_x0000_t75" style="width:11.25pt;height:11.25pt">
            <v:imagedata r:id="rId9" o:title=""/>
          </v:shape>
        </w:pict>
      </w:r>
      <w:r>
        <w:t>=0,2; 0,6.</w:t>
      </w:r>
    </w:p>
    <w:tbl>
      <w:tblPr>
        <w:tblW w:w="39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505"/>
      </w:tblGrid>
      <w:tr w:rsidR="007E2CEA">
        <w:trPr>
          <w:divId w:val="707949491"/>
          <w:trHeight w:val="315"/>
          <w:tblCellSpacing w:w="0" w:type="dxa"/>
        </w:trPr>
        <w:tc>
          <w:tcPr>
            <w:tcW w:w="1485" w:type="dxa"/>
            <w:noWrap/>
            <w:vAlign w:val="bottom"/>
            <w:hideMark/>
          </w:tcPr>
          <w:p w:rsidR="007E2CEA" w:rsidRDefault="001A3BB4">
            <w:r>
              <w:t>1 кв. 1999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24518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1999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23778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1999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25143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1999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27622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2000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26149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2000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24123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2000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27580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2000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30854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2001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29147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2001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26478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2001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30159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2001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33149</w:t>
            </w:r>
          </w:p>
        </w:tc>
      </w:tr>
      <w:tr w:rsidR="007E2CEA">
        <w:trPr>
          <w:divId w:val="707949491"/>
          <w:trHeight w:val="330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2002 г.</w:t>
            </w:r>
          </w:p>
        </w:tc>
        <w:tc>
          <w:tcPr>
            <w:tcW w:w="2505" w:type="dxa"/>
            <w:noWrap/>
            <w:vAlign w:val="bottom"/>
            <w:hideMark/>
          </w:tcPr>
          <w:p w:rsidR="007E2CEA" w:rsidRDefault="001A3BB4">
            <w:r>
              <w:t>32451</w:t>
            </w:r>
          </w:p>
        </w:tc>
      </w:tr>
    </w:tbl>
    <w:p w:rsidR="007E2CEA" w:rsidRDefault="001A3BB4">
      <w:pPr>
        <w:pStyle w:val="3"/>
        <w:divId w:val="707949491"/>
      </w:pPr>
      <w:r>
        <w:t>Метод скользящей средней</w:t>
      </w:r>
    </w:p>
    <w:p w:rsidR="007E2CEA" w:rsidRPr="001A3BB4" w:rsidRDefault="001A3BB4">
      <w:pPr>
        <w:pStyle w:val="a3"/>
        <w:divId w:val="707949491"/>
      </w:pPr>
      <w:r>
        <w:t>Y</w:t>
      </w:r>
      <w:r>
        <w:rPr>
          <w:vertAlign w:val="subscript"/>
        </w:rPr>
        <w:t>14</w:t>
      </w:r>
      <w:r>
        <w:rPr>
          <w:vertAlign w:val="superscript"/>
        </w:rPr>
        <w:t>пр</w:t>
      </w:r>
      <w:r>
        <w:t xml:space="preserve"> </w:t>
      </w:r>
      <w:r>
        <w:rPr>
          <w:vertAlign w:val="superscript"/>
        </w:rPr>
        <w:t>с</w:t>
      </w:r>
      <w:r>
        <w:t>(3) = (30159+33149+32451)/3=31919,67</w:t>
      </w:r>
    </w:p>
    <w:p w:rsidR="007E2CEA" w:rsidRDefault="001A3BB4">
      <w:pPr>
        <w:pStyle w:val="a3"/>
        <w:divId w:val="707949491"/>
      </w:pPr>
      <w:r>
        <w:t>Y</w:t>
      </w:r>
      <w:r>
        <w:rPr>
          <w:vertAlign w:val="subscript"/>
        </w:rPr>
        <w:t>14</w:t>
      </w:r>
      <w:r>
        <w:rPr>
          <w:vertAlign w:val="superscript"/>
        </w:rPr>
        <w:t>пр с</w:t>
      </w:r>
      <w:r>
        <w:t xml:space="preserve"> (13) = (24518+23778+25143+27622+26149+24123+27580+30854+29147+ 26478+30159+33149+32451)/13 = 27780,846</w:t>
      </w:r>
    </w:p>
    <w:p w:rsidR="007E2CEA" w:rsidRDefault="001A3BB4">
      <w:pPr>
        <w:pStyle w:val="a3"/>
        <w:divId w:val="707949491"/>
      </w:pPr>
      <w:r>
        <w:t>Метод экспоненциального сглаживания</w:t>
      </w:r>
    </w:p>
    <w:tbl>
      <w:tblPr>
        <w:tblW w:w="52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60"/>
        <w:gridCol w:w="960"/>
        <w:gridCol w:w="1860"/>
      </w:tblGrid>
      <w:tr w:rsidR="007E2CEA">
        <w:trPr>
          <w:divId w:val="707949491"/>
          <w:trHeight w:val="315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Pr="001A3BB4" w:rsidRDefault="007E2CEA"/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0,2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погрешность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1 кв. 1999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24518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#Н/Д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#Н/Д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 кв. 1999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23778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23778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#Н/Д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3 кв. 1999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25143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24870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#Н/Д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4 кв. 1999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27622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27071,6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#Н/Д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1 кв. 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26149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26333,52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1851,838704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 кв. 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24123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24565,1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2106,426154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3 кв. 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27580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26977,02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2223,149967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4 кв. 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30854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30078,6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3109,499653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1 кв. 2001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29147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29333,32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2886,08454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 кв. 2001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26478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27049,06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2831,47259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3 кв. 2001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30159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29537,01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2496,160001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4 кв. 2001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33149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32426,6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3207,855423</w:t>
            </w:r>
          </w:p>
        </w:tc>
      </w:tr>
      <w:tr w:rsidR="007E2CEA">
        <w:trPr>
          <w:divId w:val="707949491"/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1 кв. 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1A3BB4">
            <w:r>
              <w:t>32451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7E2CEA"/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</w:tr>
    </w:tbl>
    <w:p w:rsidR="007E2CEA" w:rsidRPr="001A3BB4" w:rsidRDefault="001A3BB4">
      <w:pPr>
        <w:pStyle w:val="a3"/>
        <w:divId w:val="707949491"/>
      </w:pPr>
      <w:r>
        <w:t> </w:t>
      </w:r>
      <w:r w:rsidR="00D02F15">
        <w:rPr>
          <w:noProof/>
        </w:rPr>
        <w:pict>
          <v:shape id="_x0000_i1060" type="#_x0000_t75" style="width:289.5pt;height:159pt">
            <v:imagedata r:id="rId10" o:title=""/>
          </v:shape>
        </w:pict>
      </w:r>
    </w:p>
    <w:tbl>
      <w:tblPr>
        <w:tblW w:w="47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60"/>
        <w:gridCol w:w="960"/>
        <w:gridCol w:w="1380"/>
      </w:tblGrid>
      <w:tr w:rsidR="007E2CEA">
        <w:trPr>
          <w:divId w:val="707949491"/>
          <w:trHeight w:val="315"/>
          <w:tblCellSpacing w:w="0" w:type="dxa"/>
        </w:trPr>
        <w:tc>
          <w:tcPr>
            <w:tcW w:w="1440" w:type="dxa"/>
            <w:noWrap/>
            <w:vAlign w:val="bottom"/>
            <w:hideMark/>
          </w:tcPr>
          <w:p w:rsidR="007E2CEA" w:rsidRPr="001A3BB4" w:rsidRDefault="007E2CEA"/>
        </w:tc>
        <w:tc>
          <w:tcPr>
            <w:tcW w:w="960" w:type="dxa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E2CEA" w:rsidRDefault="001A3BB4">
            <w:r>
              <w:t>0,6</w:t>
            </w:r>
          </w:p>
        </w:tc>
        <w:tc>
          <w:tcPr>
            <w:tcW w:w="1380" w:type="dxa"/>
            <w:noWrap/>
            <w:vAlign w:val="bottom"/>
            <w:hideMark/>
          </w:tcPr>
          <w:p w:rsidR="007E2CEA" w:rsidRDefault="001A3BB4">
            <w:r>
              <w:t>погрешность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24518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#Н/Д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#Н/Д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23778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23778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#Н/Д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25143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24324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#Н/Д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1999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27622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25643,2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#Н/Д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25845,52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2081,334719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24123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25156,51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2167,926259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27580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26125,91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1741,283327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2000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30854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28017,14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3224,65661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29147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28469,09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3136,065979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26478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27672,65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3032,922749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30159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28667,19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1951,31804</w:t>
            </w:r>
          </w:p>
        </w:tc>
      </w:tr>
      <w:tr w:rsidR="007E2CEA">
        <w:trPr>
          <w:divId w:val="707949491"/>
          <w:trHeight w:val="315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4 кв. 2001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33149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30459,91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3174,532132</w:t>
            </w:r>
          </w:p>
        </w:tc>
      </w:tr>
      <w:tr w:rsidR="007E2CEA">
        <w:trPr>
          <w:divId w:val="707949491"/>
          <w:trHeight w:val="330"/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1 кв. 2002 г.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1A3BB4">
            <w:r>
              <w:t>32451</w:t>
            </w:r>
          </w:p>
        </w:tc>
        <w:tc>
          <w:tcPr>
            <w:tcW w:w="0" w:type="auto"/>
            <w:noWrap/>
            <w:vAlign w:val="bottom"/>
            <w:hideMark/>
          </w:tcPr>
          <w:p w:rsidR="007E2CEA" w:rsidRDefault="007E2CEA"/>
        </w:tc>
        <w:tc>
          <w:tcPr>
            <w:tcW w:w="0" w:type="auto"/>
            <w:noWrap/>
            <w:vAlign w:val="bottom"/>
            <w:hideMark/>
          </w:tcPr>
          <w:p w:rsidR="007E2CEA" w:rsidRDefault="007E2CEA">
            <w:pPr>
              <w:rPr>
                <w:sz w:val="20"/>
                <w:szCs w:val="20"/>
              </w:rPr>
            </w:pPr>
          </w:p>
        </w:tc>
      </w:tr>
    </w:tbl>
    <w:p w:rsidR="007E2CEA" w:rsidRPr="001A3BB4" w:rsidRDefault="00D02F15">
      <w:pPr>
        <w:pStyle w:val="a3"/>
        <w:divId w:val="707949491"/>
      </w:pPr>
      <w:r>
        <w:rPr>
          <w:noProof/>
        </w:rPr>
        <w:pict>
          <v:shape id="_x0000_i1063" type="#_x0000_t75" style="width:289.5pt;height:159pt">
            <v:imagedata r:id="rId11" o:title=""/>
          </v:shape>
        </w:pict>
      </w:r>
    </w:p>
    <w:p w:rsidR="007E2CEA" w:rsidRDefault="001A3BB4">
      <w:pPr>
        <w:pStyle w:val="a3"/>
        <w:divId w:val="707949491"/>
      </w:pPr>
      <w:r>
        <w:t>рис. 8.</w:t>
      </w:r>
    </w:p>
    <w:p w:rsidR="007E2CEA" w:rsidRDefault="001A3BB4">
      <w:pPr>
        <w:pStyle w:val="a3"/>
        <w:divId w:val="707949491"/>
      </w:pPr>
      <w:r>
        <w:t>Число членов скользящей средней m и параметр -экспоненциального сглаживания (</w:t>
      </w:r>
      <w:r w:rsidR="00D02F15">
        <w:rPr>
          <w:noProof/>
        </w:rPr>
        <w:pict>
          <v:shape id="_x0000_i1066" type="#_x0000_t75" style="width:11.25pt;height:11.25pt">
            <v:imagedata r:id="rId9" o:title=""/>
          </v:shape>
        </w:pict>
      </w:r>
      <w:r>
        <w:t xml:space="preserve"> определяется статистикой исследуемою процесса. Чем мень-ше m и чем больше </w:t>
      </w:r>
      <w:r w:rsidR="00D02F15">
        <w:rPr>
          <w:noProof/>
        </w:rPr>
        <w:pict>
          <v:shape id="_x0000_i1069" type="#_x0000_t75" style="width:11.25pt;height:11.25pt">
            <v:imagedata r:id="rId9" o:title=""/>
          </v:shape>
        </w:pict>
      </w:r>
      <w:r>
        <w:t>, тем сильнее peaгирует пpoгноз на колебания временно</w:t>
      </w:r>
      <w:r>
        <w:softHyphen/>
        <w:t xml:space="preserve">го ряда, и наоборот, чем больше m и чем меньше </w:t>
      </w:r>
      <w:r w:rsidR="00D02F15">
        <w:rPr>
          <w:noProof/>
        </w:rPr>
        <w:pict>
          <v:shape id="_x0000_i1072" type="#_x0000_t75" style="width:11.25pt;height:11.25pt">
            <v:imagedata r:id="rId9" o:title=""/>
          </v:shape>
        </w:pict>
      </w:r>
      <w:r>
        <w:t>, чем более инерционным является процесс прогнозирования. Для подбора оптимального параметра прогнозирования необходимо провести сглаживание временною ряда с по</w:t>
      </w:r>
      <w:r>
        <w:softHyphen/>
        <w:t xml:space="preserve">мощью нескольких различных значений параметра m или </w:t>
      </w:r>
      <w:r w:rsidR="00D02F15">
        <w:rPr>
          <w:noProof/>
        </w:rPr>
        <w:pict>
          <v:shape id="_x0000_i1075" type="#_x0000_t75" style="width:11.25pt;height:11.25pt">
            <v:imagedata r:id="rId9" o:title=""/>
          </v:shape>
        </w:pict>
      </w:r>
      <w:r>
        <w:t> затем опреде</w:t>
      </w:r>
      <w:r>
        <w:softHyphen/>
        <w:t>лить среднюю ошибку прогнозов и выбрать параметр, соответствующий минимальной ошибке.</w:t>
      </w:r>
      <w:bookmarkStart w:id="0" w:name="_GoBack"/>
      <w:bookmarkEnd w:id="0"/>
    </w:p>
    <w:sectPr w:rsidR="007E2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BB4"/>
    <w:rsid w:val="001A3BB4"/>
    <w:rsid w:val="007E2CEA"/>
    <w:rsid w:val="00D0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9E0F82C1-C517-4A68-8C9E-1ABF7A16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1687</Words>
  <Characters>9616</Characters>
  <Application>Microsoft Office Word</Application>
  <DocSecurity>0</DocSecurity>
  <Lines>80</Lines>
  <Paragraphs>22</Paragraphs>
  <ScaleCrop>false</ScaleCrop>
  <Company>diakov.net</Company>
  <LinksUpToDate>false</LinksUpToDate>
  <CharactersWithSpaces>11281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прогнозирования финансовых показателей</dc:title>
  <dc:subject/>
  <dc:creator>Irina</dc:creator>
  <cp:keywords/>
  <dc:description/>
  <cp:lastModifiedBy>Irina</cp:lastModifiedBy>
  <cp:revision>2</cp:revision>
  <dcterms:created xsi:type="dcterms:W3CDTF">2014-08-06T18:33:00Z</dcterms:created>
  <dcterms:modified xsi:type="dcterms:W3CDTF">2014-08-06T18:33:00Z</dcterms:modified>
</cp:coreProperties>
</file>