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C2" w:rsidRDefault="009826DD">
      <w:pPr>
        <w:pStyle w:val="1"/>
        <w:jc w:val="center"/>
      </w:pPr>
      <w:r>
        <w:t>Динамика антропометрических показателей детей и подростков г. Самары (1978-2008 гг.)</w:t>
      </w:r>
    </w:p>
    <w:p w:rsidR="008424C2" w:rsidRPr="009826DD" w:rsidRDefault="009826DD">
      <w:pPr>
        <w:pStyle w:val="a3"/>
      </w:pPr>
      <w:r>
        <w:t> </w:t>
      </w:r>
    </w:p>
    <w:p w:rsidR="008424C2" w:rsidRDefault="009826DD">
      <w:pPr>
        <w:pStyle w:val="a3"/>
      </w:pPr>
      <w:r>
        <w:t>Н.В. Русакова, И.И. Березин И.Г. Кретова, Е.А. Косцова, С.Е. Чигарина, А.И. Манюхин</w:t>
      </w:r>
    </w:p>
    <w:p w:rsidR="008424C2" w:rsidRDefault="009826DD">
      <w:pPr>
        <w:pStyle w:val="a3"/>
      </w:pPr>
      <w:r>
        <w:t>Проведено изучение антропометрических параметров 4627 детей и подростков г. Самары в возрасте от 7 до 17 лет в период с 1978 по 2008 гг. Результаты исследования выявили ухудшение физического развития современных детей, что выражается в снижении длины и массы тела, особенно юношей. Достоверно увеличилась доля школьников с дисгармоничными параметрами физического развития. При детальной статистической обработке достоверных отличий в наиболее значимых показателях физического развития школьников г. Самары за 30-летний период выявлено не было.</w:t>
      </w:r>
    </w:p>
    <w:p w:rsidR="008424C2" w:rsidRDefault="009826DD">
      <w:pPr>
        <w:pStyle w:val="a3"/>
      </w:pPr>
      <w:r>
        <w:t>Ключевые слова: показатели физического развития, длина, масса тела, дети и подростки.</w:t>
      </w:r>
    </w:p>
    <w:p w:rsidR="008424C2" w:rsidRDefault="009826DD">
      <w:pPr>
        <w:pStyle w:val="a3"/>
      </w:pPr>
      <w:r>
        <w:t>Введение</w:t>
      </w:r>
    </w:p>
    <w:p w:rsidR="008424C2" w:rsidRDefault="009826DD">
      <w:pPr>
        <w:pStyle w:val="a3"/>
      </w:pPr>
      <w:r>
        <w:t>Неблагоприятные демографические процессы в нашем обществе сопровождаются резким ухудшением состояния здоровья детей и подростков. Доля здоровых детей по разным регионам России в последние годы колеблется от 4 до 20 % [1-6]. Наиболее значительный рост частоты нарушений здоровья и развития среди подрастающего поколения происходит в школьном возрасте [7-9].</w:t>
      </w:r>
    </w:p>
    <w:p w:rsidR="008424C2" w:rsidRDefault="009826DD">
      <w:pPr>
        <w:pStyle w:val="a3"/>
      </w:pPr>
      <w:r>
        <w:t>Важнейшим инструментом первичного контроля за состоянием здоровья детей и подростков является индивидуальная и коллективная оценка роста и развития подрастающего поколения. Простота и доступность методов изучения, значительная информативность получаемых данных придают показателям физического развития наряду с показателями заболеваемости и демографическими показателями значение объективного критерия санитарно-эпидемиологического благополучия населения.</w:t>
      </w:r>
    </w:p>
    <w:p w:rsidR="008424C2" w:rsidRDefault="009826DD">
      <w:pPr>
        <w:pStyle w:val="a3"/>
      </w:pPr>
      <w:r>
        <w:t>В целях совершенствования работы по укреплению здоровья и улучшению физического развития детского населения Постановлением Правительства РФ от 29.12.2001 г. № 916 утверждено ’’Положение об общероссийской системе мониторинга состояния физического здоровья населения, физического развития детей, подростков и молодежи”. Необходимость проведения мониторинга физического развития детей и подростков обусловлена, с одной стороны, ухудшением физического развития, физической подготовленности и состояния здоровья учащихся при воспитании и обучении в современных образовательных учреждениях, характеризующихся интенсификацией образовательного процесса, многообразием форм обучения и видов учебных нагрузок, и различиями в темпах физического развития и биологического созревания современных детей, с другой [10].</w:t>
      </w:r>
    </w:p>
    <w:p w:rsidR="008424C2" w:rsidRDefault="009826DD">
      <w:pPr>
        <w:pStyle w:val="a3"/>
      </w:pPr>
      <w:r>
        <w:t>В связи с этим целью нашего исследования было проведение сравнительного анализа физического развития детей и подростков, обучающихся в средних образовательных учреждениях г. Самары в период с 1978 по 2008 гг.</w:t>
      </w:r>
    </w:p>
    <w:p w:rsidR="008424C2" w:rsidRDefault="009826DD">
      <w:pPr>
        <w:pStyle w:val="a3"/>
      </w:pPr>
      <w:r>
        <w:t>Материалы и методы исследования</w:t>
      </w:r>
    </w:p>
    <w:p w:rsidR="008424C2" w:rsidRDefault="009826DD">
      <w:pPr>
        <w:pStyle w:val="a3"/>
      </w:pPr>
      <w:r>
        <w:t>Нами проведено изучение антропометрических параметров 4627 детей и подростков г. Самары в возрасте от 7 до 17 лет в период с 1978 по 2008 гг. Распределение детей по возрасту и полу представлено в табл. 1.</w:t>
      </w:r>
    </w:p>
    <w:p w:rsidR="008424C2" w:rsidRDefault="009826DD">
      <w:pPr>
        <w:pStyle w:val="a3"/>
      </w:pPr>
      <w:r>
        <w:t>Показатели физического развития оценивали непараметрическим цен- тильным методом. Определяли длину, массу тела детей и подростков. Оценивали индекс массы тела.</w:t>
      </w:r>
    </w:p>
    <w:p w:rsidR="008424C2" w:rsidRDefault="009826DD">
      <w:pPr>
        <w:pStyle w:val="a3"/>
      </w:pPr>
      <w:r>
        <w:t>Статистическая обработка полученных данных производилась с применением пакетов программ Statistica 6.0 и SigmaStat 3.0. Использовались методы вариационной статистики с расчетом средних значений, среднего квадратического отклонения. Достоверность различий количественных переменных анализировали с помощью критерия Стьюдента. Результаты рассматривали как статистически значимые при p &lt; 0, 05.</w:t>
      </w:r>
    </w:p>
    <w:p w:rsidR="008424C2" w:rsidRDefault="009826DD">
      <w:pPr>
        <w:pStyle w:val="a3"/>
      </w:pPr>
      <w:r>
        <w:t>Таблица 1</w:t>
      </w:r>
    </w:p>
    <w:p w:rsidR="008424C2" w:rsidRDefault="009826DD">
      <w:pPr>
        <w:pStyle w:val="a3"/>
      </w:pPr>
      <w:r>
        <w:t>Распределение обследуемых детей и подростков по возрасту и полу</w:t>
      </w:r>
    </w:p>
    <w:p w:rsidR="008424C2" w:rsidRDefault="009826DD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</w:tblGrid>
      <w:tr w:rsidR="008424C2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424C2" w:rsidRDefault="009826DD">
            <w:r>
              <w:t>Возраст,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24C2" w:rsidRDefault="009826DD">
            <w:r>
              <w:t>Мальчики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24C2" w:rsidRDefault="009826DD">
            <w:r>
              <w:t>Девочки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24C2" w:rsidRDefault="008424C2"/>
        </w:tc>
        <w:tc>
          <w:tcPr>
            <w:tcW w:w="0" w:type="auto"/>
            <w:vAlign w:val="center"/>
            <w:hideMark/>
          </w:tcPr>
          <w:p w:rsidR="008424C2" w:rsidRDefault="009826DD">
            <w:r>
              <w:t>1978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2008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1978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2008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111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190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243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104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119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113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220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123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66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140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47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103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180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102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54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102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56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56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47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102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62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49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119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101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40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117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141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119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182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75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114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100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126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32</w:t>
            </w:r>
          </w:p>
        </w:tc>
      </w:tr>
      <w:tr w:rsidR="008424C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1239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967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1225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1196</w:t>
            </w:r>
          </w:p>
        </w:tc>
      </w:tr>
    </w:tbl>
    <w:p w:rsidR="008424C2" w:rsidRPr="009826DD" w:rsidRDefault="009826DD">
      <w:pPr>
        <w:pStyle w:val="a3"/>
      </w:pPr>
      <w:r>
        <w:t>Результаты и их обсуждение</w:t>
      </w:r>
    </w:p>
    <w:p w:rsidR="008424C2" w:rsidRDefault="009826DD">
      <w:pPr>
        <w:pStyle w:val="a3"/>
      </w:pPr>
      <w:r>
        <w:t>Изучение длины тела школьников показало, что в 1978 г. в 7-8-летнем возрасте длина тела девочек была почти равной длине тела мальчиков (табл. 2). В возрасте от 9 до 12 лет длина тела девочек была выше, чем у мальчиков.</w:t>
      </w:r>
    </w:p>
    <w:p w:rsidR="008424C2" w:rsidRDefault="009826DD">
      <w:pPr>
        <w:pStyle w:val="a3"/>
      </w:pPr>
      <w:r>
        <w:t>Начиная с 13-летнего возраста длина тела мальчиков начинает опережать длину тела девочек, достигая в среднем 175, 02 ± 6, 31 см в 17 лет. У девочек длина тела составляла в среднем 162, 93 ± 5, 21, что почти на 13 см меньше.</w:t>
      </w:r>
    </w:p>
    <w:p w:rsidR="008424C2" w:rsidRDefault="009826DD">
      <w:pPr>
        <w:pStyle w:val="a3"/>
      </w:pPr>
      <w:r>
        <w:t>У современных школьников отмечается несколько иная картина. В 7-8 лет длина тела мальчиков и девочек так же, как и ранее, практически одинакова. Однако в возрасте 9-10 лет длина тела мальчиков начинает опережать длину тела девочек. Начиная с 11-летнего возраста до 14 лет рост девочек несколько выше, чем у мальчиков. С 15 лет длина тела юношей вновь опережает данный показатель девушек. Однако разница в длине тела у девушек и юношей составляет всего от 3 до 10 см.</w:t>
      </w:r>
    </w:p>
    <w:p w:rsidR="008424C2" w:rsidRDefault="009826DD">
      <w:pPr>
        <w:pStyle w:val="a3"/>
      </w:pPr>
      <w:r>
        <w:t>При исследовании другого антропометрического параметра физического развития — массы тела — выявлено (табл. 3), что в 1978 г. масса тела мальчиков, за исключением возраста в 12-14 лет, была больше, чем масса тела девочек, достигая к 17 годам в среднем 65, 02±7,17 кг и 54, 58±5, 69 кг соответственно, т. е. разница в массе тела составляет почти 10,5 кг. Современные мальчики и юноши во все возрастные периоды (кроме 14-летнего</w:t>
      </w:r>
    </w:p>
    <w:p w:rsidR="008424C2" w:rsidRDefault="009826DD">
      <w:pPr>
        <w:pStyle w:val="a3"/>
      </w:pPr>
      <w:r>
        <w:t>Таблица 2</w:t>
      </w:r>
    </w:p>
    <w:p w:rsidR="008424C2" w:rsidRDefault="009826DD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</w:tblGrid>
      <w:tr w:rsidR="008424C2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Возраст,</w:t>
            </w:r>
          </w:p>
          <w:p w:rsidR="008424C2" w:rsidRPr="009826DD" w:rsidRDefault="009826DD">
            <w:pPr>
              <w:pStyle w:val="a3"/>
            </w:pPr>
            <w:r w:rsidRPr="009826DD">
              <w:t>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24C2" w:rsidRDefault="009826DD">
            <w:r>
              <w:t>Мальчики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24C2" w:rsidRDefault="009826DD">
            <w:r>
              <w:t>Девочки</w:t>
            </w:r>
          </w:p>
        </w:tc>
      </w:tr>
      <w:tr w:rsidR="008424C2">
        <w:trPr>
          <w:trHeight w:val="8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24C2" w:rsidRPr="009826DD" w:rsidRDefault="008424C2"/>
        </w:tc>
        <w:tc>
          <w:tcPr>
            <w:tcW w:w="0" w:type="auto"/>
            <w:vAlign w:val="center"/>
            <w:hideMark/>
          </w:tcPr>
          <w:p w:rsidR="008424C2" w:rsidRDefault="009826DD">
            <w:r>
              <w:t>1978 M± a (min — max)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2008 M± a (min — max)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1978 M± a (min — max)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2008 M± a (min — max)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125, 51 ± 4, 39 (115,5—136)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123, 63 ± 4, 94 (110—142)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125,12 ± 4, 98 (111,5—138)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123, 27 ± 4, 66 (108—137)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128, 87 ± 5, 46 (117,5—143)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128, 67 ± 5, 46 (105—144)</w:t>
            </w:r>
          </w:p>
        </w:tc>
        <w:tc>
          <w:tcPr>
            <w:tcW w:w="0" w:type="auto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127, 07 ± 4, 72</w:t>
            </w:r>
          </w:p>
          <w:p w:rsidR="008424C2" w:rsidRPr="009826DD" w:rsidRDefault="009826DD">
            <w:pPr>
              <w:pStyle w:val="a3"/>
            </w:pPr>
            <w:r w:rsidRPr="009826DD">
              <w:t>(115,5—140)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128, 40 ± 4, 44 (114,5—150)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131, 93 ± 6, 23 (118—151)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132, 92 ± 8, 05 (114—150)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132, 06 ± 5, 08 (121—148)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130, 40 ± 8, 64 (114—148)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138, 42 ± 5, 65 (125,5—153)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140, 50 ± 9, 42 (116—162,7)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137, 43 ± 5, 62 (124—150)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139, 23 ± 7, 98 (112—156)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144, 64 ± 6, 45 (128—163)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150, 91 ± 9, 32 (122,5—169,5)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145,13 ± 8, 57 (128—169,5)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151, 44 ± 8, 31 (126—164,6)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148, 51 ± 6, 75 (132,5—169)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149, 31 ± 8, 22 (122,5—166,5)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150, 22 ± 7, 46 (122,5—165)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150, 55 ± 7,16 (124—165)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154, 0 ± 8, 47 (136,5—175)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150,10 ± 9,13 (125—172)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157, 05 ± 5, 64 (129,5—165,4)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152,18 ± 7, 56 (133—167)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161, 34 ± 8, 99 (141,5—181)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152,18 ± 11, 07 (132—182)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162,14 ± 5, 58 (147,5—173)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154,15 ± 4, 81 (132—176)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169, 22 ± 6, 52 (153,5—184)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169, 73 ± 11, 34 (117—183)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162, 28 ± 5, 49 (148—176)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159, 95 ± 8, 41 (130—185)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174, 97 ± 6, 04 (159—191)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167, 74 ± 11,11 (140—193)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162, 90 ± 4, 98 (148—177)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164, 74 ± 6, 66 (138—178)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175, 02 ± 6, 31 (161—191)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167, 97 ± 15, 29 (143—194)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162, 93 ± 5, 21 (149—177)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164,10 ± 7, 78 (153—173,5)</w:t>
            </w:r>
          </w:p>
        </w:tc>
      </w:tr>
    </w:tbl>
    <w:p w:rsidR="008424C2" w:rsidRPr="009826DD" w:rsidRDefault="009826DD">
      <w:pPr>
        <w:pStyle w:val="a3"/>
      </w:pPr>
      <w:r>
        <w:t>Длина тела школьников г. Самары в динамике 30-летнего наблюдения (см)</w:t>
      </w:r>
    </w:p>
    <w:p w:rsidR="008424C2" w:rsidRDefault="009826DD">
      <w:pPr>
        <w:pStyle w:val="a3"/>
      </w:pPr>
      <w:r>
        <w:t>возраста) имеют большую массу тела, чем девочки и девушки. Однако разница в среднем составляет всего от 0,5 до 2 кг.</w:t>
      </w:r>
    </w:p>
    <w:p w:rsidR="008424C2" w:rsidRDefault="009826DD">
      <w:pPr>
        <w:pStyle w:val="a3"/>
      </w:pPr>
      <w:r>
        <w:t>Таким образом, можно предположить, что в настоящее время отмечается тенденция к гендерному выравниванию антропометрических параметров.</w:t>
      </w:r>
    </w:p>
    <w:p w:rsidR="008424C2" w:rsidRDefault="009826DD">
      <w:pPr>
        <w:pStyle w:val="a3"/>
      </w:pPr>
      <w:r>
        <w:t>При сравнительном анализе длины тела в динамике 30-летнего наблюдения выявлена тенденция отставания в физическом развитии современных мальчиков и юношей от своих сверстников конца 70-х годов ХХ века практически во все возрастные периоды.</w:t>
      </w:r>
    </w:p>
    <w:p w:rsidR="008424C2" w:rsidRDefault="009826DD">
      <w:pPr>
        <w:pStyle w:val="a3"/>
      </w:pPr>
      <w:r>
        <w:t>Так, в семилетнем возрасте при поступлении в школу разница была равна в среднем 1,88 см, в 16-17 лет — уже 7,0—7,2 см. Исключение составляет возраст в 10—11 лет: длина тела современных мальчиков несколько выше, чем у их ровесников 1978 г. Скачок роста у детей конца 70-х гг. наблюдался в возрасте 9-11 лет, когда длина тела возрастала в среднем на 6-7 см в год, и начиная с 13-летнего возраста.</w:t>
      </w:r>
    </w:p>
    <w:p w:rsidR="008424C2" w:rsidRDefault="009826DD">
      <w:pPr>
        <w:pStyle w:val="a3"/>
      </w:pPr>
      <w:r>
        <w:t>Масса тела школьников г. Самары в динамике 30-летнего наблюдения (кг)</w:t>
      </w:r>
    </w:p>
    <w:p w:rsidR="008424C2" w:rsidRDefault="009826DD">
      <w:pPr>
        <w:pStyle w:val="a3"/>
      </w:pPr>
      <w:r>
        <w:t>Для современных школьников скачок роста характерен в возрасте 9-11 лет и в период с 14 до 15 лет. В дальнейшем темпы прироста длины тела значительно снижаются.</w:t>
      </w:r>
    </w:p>
    <w:p w:rsidR="008424C2" w:rsidRDefault="009826DD">
      <w:pPr>
        <w:pStyle w:val="a3"/>
      </w:pPr>
      <w:r>
        <w:t>Таблица 3</w:t>
      </w:r>
    </w:p>
    <w:p w:rsidR="008424C2" w:rsidRDefault="009826DD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</w:tblGrid>
      <w:tr w:rsidR="008424C2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Возраст,</w:t>
            </w:r>
          </w:p>
          <w:p w:rsidR="008424C2" w:rsidRPr="009826DD" w:rsidRDefault="009826DD">
            <w:pPr>
              <w:pStyle w:val="a3"/>
            </w:pPr>
            <w:r w:rsidRPr="009826DD">
              <w:t>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24C2" w:rsidRDefault="009826DD">
            <w:r>
              <w:t>Мальчики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24C2" w:rsidRDefault="009826DD">
            <w:r>
              <w:t>Девочки</w:t>
            </w:r>
          </w:p>
        </w:tc>
      </w:tr>
      <w:tr w:rsidR="008424C2">
        <w:trPr>
          <w:trHeight w:val="8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24C2" w:rsidRPr="009826DD" w:rsidRDefault="008424C2"/>
        </w:tc>
        <w:tc>
          <w:tcPr>
            <w:tcW w:w="0" w:type="auto"/>
            <w:vAlign w:val="center"/>
            <w:hideMark/>
          </w:tcPr>
          <w:p w:rsidR="008424C2" w:rsidRDefault="009826DD">
            <w:r>
              <w:t>1978 M± a (min — max)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2008 M± a (min — max)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1978 M± a (min — max)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2008 M± a (min — max)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25, 49 ± 3, 03 (17,5-33)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23, 69 ± 3,14 (16-58)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24, 26 ± 3, 36 (15,7-35)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23,14 ± 3, 22 (16,5-35)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26,17 ± 3, 82 (19,6-36,3)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27,13 ± 4, 04 (19-40)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25, 98 ± 4, 68 (17,5-38,5)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25, 98 ± 4, 41 (16-44)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28,14 ± 3, 63 (19,9-37,6)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29, 95 ± 8,16 (18-54)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27, 74 ± 3, 59 (21-41,4)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28, 47 ± 7, 60 (18-46)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32, 01 ± 4, 34 (20,8-41,6)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34, 52 ± 7, 40 (19-58)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31, 26 ± 4, 83 (21,7-42,5)</w:t>
            </w:r>
          </w:p>
        </w:tc>
        <w:tc>
          <w:tcPr>
            <w:tcW w:w="0" w:type="auto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33,14 ± 6, 02</w:t>
            </w:r>
          </w:p>
          <w:p w:rsidR="008424C2" w:rsidRPr="009826DD" w:rsidRDefault="009826DD">
            <w:pPr>
              <w:pStyle w:val="a3"/>
            </w:pPr>
            <w:r w:rsidRPr="009826DD">
              <w:t>(20-48)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36,19 ± 5, 93 (23,5-51,8)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39, 53 ± 10,19 (27-86)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35, 38 ± 8, 33 (22-57,4)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38, 79 ± 8, 58 (22-58)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38, 09 ± 5, 93 (25,6-54,5)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39, 04 ± 10, 39 (26-86)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40, 88 ± 7, 41 (24,4-58,4)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39,14 ± 9, 42 (24-67)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42, 42 ± 7, 66</w:t>
            </w:r>
          </w:p>
          <w:p w:rsidR="008424C2" w:rsidRPr="009826DD" w:rsidRDefault="009826DD">
            <w:pPr>
              <w:pStyle w:val="a3"/>
            </w:pPr>
            <w:r w:rsidRPr="009826DD">
              <w:t>(28-58,8)</w:t>
            </w:r>
          </w:p>
        </w:tc>
        <w:tc>
          <w:tcPr>
            <w:tcW w:w="0" w:type="auto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40,10 ± 10, 05</w:t>
            </w:r>
          </w:p>
          <w:p w:rsidR="008424C2" w:rsidRPr="009826DD" w:rsidRDefault="009826DD">
            <w:pPr>
              <w:pStyle w:val="a3"/>
            </w:pPr>
            <w:r w:rsidRPr="009826DD">
              <w:t>(24-80)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46, 35 ± 7, 38 (31,7-65,2)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39, 31 ± 7, 95 (26-60)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48, 47 ± 8,11 (28,5-64,7)</w:t>
            </w:r>
          </w:p>
        </w:tc>
        <w:tc>
          <w:tcPr>
            <w:tcW w:w="0" w:type="auto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41, 72 ± 11, 08</w:t>
            </w:r>
          </w:p>
          <w:p w:rsidR="008424C2" w:rsidRPr="009826DD" w:rsidRDefault="009826DD">
            <w:pPr>
              <w:pStyle w:val="a3"/>
            </w:pPr>
            <w:r w:rsidRPr="009826DD">
              <w:t>(24-90)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49, 36 ± 6, 44 (37,5-65,2)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44, 27 ± 4, 71 (27-70)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56, 95 ± 7,19 (35,7-75,2)</w:t>
            </w:r>
          </w:p>
        </w:tc>
        <w:tc>
          <w:tcPr>
            <w:tcW w:w="0" w:type="auto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50, 23 ± 10, 66</w:t>
            </w:r>
          </w:p>
          <w:p w:rsidR="008424C2" w:rsidRPr="009826DD" w:rsidRDefault="009826DD">
            <w:pPr>
              <w:pStyle w:val="a3"/>
            </w:pPr>
            <w:r w:rsidRPr="009826DD">
              <w:t>(25-89)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53, 57 ± 6, 44 (37,9-70,3)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48, 38 ± 9, 39 (26-95)</w:t>
            </w:r>
          </w:p>
        </w:tc>
      </w:tr>
      <w:tr w:rsidR="008424C2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63, 94 ± 6, 76 (47,5-79,5)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56, 68 ± 10, 80 (30-97)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54, 48 ± 5, 82 (45-71)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54, 01 ± 8, 58 (31-84)</w:t>
            </w:r>
          </w:p>
        </w:tc>
      </w:tr>
      <w:tr w:rsidR="008424C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424C2" w:rsidRDefault="009826DD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8424C2" w:rsidRPr="009826DD" w:rsidRDefault="009826DD">
            <w:pPr>
              <w:pStyle w:val="a3"/>
            </w:pPr>
            <w:r w:rsidRPr="009826DD">
              <w:t>65, 02 ± 7,17</w:t>
            </w:r>
          </w:p>
          <w:p w:rsidR="008424C2" w:rsidRPr="009826DD" w:rsidRDefault="009826DD">
            <w:pPr>
              <w:pStyle w:val="a3"/>
            </w:pPr>
            <w:r w:rsidRPr="009826DD">
              <w:t>(48-81)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54, 79 ± 12, 07 (36-76)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54, 58 ± 5, 69 (43,4-71,4)</w:t>
            </w:r>
          </w:p>
        </w:tc>
        <w:tc>
          <w:tcPr>
            <w:tcW w:w="0" w:type="auto"/>
            <w:vAlign w:val="center"/>
            <w:hideMark/>
          </w:tcPr>
          <w:p w:rsidR="008424C2" w:rsidRDefault="009826DD">
            <w:r>
              <w:t>54, 26 ± 8, 74 (42-75,5)</w:t>
            </w:r>
          </w:p>
        </w:tc>
      </w:tr>
    </w:tbl>
    <w:p w:rsidR="008424C2" w:rsidRPr="009826DD" w:rsidRDefault="009826DD">
      <w:pPr>
        <w:pStyle w:val="a3"/>
      </w:pPr>
      <w:r>
        <w:t>Что касается современных девочек, то при поступлении в школу их длина тела в среднем меньше на 1,85 см, чем у их сверстниц 1978 г. Скачок роста у них отмечался в период с 9 до 11 лет, в дальнейшем длина тела увеличивается линейно, и в возрасте 16-17 лет они становятся выше девушек конца 70-х гг. в среднем на 1,5 см.</w:t>
      </w:r>
    </w:p>
    <w:p w:rsidR="008424C2" w:rsidRDefault="009826DD">
      <w:pPr>
        <w:pStyle w:val="a3"/>
      </w:pPr>
      <w:r>
        <w:t>Следует отметить, что у детей начала XXI века отмечается больший разброс значений длины тела по сравнению с детьми, изученными в 1978 г.</w:t>
      </w:r>
    </w:p>
    <w:p w:rsidR="008424C2" w:rsidRDefault="009826DD">
      <w:pPr>
        <w:pStyle w:val="a3"/>
      </w:pPr>
      <w:r>
        <w:t>Это характерно практически для всех возрастных периодов. В результате увеличивается процент школьников, имеющих рост низкий и очень низкий, а также высокий и очень высокий.</w:t>
      </w:r>
    </w:p>
    <w:p w:rsidR="008424C2" w:rsidRDefault="009826DD">
      <w:pPr>
        <w:pStyle w:val="a3"/>
      </w:pPr>
      <w:r>
        <w:t>Изучение динамики показателей массы тела показало, что современные первоклассники имеют массу тела меньшую, чем их сверстники 1978 года. Так, если в 1978 г. величина данного показателя составляла в среднем у мальчиков 25, 49±3, 03 кг, у девочек 24, 26±3, 36 кг, то в начале XXI века — 23, 69 ± 3,14 кг (—7,1 %) и 23,14 ± 3, 22 кг (—4,6 %) соответственно.</w:t>
      </w:r>
    </w:p>
    <w:p w:rsidR="008424C2" w:rsidRDefault="009826DD">
      <w:pPr>
        <w:pStyle w:val="a3"/>
      </w:pPr>
      <w:r>
        <w:t>В дальнейшем в возрасте от 8 до 12 лет масса тела современных мальчиков в среднем превышает значения данного показателя мальчиков конца 70-х годов. Начиная с 13-летнего возраста средняя масса тела мальчиков 1978 года выше значений данного показателя их современных сверстников на 6,5—10,5 кг.</w:t>
      </w:r>
    </w:p>
    <w:p w:rsidR="008424C2" w:rsidRDefault="009826DD">
      <w:pPr>
        <w:pStyle w:val="a3"/>
      </w:pPr>
      <w:r>
        <w:t>Масса первоклассниц начала XXI века в среднем на 1 кг меньше, чем в 1978 г., и составляет 23,14 ± 3,22 кг и 24,26 ± 3,36 кг соответственно. В препубертатный период она несколько выше (0,7—3,4 кг). Начиная с 12-летнего возраста современные школьницы имеют более низкую массу тела. Однако средние значения перед окончанием школы у десятиклассниц практически не отличаются друг от друга.</w:t>
      </w:r>
    </w:p>
    <w:p w:rsidR="008424C2" w:rsidRDefault="009826DD">
      <w:pPr>
        <w:pStyle w:val="a3"/>
      </w:pPr>
      <w:r>
        <w:t>Таким образом, в последнее десятилетие отмечена тенденция к снижению массы тела у мальчиков и у девочек преимущественно в пубертатном периоде.</w:t>
      </w:r>
    </w:p>
    <w:p w:rsidR="008424C2" w:rsidRDefault="009826DD">
      <w:pPr>
        <w:pStyle w:val="a3"/>
      </w:pPr>
      <w:r>
        <w:t>Детальная характеристика ростовых процессов, полученная на основе анализа центильного распределения антропометрических показателей длины, массы, индекса массы тела по результатам скрининговой оценки двух наблюдений (1978 и 2008 гг.), показала расслоение школьников по крайним вариантам оценок длины и массы тела с ростом дисгармонии развития.</w:t>
      </w:r>
    </w:p>
    <w:p w:rsidR="008424C2" w:rsidRDefault="009826DD">
      <w:pPr>
        <w:pStyle w:val="a3"/>
      </w:pPr>
      <w:r>
        <w:t>Заключение</w:t>
      </w:r>
    </w:p>
    <w:p w:rsidR="008424C2" w:rsidRDefault="009826DD">
      <w:pPr>
        <w:pStyle w:val="a3"/>
      </w:pPr>
      <w:r>
        <w:t>Результаты проведенного исследования выявили неоднозначные изменения длины и массы тела за 30-летний период. Отмечается ухудшение физического развития современных детей. Это выражается в снижении длины и массы тела, особенно юношей. Достоверно увеличилась доля школьников с повышенными, высокими и очень высокими показателями длины и массы тела, а также с низкими и очень низкими значениями длины и массы тела. Средний уровень физического развития в настоящее время наблюдается у 55,2 % современных мальчиков и юношей и 43,2 % девочек и девушек. При детальной статистической обработке достоверных отличий в наиболее значимых показателях физического развития школьников г. Самары за 30-летний период нами выявлено не было.</w:t>
      </w:r>
    </w:p>
    <w:p w:rsidR="008424C2" w:rsidRDefault="009826DD">
      <w:pPr>
        <w:pStyle w:val="a3"/>
      </w:pPr>
      <w:r>
        <w:t>Список литературы</w:t>
      </w:r>
    </w:p>
    <w:p w:rsidR="008424C2" w:rsidRDefault="009826DD">
      <w:pPr>
        <w:pStyle w:val="a3"/>
      </w:pPr>
      <w:r>
        <w:t>Изучение качества жизни детей — важнейшая задача современной педиатрии / А.А. Баранов [и др.] // Российский педиатрический журнал. 2005. № 5. С. 30-33.</w:t>
      </w:r>
    </w:p>
    <w:p w:rsidR="008424C2" w:rsidRDefault="009826DD">
      <w:pPr>
        <w:pStyle w:val="a3"/>
      </w:pPr>
      <w:r>
        <w:t>Баранов А.А., Кучма В.Р., Сухарева Л.М. Здоровье, обучение и воспитание детей: история и современность (1904-1959-2004). М.: Издат. дом ’’Династия”, 2006. 312 с.</w:t>
      </w:r>
    </w:p>
    <w:p w:rsidR="008424C2" w:rsidRDefault="009826DD">
      <w:pPr>
        <w:pStyle w:val="a3"/>
      </w:pPr>
      <w:r>
        <w:t>Баранов А.А., Кучма В.Р., Сухарева Л.М. Оценка здоровья детей и подростков при профилактических осмотрах (руководство для врачей). М.: Издат. дом ’Династия”, 2004. 168 с.</w:t>
      </w:r>
    </w:p>
    <w:p w:rsidR="008424C2" w:rsidRDefault="009826DD">
      <w:pPr>
        <w:pStyle w:val="a3"/>
      </w:pPr>
      <w:r>
        <w:t>Баранов А.А., Щеплягина Л.А. Физиология роста и развития детей и подростков (теоретические и клинические вопросы) М., 2000. 709 с.</w:t>
      </w:r>
    </w:p>
    <w:p w:rsidR="008424C2" w:rsidRDefault="009826DD">
      <w:pPr>
        <w:pStyle w:val="a3"/>
      </w:pPr>
      <w:r>
        <w:t>Оценка физического развития детей и подростков / Е.С. Богомолова [и др.]. Н. Новгород: Изд-во НГМА, 2006. 260 с.</w:t>
      </w:r>
    </w:p>
    <w:p w:rsidR="008424C2" w:rsidRDefault="009826DD">
      <w:pPr>
        <w:pStyle w:val="a3"/>
      </w:pPr>
      <w:r>
        <w:t>Камаев И.А., Поздеева Т.В., Дмитроченков А.В., Ананьин С.А. Здоровье и образ жизни школьников, студентов и призывной молодежи: состояние, проблемы, пути решения: монография. Н. Новгород: Изд-во НГМА, 2005. 312 с.</w:t>
      </w:r>
    </w:p>
    <w:p w:rsidR="008424C2" w:rsidRDefault="009826DD">
      <w:pPr>
        <w:pStyle w:val="a3"/>
      </w:pPr>
      <w:r>
        <w:t>Клещина Ю.В. Состояние здоровья современных школьников и перспективы его укрепления // Российский педиатрический журнал. 2009. № 3. С. 48-51.</w:t>
      </w:r>
    </w:p>
    <w:p w:rsidR="008424C2" w:rsidRDefault="009826DD">
      <w:pPr>
        <w:pStyle w:val="a3"/>
      </w:pPr>
      <w:r>
        <w:t>Кучма В.Р. Оценка физического развития детей и подростков в гигиенической диагностике системы ”Здоровье — среда обитания”. М.: Изд-во ГУ НЦЗД РАМН, 2003. 316 с.</w:t>
      </w:r>
    </w:p>
    <w:p w:rsidR="008424C2" w:rsidRDefault="009826DD">
      <w:pPr>
        <w:pStyle w:val="a3"/>
      </w:pPr>
      <w:r>
        <w:t>Кучма В.Р., Сухарева Л.М. Состояние и прогноз здоровья школьников (итоги 40-летнего наблюдения) // Российский педиатрический журнал. 2007. № 1. С. 53-56.</w:t>
      </w:r>
    </w:p>
    <w:p w:rsidR="008424C2" w:rsidRDefault="009826DD">
      <w:pPr>
        <w:pStyle w:val="a3"/>
      </w:pPr>
      <w:r>
        <w:t>Десять лет наблюдения за здоровьем школьников, обучающихся по разным программам / Е.А. Теппер [и др.] // Педиатрия. 2006. № 4. С. 102-104.</w:t>
      </w:r>
    </w:p>
    <w:p w:rsidR="008424C2" w:rsidRDefault="009826DD">
      <w:pPr>
        <w:pStyle w:val="a3"/>
      </w:pPr>
      <w:r>
        <w:t>Поступилавредакцию26/1/2010;</w:t>
      </w:r>
      <w:bookmarkStart w:id="0" w:name="_GoBack"/>
      <w:bookmarkEnd w:id="0"/>
    </w:p>
    <w:sectPr w:rsidR="008424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6DD"/>
    <w:rsid w:val="008424C2"/>
    <w:rsid w:val="009826DD"/>
    <w:rsid w:val="00B1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3633E-1D78-4EF8-9D72-2F988C50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11405</Characters>
  <Application>Microsoft Office Word</Application>
  <DocSecurity>0</DocSecurity>
  <Lines>95</Lines>
  <Paragraphs>26</Paragraphs>
  <ScaleCrop>false</ScaleCrop>
  <Company>diakov.net</Company>
  <LinksUpToDate>false</LinksUpToDate>
  <CharactersWithSpaces>13379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антропометрических показателей детей и подростков г. Самары (1978-2008 гг.)</dc:title>
  <dc:subject/>
  <dc:creator>Irina</dc:creator>
  <cp:keywords/>
  <dc:description/>
  <cp:lastModifiedBy>Irina</cp:lastModifiedBy>
  <cp:revision>2</cp:revision>
  <dcterms:created xsi:type="dcterms:W3CDTF">2014-08-02T20:07:00Z</dcterms:created>
  <dcterms:modified xsi:type="dcterms:W3CDTF">2014-08-02T20:07:00Z</dcterms:modified>
</cp:coreProperties>
</file>