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140" w:rsidRPr="00404A31" w:rsidRDefault="00296140"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526698" w:rsidRPr="00404A31" w:rsidRDefault="00526698" w:rsidP="00404A31">
      <w:pPr>
        <w:suppressAutoHyphens/>
        <w:spacing w:after="0" w:line="360" w:lineRule="auto"/>
        <w:ind w:firstLine="709"/>
        <w:jc w:val="center"/>
        <w:rPr>
          <w:rFonts w:ascii="Times New Roman" w:hAnsi="Times New Roman"/>
          <w:sz w:val="28"/>
          <w:szCs w:val="28"/>
        </w:rPr>
      </w:pPr>
    </w:p>
    <w:p w:rsidR="00404A31" w:rsidRDefault="00404A31" w:rsidP="00404A31">
      <w:pPr>
        <w:suppressAutoHyphens/>
        <w:spacing w:after="0" w:line="360" w:lineRule="auto"/>
        <w:ind w:firstLine="709"/>
        <w:jc w:val="center"/>
        <w:rPr>
          <w:rFonts w:ascii="Times New Roman" w:hAnsi="Times New Roman"/>
          <w:sz w:val="28"/>
          <w:szCs w:val="28"/>
          <w:lang w:val="en-US"/>
        </w:rPr>
      </w:pPr>
    </w:p>
    <w:p w:rsidR="00526698" w:rsidRPr="00404A31" w:rsidRDefault="00526698" w:rsidP="00404A31">
      <w:pPr>
        <w:suppressAutoHyphens/>
        <w:spacing w:after="0" w:line="360" w:lineRule="auto"/>
        <w:ind w:firstLine="709"/>
        <w:jc w:val="center"/>
        <w:rPr>
          <w:rFonts w:ascii="Times New Roman" w:hAnsi="Times New Roman"/>
          <w:sz w:val="28"/>
          <w:szCs w:val="28"/>
        </w:rPr>
      </w:pPr>
      <w:r w:rsidRPr="00404A31">
        <w:rPr>
          <w:rFonts w:ascii="Times New Roman" w:hAnsi="Times New Roman"/>
          <w:sz w:val="28"/>
          <w:szCs w:val="28"/>
        </w:rPr>
        <w:t>К</w:t>
      </w:r>
      <w:r w:rsidR="00404A31" w:rsidRPr="00404A31">
        <w:rPr>
          <w:rFonts w:ascii="Times New Roman" w:hAnsi="Times New Roman"/>
          <w:sz w:val="28"/>
          <w:szCs w:val="28"/>
        </w:rPr>
        <w:t>онтрольная работа</w:t>
      </w:r>
    </w:p>
    <w:p w:rsidR="00526698" w:rsidRPr="00404A31" w:rsidRDefault="00526698" w:rsidP="00404A31">
      <w:pPr>
        <w:suppressAutoHyphens/>
        <w:spacing w:after="0" w:line="360" w:lineRule="auto"/>
        <w:ind w:firstLine="709"/>
        <w:jc w:val="center"/>
        <w:rPr>
          <w:rFonts w:ascii="Times New Roman" w:hAnsi="Times New Roman"/>
          <w:sz w:val="28"/>
          <w:szCs w:val="28"/>
        </w:rPr>
      </w:pPr>
      <w:r w:rsidRPr="00404A31">
        <w:rPr>
          <w:rFonts w:ascii="Times New Roman" w:hAnsi="Times New Roman"/>
          <w:sz w:val="28"/>
          <w:szCs w:val="28"/>
        </w:rPr>
        <w:t xml:space="preserve">Налоги и </w:t>
      </w:r>
      <w:r w:rsidR="00404A31" w:rsidRPr="00404A31">
        <w:rPr>
          <w:rFonts w:ascii="Times New Roman" w:hAnsi="Times New Roman"/>
          <w:sz w:val="28"/>
          <w:szCs w:val="28"/>
        </w:rPr>
        <w:t>н</w:t>
      </w:r>
      <w:r w:rsidRPr="00404A31">
        <w:rPr>
          <w:rFonts w:ascii="Times New Roman" w:hAnsi="Times New Roman"/>
          <w:sz w:val="28"/>
          <w:szCs w:val="28"/>
        </w:rPr>
        <w:t>алогообложение</w:t>
      </w:r>
    </w:p>
    <w:p w:rsidR="006C779F" w:rsidRPr="00404A31" w:rsidRDefault="00526698" w:rsidP="00404A31">
      <w:pPr>
        <w:numPr>
          <w:ilvl w:val="0"/>
          <w:numId w:val="16"/>
        </w:numPr>
        <w:suppressAutoHyphens/>
        <w:spacing w:after="0" w:line="360" w:lineRule="auto"/>
        <w:jc w:val="both"/>
        <w:rPr>
          <w:rFonts w:ascii="Times New Roman" w:hAnsi="Times New Roman"/>
          <w:b/>
          <w:sz w:val="28"/>
          <w:szCs w:val="28"/>
        </w:rPr>
      </w:pPr>
      <w:r w:rsidRPr="00404A31">
        <w:rPr>
          <w:rFonts w:ascii="Times New Roman" w:hAnsi="Times New Roman"/>
          <w:sz w:val="28"/>
          <w:szCs w:val="28"/>
        </w:rPr>
        <w:br w:type="page"/>
      </w:r>
      <w:r w:rsidR="006C779F" w:rsidRPr="00404A31">
        <w:rPr>
          <w:rFonts w:ascii="Times New Roman" w:hAnsi="Times New Roman"/>
          <w:b/>
          <w:sz w:val="28"/>
          <w:szCs w:val="28"/>
        </w:rPr>
        <w:t>Классификация налогов</w:t>
      </w:r>
    </w:p>
    <w:p w:rsidR="00404A31" w:rsidRPr="00404A31" w:rsidRDefault="00404A31" w:rsidP="00404A31">
      <w:pPr>
        <w:suppressAutoHyphens/>
        <w:spacing w:after="0" w:line="360" w:lineRule="auto"/>
        <w:ind w:firstLine="709"/>
        <w:jc w:val="both"/>
        <w:rPr>
          <w:rFonts w:ascii="Times New Roman" w:hAnsi="Times New Roman"/>
          <w:b/>
          <w:sz w:val="28"/>
        </w:rPr>
      </w:pP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Налоги – это обязательные и безэквивалентные платежи, уплачиваемые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субъектов Российской Федерации, а также по решению органом местного самоуправления в соответствии с их компетентностью.</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Классификация налогов:</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По способу изъятия налоги подразделяются на два вида:</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Первый вид - налоги на доходы и имущество: подоходный налог и налог на прибыль корпораций (фирм); на социальное страхование и на фонд заработной платы и рабочую силу (так называемые социальные налоги, социальные взносы); поимущественные налоги, в том числе налоги на собственность, включая землю и другую недвижимость; налог на перевод прибыли и капиталов за рубеж и другие. Они взимаются с конкретного физического или юридического лица, их называют прямыми налогами.</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Второй вид - налоги на товары и услуги: налог с оборота - в большинстве развитых стран заменен налогом на добавленную стоимость; акцизы (налоги, прямо включаемые в цену товара или услуги); на наследство; на сделки с недвижимостью и ценными бумагами и другие. Это косвенные налоги. Они частично или полностью переносятся на цену товара или услуги.</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 xml:space="preserve">Прямые налоги взимаются с непосредственного владельца объекта налогообложения. Прямые налоги трудно перенести на потребителя. Из них легче всего дело обстоит с налогами на землю и на другую недвижимость: они включаются в арендную и квартирную плату, цену сельскохозяйственной продукции. Среди этого вида налогов наиболее известен подоходный налог, примерами могут также служить налог на прибыль, налог на наследство и дарения, налог на имущество. </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Косвенные налоги, в отличие от прямых, уплачиваются конечным потребителем облагаемого налогом товара, а продавцы играют роль агентов по переводу полученных ими в счет уплаты налога средств государству. Некоторые из них даже указываются отдельной строкой в счете на товар или на его ценнике. К таким налогам относятся налог на добавленную стоимость (НДС), налог с продаж, акцизы (аналог налога с продаж), таможенные пошлины. Чем менее эластичен спрос, тем большая часть налога перекладывается на потребителя. В случае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 Чем менее эластично предложение, тем меньшая часть налога перекладывается на потребителя, а большая уплачивается за счет прибыли. В долгосрочном плане эластичность предложения растет, и на потребителя перекладывается все большая часть косвенных налогов.</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Косвенные налоги являются наиболее весомой частью налоговых платежей в федеральный бюджет РФ. Так, в бюджете РФ на 1998 г. доля доходов государства, полученных за счет косвенных налогов, составляла приблизительно 80% от суммы всех налоговых поступлений.</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 xml:space="preserve">По характеру начисления на объект обложения налоги и, соответственно, налоговые системы подразделяются на прогрессивные, регрессивные и пропорциональные. </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При прогрессивном налогообложении ставки налога увеличиваются по мере роста объекта налога. Другими словами, владелец большого дохода платит не только большую сумму в абсолютном выражении, но и в относительном по сравнению с владельцем меньшего дохода. Наиболее характерным примером прогрессивного налога является подоходный налог с физических лиц.</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Для прогрессивных налогов большое значение представляют понятия средней и предельной налоговой ставки. Средней ставкой налога называется отношение суммы налога к величине облагаемого им дохода. Предельная налоговая ставка – это ставка обложения налогом дополнительной единицы дохода.</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Регрессивный налог – это налог, который в денежном выражении равен для всех плательщиков, то есть составляет большую часть низкого дохода и меньшую часть высокого дохода. Это, как правило, косвенные налоги.</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Пропорциональный налог – это налог, при котором налоговая ставка остается неизменной, независимо от стоимости объекта обложения. К такого рода налогам, в частности, относятся налоги на имущество предприятий и физических лиц. Вне зависимости от различной стоимости имущества разных предприятий при начислении этого налога в России действуют равные ставки налога.</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Как правило, существует определенный перечень льгот по каждому налогу. Однако существует особый порядок комплексных налоговых льгот, устанавливаемых государством, которые могут оказывать существенное влияние на процесс воспроизводства. Такими льготами являются ускоренная амортизация и инвестиционный налоговый кредит.</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Политика ускоренной амортизации способствует сокращению сроков амортизационных отчислений путем увеличения размеров годовой нормы отчислений. Таким образом, сокращаются сроки окупаемости оборудования и у производителей появляются стимулы для инвестиций в передовые технологии. Проводя такую политику, государство тем самым отказывается от определенного дохода в виде части налога на прибыль в пользу увеличения степени конкурентоспособности национальной экономики.</w:t>
      </w:r>
    </w:p>
    <w:p w:rsidR="00E7376E" w:rsidRPr="00404A31" w:rsidRDefault="00E7376E" w:rsidP="00404A31">
      <w:pPr>
        <w:suppressAutoHyphens/>
        <w:spacing w:after="0" w:line="360" w:lineRule="auto"/>
        <w:ind w:firstLine="709"/>
        <w:jc w:val="both"/>
        <w:rPr>
          <w:rFonts w:ascii="Times New Roman" w:hAnsi="Times New Roman"/>
          <w:sz w:val="28"/>
        </w:rPr>
      </w:pPr>
      <w:r w:rsidRPr="00404A31">
        <w:rPr>
          <w:rFonts w:ascii="Times New Roman" w:hAnsi="Times New Roman"/>
          <w:sz w:val="28"/>
        </w:rPr>
        <w:t>Инвестиционный налоговый кредит представляет собой отсрочку по уплате части налоговых платежей на определенный срок. Кредит может быть предоставлен по налогу на прибыль, а также по региональным и местным налогам на срок от одного до пяти лет. Сумма кредита ограничивается 30% от стоимости оборудования и не может превышать 50% от суммы начисленного к уплате налога.</w:t>
      </w:r>
    </w:p>
    <w:p w:rsidR="006F080B" w:rsidRPr="00404A31" w:rsidRDefault="00404A31" w:rsidP="00404A31">
      <w:pPr>
        <w:pStyle w:val="a8"/>
        <w:suppressAutoHyphens/>
        <w:spacing w:line="360" w:lineRule="auto"/>
        <w:ind w:firstLine="709"/>
        <w:jc w:val="both"/>
        <w:rPr>
          <w:sz w:val="28"/>
          <w:szCs w:val="28"/>
        </w:rPr>
      </w:pPr>
      <w:r>
        <w:rPr>
          <w:bCs/>
          <w:sz w:val="28"/>
          <w:szCs w:val="28"/>
        </w:rPr>
        <w:br w:type="page"/>
      </w:r>
      <w:r w:rsidR="006F080B" w:rsidRPr="00404A31">
        <w:rPr>
          <w:bCs/>
          <w:sz w:val="28"/>
          <w:szCs w:val="28"/>
        </w:rPr>
        <w:t>Основные признаки классификации налогов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76"/>
        <w:gridCol w:w="6094"/>
      </w:tblGrid>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Основные признаки</w:t>
            </w:r>
          </w:p>
        </w:tc>
        <w:tc>
          <w:tcPr>
            <w:tcW w:w="3184"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Примеры-характеристика</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 xml:space="preserve">Критерий перелагаемости налогов </w:t>
            </w:r>
          </w:p>
          <w:p w:rsidR="006F080B" w:rsidRPr="0020269D" w:rsidRDefault="006F080B" w:rsidP="0020269D">
            <w:pPr>
              <w:pStyle w:val="a8"/>
              <w:suppressAutoHyphens/>
              <w:spacing w:line="360" w:lineRule="auto"/>
              <w:jc w:val="both"/>
              <w:rPr>
                <w:sz w:val="20"/>
                <w:szCs w:val="28"/>
              </w:rPr>
            </w:pPr>
            <w:r w:rsidRPr="0020269D">
              <w:rPr>
                <w:sz w:val="20"/>
                <w:szCs w:val="28"/>
              </w:rPr>
              <w:t xml:space="preserve">Способ обложения и взимания налогов </w:t>
            </w:r>
          </w:p>
          <w:p w:rsidR="00404A31" w:rsidRPr="0020269D" w:rsidRDefault="006F080B" w:rsidP="0020269D">
            <w:pPr>
              <w:pStyle w:val="a8"/>
              <w:suppressAutoHyphens/>
              <w:spacing w:line="360" w:lineRule="auto"/>
              <w:jc w:val="both"/>
              <w:rPr>
                <w:sz w:val="20"/>
                <w:szCs w:val="28"/>
              </w:rPr>
            </w:pPr>
            <w:r w:rsidRPr="0020269D">
              <w:rPr>
                <w:sz w:val="20"/>
                <w:szCs w:val="28"/>
              </w:rPr>
              <w:t>по платежеспособности плательщика</w:t>
            </w:r>
          </w:p>
          <w:p w:rsidR="006F080B" w:rsidRPr="0020269D" w:rsidRDefault="006F080B" w:rsidP="0020269D">
            <w:pPr>
              <w:pStyle w:val="a8"/>
              <w:suppressAutoHyphens/>
              <w:spacing w:line="360" w:lineRule="auto"/>
              <w:jc w:val="both"/>
              <w:rPr>
                <w:sz w:val="20"/>
                <w:szCs w:val="28"/>
              </w:rPr>
            </w:pPr>
          </w:p>
        </w:tc>
        <w:tc>
          <w:tcPr>
            <w:tcW w:w="3184"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 xml:space="preserve">Прямые (налоги на доход и имущество): </w:t>
            </w:r>
          </w:p>
          <w:p w:rsidR="006F080B" w:rsidRPr="0020269D" w:rsidRDefault="006F080B" w:rsidP="0020269D">
            <w:pPr>
              <w:numPr>
                <w:ilvl w:val="0"/>
                <w:numId w:val="5"/>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 на прибыль корпораций; </w:t>
            </w:r>
          </w:p>
          <w:p w:rsidR="006F080B" w:rsidRPr="0020269D" w:rsidRDefault="006F080B" w:rsidP="0020269D">
            <w:pPr>
              <w:numPr>
                <w:ilvl w:val="0"/>
                <w:numId w:val="5"/>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 на доходы с физических лиц. </w:t>
            </w:r>
          </w:p>
          <w:p w:rsidR="006F080B" w:rsidRPr="0020269D" w:rsidRDefault="006F080B" w:rsidP="0020269D">
            <w:pPr>
              <w:pStyle w:val="a8"/>
              <w:suppressAutoHyphens/>
              <w:spacing w:line="360" w:lineRule="auto"/>
              <w:jc w:val="both"/>
              <w:rPr>
                <w:sz w:val="20"/>
                <w:szCs w:val="28"/>
              </w:rPr>
            </w:pPr>
            <w:r w:rsidRPr="0020269D">
              <w:rPr>
                <w:sz w:val="20"/>
                <w:szCs w:val="28"/>
              </w:rPr>
              <w:t>Косвенные (акцизы; налог с продаж; налог на добавленную стоимость, таможенные пошлины; фискальные налоги).</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Источники обложения</w:t>
            </w:r>
          </w:p>
        </w:tc>
        <w:tc>
          <w:tcPr>
            <w:tcW w:w="3184" w:type="pct"/>
            <w:shd w:val="clear" w:color="auto" w:fill="auto"/>
          </w:tcPr>
          <w:p w:rsidR="006F080B" w:rsidRPr="0020269D" w:rsidRDefault="006F080B" w:rsidP="0020269D">
            <w:pPr>
              <w:numPr>
                <w:ilvl w:val="0"/>
                <w:numId w:val="6"/>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с дохода, прибыли. </w:t>
            </w:r>
          </w:p>
          <w:p w:rsidR="006F080B" w:rsidRPr="0020269D" w:rsidRDefault="006F080B" w:rsidP="0020269D">
            <w:pPr>
              <w:numPr>
                <w:ilvl w:val="0"/>
                <w:numId w:val="6"/>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с капитала, ценных бумаг. </w:t>
            </w:r>
          </w:p>
          <w:p w:rsidR="006F080B" w:rsidRPr="0020269D" w:rsidRDefault="006F080B" w:rsidP="0020269D">
            <w:pPr>
              <w:numPr>
                <w:ilvl w:val="0"/>
                <w:numId w:val="6"/>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с имущества.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Субъекты и объекты обложения</w:t>
            </w:r>
          </w:p>
        </w:tc>
        <w:tc>
          <w:tcPr>
            <w:tcW w:w="3184" w:type="pct"/>
            <w:shd w:val="clear" w:color="auto" w:fill="auto"/>
          </w:tcPr>
          <w:p w:rsidR="006F080B" w:rsidRPr="0020269D" w:rsidRDefault="006F080B" w:rsidP="0020269D">
            <w:pPr>
              <w:numPr>
                <w:ilvl w:val="0"/>
                <w:numId w:val="7"/>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с физических лиц. </w:t>
            </w:r>
          </w:p>
          <w:p w:rsidR="006F080B" w:rsidRPr="0020269D" w:rsidRDefault="006F080B" w:rsidP="0020269D">
            <w:pPr>
              <w:numPr>
                <w:ilvl w:val="0"/>
                <w:numId w:val="7"/>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с юридических лиц. </w:t>
            </w:r>
          </w:p>
          <w:p w:rsidR="006F080B" w:rsidRPr="0020269D" w:rsidRDefault="006F080B" w:rsidP="0020269D">
            <w:pPr>
              <w:numPr>
                <w:ilvl w:val="0"/>
                <w:numId w:val="7"/>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Поземельный налог. </w:t>
            </w:r>
          </w:p>
          <w:p w:rsidR="006F080B" w:rsidRPr="0020269D" w:rsidRDefault="006F080B" w:rsidP="0020269D">
            <w:pPr>
              <w:numPr>
                <w:ilvl w:val="0"/>
                <w:numId w:val="7"/>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Поимущественный налог.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По иерархии государственной власти (статус)</w:t>
            </w:r>
          </w:p>
        </w:tc>
        <w:tc>
          <w:tcPr>
            <w:tcW w:w="3184" w:type="pct"/>
            <w:shd w:val="clear" w:color="auto" w:fill="auto"/>
          </w:tcPr>
          <w:p w:rsidR="006F080B" w:rsidRPr="0020269D" w:rsidRDefault="006F080B" w:rsidP="0020269D">
            <w:pPr>
              <w:numPr>
                <w:ilvl w:val="0"/>
                <w:numId w:val="8"/>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Федеральные налоги (налог на добавленную стоимость, налог на прибыль предприятий). </w:t>
            </w:r>
          </w:p>
          <w:p w:rsidR="006F080B" w:rsidRPr="0020269D" w:rsidRDefault="006F080B" w:rsidP="0020269D">
            <w:pPr>
              <w:numPr>
                <w:ilvl w:val="0"/>
                <w:numId w:val="8"/>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Региональные налоги (налог на имущество предприятий). </w:t>
            </w:r>
          </w:p>
          <w:p w:rsidR="006F080B" w:rsidRPr="0020269D" w:rsidRDefault="006F080B" w:rsidP="0020269D">
            <w:pPr>
              <w:numPr>
                <w:ilvl w:val="0"/>
                <w:numId w:val="8"/>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Местные налоги (земельный налог).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Воспроизводственные стадии</w:t>
            </w:r>
          </w:p>
        </w:tc>
        <w:tc>
          <w:tcPr>
            <w:tcW w:w="3184" w:type="pct"/>
            <w:shd w:val="clear" w:color="auto" w:fill="auto"/>
          </w:tcPr>
          <w:p w:rsidR="006F080B" w:rsidRPr="0020269D" w:rsidRDefault="006F080B" w:rsidP="0020269D">
            <w:pPr>
              <w:numPr>
                <w:ilvl w:val="0"/>
                <w:numId w:val="9"/>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производство. </w:t>
            </w:r>
          </w:p>
          <w:p w:rsidR="006F080B" w:rsidRPr="0020269D" w:rsidRDefault="006F080B" w:rsidP="0020269D">
            <w:pPr>
              <w:numPr>
                <w:ilvl w:val="0"/>
                <w:numId w:val="9"/>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обращение. </w:t>
            </w:r>
          </w:p>
          <w:p w:rsidR="006F080B" w:rsidRPr="0020269D" w:rsidRDefault="006F080B" w:rsidP="0020269D">
            <w:pPr>
              <w:numPr>
                <w:ilvl w:val="0"/>
                <w:numId w:val="9"/>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потребление.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По факторам производства</w:t>
            </w:r>
          </w:p>
        </w:tc>
        <w:tc>
          <w:tcPr>
            <w:tcW w:w="3184" w:type="pct"/>
            <w:shd w:val="clear" w:color="auto" w:fill="auto"/>
          </w:tcPr>
          <w:p w:rsidR="006F080B" w:rsidRPr="0020269D" w:rsidRDefault="006F080B" w:rsidP="0020269D">
            <w:pPr>
              <w:numPr>
                <w:ilvl w:val="0"/>
                <w:numId w:val="10"/>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труд. </w:t>
            </w:r>
          </w:p>
          <w:p w:rsidR="006F080B" w:rsidRPr="0020269D" w:rsidRDefault="006F080B" w:rsidP="0020269D">
            <w:pPr>
              <w:numPr>
                <w:ilvl w:val="0"/>
                <w:numId w:val="10"/>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капитал. </w:t>
            </w:r>
          </w:p>
          <w:p w:rsidR="006F080B" w:rsidRPr="0020269D" w:rsidRDefault="006F080B" w:rsidP="0020269D">
            <w:pPr>
              <w:numPr>
                <w:ilvl w:val="0"/>
                <w:numId w:val="10"/>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землю.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По целевому назначению</w:t>
            </w:r>
          </w:p>
        </w:tc>
        <w:tc>
          <w:tcPr>
            <w:tcW w:w="3184" w:type="pct"/>
            <w:shd w:val="clear" w:color="auto" w:fill="auto"/>
          </w:tcPr>
          <w:p w:rsidR="006F080B" w:rsidRPr="0020269D" w:rsidRDefault="006F080B" w:rsidP="0020269D">
            <w:pPr>
              <w:numPr>
                <w:ilvl w:val="0"/>
                <w:numId w:val="11"/>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Общие налоги (налог на прибыль, налог на добавленную стоимость). </w:t>
            </w:r>
          </w:p>
          <w:p w:rsidR="006F080B" w:rsidRPr="0020269D" w:rsidRDefault="006F080B" w:rsidP="0020269D">
            <w:pPr>
              <w:numPr>
                <w:ilvl w:val="0"/>
                <w:numId w:val="11"/>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Специальные налоги (взносы в социальные фонды).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По ограниченным производственным ресурсам</w:t>
            </w:r>
          </w:p>
        </w:tc>
        <w:tc>
          <w:tcPr>
            <w:tcW w:w="3184" w:type="pct"/>
            <w:shd w:val="clear" w:color="auto" w:fill="auto"/>
          </w:tcPr>
          <w:p w:rsidR="006F080B" w:rsidRPr="0020269D" w:rsidRDefault="006F080B" w:rsidP="0020269D">
            <w:pPr>
              <w:numPr>
                <w:ilvl w:val="0"/>
                <w:numId w:val="12"/>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природные ресурсы, трудовые ресурсы, на инвестиционные иинформационные ресурсы.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Способы обложения доходов и расходов</w:t>
            </w:r>
          </w:p>
        </w:tc>
        <w:tc>
          <w:tcPr>
            <w:tcW w:w="3184" w:type="pct"/>
            <w:shd w:val="clear" w:color="auto" w:fill="auto"/>
          </w:tcPr>
          <w:p w:rsidR="006F080B" w:rsidRPr="0020269D" w:rsidRDefault="006F080B" w:rsidP="0020269D">
            <w:pPr>
              <w:numPr>
                <w:ilvl w:val="0"/>
                <w:numId w:val="13"/>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доходы. </w:t>
            </w:r>
          </w:p>
          <w:p w:rsidR="006F080B" w:rsidRPr="0020269D" w:rsidRDefault="006F080B" w:rsidP="0020269D">
            <w:pPr>
              <w:numPr>
                <w:ilvl w:val="0"/>
                <w:numId w:val="13"/>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Налоги на расходы. </w:t>
            </w:r>
          </w:p>
        </w:tc>
      </w:tr>
      <w:tr w:rsidR="006F080B" w:rsidRPr="0020269D" w:rsidTr="0020269D">
        <w:tc>
          <w:tcPr>
            <w:tcW w:w="1816" w:type="pct"/>
            <w:shd w:val="clear" w:color="auto" w:fill="auto"/>
          </w:tcPr>
          <w:p w:rsidR="006F080B" w:rsidRPr="0020269D" w:rsidRDefault="006F080B" w:rsidP="0020269D">
            <w:pPr>
              <w:pStyle w:val="a8"/>
              <w:suppressAutoHyphens/>
              <w:spacing w:line="360" w:lineRule="auto"/>
              <w:jc w:val="both"/>
              <w:rPr>
                <w:sz w:val="20"/>
                <w:szCs w:val="28"/>
              </w:rPr>
            </w:pPr>
            <w:r w:rsidRPr="0020269D">
              <w:rPr>
                <w:sz w:val="20"/>
                <w:szCs w:val="28"/>
              </w:rPr>
              <w:t>Консолидации бюджетных и внебюджетных фондов</w:t>
            </w:r>
          </w:p>
        </w:tc>
        <w:tc>
          <w:tcPr>
            <w:tcW w:w="3184" w:type="pct"/>
            <w:shd w:val="clear" w:color="auto" w:fill="auto"/>
          </w:tcPr>
          <w:p w:rsidR="006F080B" w:rsidRPr="0020269D" w:rsidRDefault="006F080B" w:rsidP="0020269D">
            <w:pPr>
              <w:numPr>
                <w:ilvl w:val="0"/>
                <w:numId w:val="14"/>
              </w:numPr>
              <w:suppressAutoHyphens/>
              <w:spacing w:after="0" w:line="360" w:lineRule="auto"/>
              <w:ind w:left="0" w:firstLine="0"/>
              <w:jc w:val="both"/>
              <w:rPr>
                <w:rFonts w:ascii="Times New Roman" w:eastAsia="MS Mincho" w:hAnsi="Times New Roman"/>
                <w:sz w:val="20"/>
                <w:szCs w:val="28"/>
                <w:lang w:eastAsia="ja-JP"/>
              </w:rPr>
            </w:pPr>
            <w:r w:rsidRPr="0020269D">
              <w:rPr>
                <w:rFonts w:ascii="Times New Roman" w:eastAsia="MS Mincho" w:hAnsi="Times New Roman"/>
                <w:sz w:val="20"/>
                <w:szCs w:val="28"/>
                <w:lang w:eastAsia="ja-JP"/>
              </w:rPr>
              <w:t xml:space="preserve">Бюджетные налоги; внебюджетные фонды (Пенсионный фонд, Фонд социального страхования, фонд обязательного медицинского страхования). </w:t>
            </w:r>
          </w:p>
        </w:tc>
      </w:tr>
    </w:tbl>
    <w:p w:rsidR="006F080B" w:rsidRPr="00404A31" w:rsidRDefault="006F080B" w:rsidP="00404A31">
      <w:pPr>
        <w:suppressAutoHyphens/>
        <w:spacing w:after="0" w:line="360" w:lineRule="auto"/>
        <w:ind w:firstLine="709"/>
        <w:jc w:val="both"/>
        <w:rPr>
          <w:rFonts w:ascii="Times New Roman" w:hAnsi="Times New Roman"/>
          <w:sz w:val="28"/>
        </w:rPr>
      </w:pPr>
    </w:p>
    <w:p w:rsidR="006C779F" w:rsidRPr="00404A31" w:rsidRDefault="006C779F" w:rsidP="00404A31">
      <w:pPr>
        <w:pStyle w:val="a3"/>
        <w:numPr>
          <w:ilvl w:val="0"/>
          <w:numId w:val="16"/>
        </w:numPr>
        <w:suppressAutoHyphens/>
        <w:spacing w:after="0" w:line="360" w:lineRule="auto"/>
        <w:jc w:val="both"/>
        <w:rPr>
          <w:rFonts w:ascii="Times New Roman" w:hAnsi="Times New Roman"/>
          <w:b/>
          <w:sz w:val="28"/>
          <w:szCs w:val="28"/>
        </w:rPr>
      </w:pPr>
      <w:r w:rsidRPr="00404A31">
        <w:rPr>
          <w:rFonts w:ascii="Times New Roman" w:hAnsi="Times New Roman"/>
          <w:b/>
          <w:sz w:val="28"/>
          <w:szCs w:val="28"/>
        </w:rPr>
        <w:t>Задача</w:t>
      </w:r>
    </w:p>
    <w:p w:rsidR="00404A31" w:rsidRPr="0020269D" w:rsidRDefault="004A590D" w:rsidP="00404A31">
      <w:pPr>
        <w:suppressAutoHyphens/>
        <w:spacing w:after="0" w:line="360" w:lineRule="auto"/>
        <w:ind w:firstLine="709"/>
        <w:jc w:val="both"/>
        <w:rPr>
          <w:rFonts w:ascii="Times New Roman" w:hAnsi="Times New Roman"/>
          <w:color w:val="FFFFFF"/>
          <w:sz w:val="28"/>
          <w:szCs w:val="28"/>
          <w:lang w:val="en-US"/>
        </w:rPr>
      </w:pPr>
      <w:r w:rsidRPr="0020269D">
        <w:rPr>
          <w:rFonts w:ascii="Times New Roman" w:hAnsi="Times New Roman"/>
          <w:color w:val="FFFFFF"/>
          <w:sz w:val="28"/>
          <w:szCs w:val="28"/>
          <w:lang w:val="en-US"/>
        </w:rPr>
        <w:t>налог амортизационный добавленный стоимость</w:t>
      </w:r>
    </w:p>
    <w:p w:rsidR="006C779F" w:rsidRPr="00404A31" w:rsidRDefault="0035626D"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Определите сумму налога на добавленную стоимость у организации-продавца.</w:t>
      </w:r>
    </w:p>
    <w:p w:rsidR="0035626D" w:rsidRPr="00404A31" w:rsidRDefault="0035626D"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Известно:</w:t>
      </w:r>
    </w:p>
    <w:p w:rsidR="0035626D" w:rsidRPr="00404A31" w:rsidRDefault="0035626D" w:rsidP="00404A31">
      <w:pPr>
        <w:pStyle w:val="a3"/>
        <w:numPr>
          <w:ilvl w:val="0"/>
          <w:numId w:val="3"/>
        </w:numPr>
        <w:suppressAutoHyphens/>
        <w:spacing w:after="0" w:line="360" w:lineRule="auto"/>
        <w:ind w:left="0" w:firstLine="709"/>
        <w:jc w:val="both"/>
        <w:rPr>
          <w:rFonts w:ascii="Times New Roman" w:hAnsi="Times New Roman"/>
          <w:sz w:val="28"/>
          <w:szCs w:val="28"/>
        </w:rPr>
      </w:pPr>
      <w:r w:rsidRPr="00404A31">
        <w:rPr>
          <w:rFonts w:ascii="Times New Roman" w:hAnsi="Times New Roman"/>
          <w:sz w:val="28"/>
          <w:szCs w:val="28"/>
        </w:rPr>
        <w:t>Организация 10 января текущего года передала покупателю товары на сумму 118000 руб. (в т.ч. НДС – 18000 руб.).</w:t>
      </w:r>
    </w:p>
    <w:p w:rsidR="0035626D" w:rsidRPr="00404A31" w:rsidRDefault="0035626D" w:rsidP="00404A31">
      <w:pPr>
        <w:pStyle w:val="a3"/>
        <w:numPr>
          <w:ilvl w:val="0"/>
          <w:numId w:val="3"/>
        </w:numPr>
        <w:suppressAutoHyphens/>
        <w:spacing w:after="0" w:line="360" w:lineRule="auto"/>
        <w:ind w:left="0" w:firstLine="709"/>
        <w:jc w:val="both"/>
        <w:rPr>
          <w:rFonts w:ascii="Times New Roman" w:hAnsi="Times New Roman"/>
          <w:sz w:val="28"/>
          <w:szCs w:val="28"/>
        </w:rPr>
      </w:pPr>
      <w:r w:rsidRPr="00404A31">
        <w:rPr>
          <w:rFonts w:ascii="Times New Roman" w:hAnsi="Times New Roman"/>
          <w:sz w:val="28"/>
          <w:szCs w:val="28"/>
        </w:rPr>
        <w:t>Покупатель расплатился за товары векселем, предусматривающим ежемесячное начисление дохода в размере 2%.</w:t>
      </w:r>
    </w:p>
    <w:p w:rsidR="0035626D" w:rsidRPr="00404A31" w:rsidRDefault="0035626D" w:rsidP="00404A31">
      <w:pPr>
        <w:pStyle w:val="a3"/>
        <w:numPr>
          <w:ilvl w:val="0"/>
          <w:numId w:val="3"/>
        </w:numPr>
        <w:suppressAutoHyphens/>
        <w:spacing w:after="0" w:line="360" w:lineRule="auto"/>
        <w:ind w:left="0" w:firstLine="709"/>
        <w:jc w:val="both"/>
        <w:rPr>
          <w:rFonts w:ascii="Times New Roman" w:hAnsi="Times New Roman"/>
          <w:sz w:val="28"/>
          <w:szCs w:val="28"/>
        </w:rPr>
      </w:pPr>
      <w:r w:rsidRPr="00404A31">
        <w:rPr>
          <w:rFonts w:ascii="Times New Roman" w:hAnsi="Times New Roman"/>
          <w:sz w:val="28"/>
          <w:szCs w:val="28"/>
        </w:rPr>
        <w:t>Деньги за товар были перечислены 25 апреля текущего года.</w:t>
      </w:r>
    </w:p>
    <w:p w:rsidR="0035626D" w:rsidRPr="00404A31" w:rsidRDefault="00392824" w:rsidP="00404A31">
      <w:pPr>
        <w:pStyle w:val="a3"/>
        <w:numPr>
          <w:ilvl w:val="0"/>
          <w:numId w:val="3"/>
        </w:numPr>
        <w:suppressAutoHyphens/>
        <w:spacing w:after="0" w:line="360" w:lineRule="auto"/>
        <w:ind w:left="0" w:firstLine="709"/>
        <w:jc w:val="both"/>
        <w:rPr>
          <w:rFonts w:ascii="Times New Roman" w:hAnsi="Times New Roman"/>
          <w:sz w:val="28"/>
          <w:szCs w:val="28"/>
        </w:rPr>
      </w:pPr>
      <w:r w:rsidRPr="00404A31">
        <w:rPr>
          <w:rFonts w:ascii="Times New Roman" w:hAnsi="Times New Roman"/>
          <w:sz w:val="28"/>
          <w:szCs w:val="28"/>
        </w:rPr>
        <w:t>Ставка рефинансирования Банка России с 11 января по 8 апреля текущего года (88 дней) – 13%. С 9 апреля по 25 апреля текущего года – 11.5% (17 дней).</w:t>
      </w:r>
    </w:p>
    <w:p w:rsidR="00392824" w:rsidRPr="00404A31" w:rsidRDefault="007876AE"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Решение:</w:t>
      </w:r>
    </w:p>
    <w:p w:rsidR="00711647" w:rsidRPr="00404A31" w:rsidRDefault="00711647"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 xml:space="preserve">Для начала рассчитаем налоговую базу. В налоговую базу включаются: </w:t>
      </w:r>
    </w:p>
    <w:p w:rsidR="007876AE" w:rsidRPr="00404A31" w:rsidRDefault="00711647"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 все полученные доходы от реализации продукции;</w:t>
      </w:r>
    </w:p>
    <w:p w:rsidR="00711647" w:rsidRPr="00404A31" w:rsidRDefault="00711647"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 проценты по облигациям, векселям и товарному кредиту.</w:t>
      </w:r>
    </w:p>
    <w:p w:rsidR="00711647" w:rsidRPr="00404A31" w:rsidRDefault="003477D7"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Только НДС берется не со всей суммы процентов, а только с той</w:t>
      </w:r>
      <w:r w:rsidR="00404A31">
        <w:rPr>
          <w:rFonts w:ascii="Times New Roman" w:hAnsi="Times New Roman"/>
          <w:sz w:val="28"/>
          <w:szCs w:val="28"/>
        </w:rPr>
        <w:t xml:space="preserve"> </w:t>
      </w:r>
      <w:r w:rsidRPr="00404A31">
        <w:rPr>
          <w:rFonts w:ascii="Times New Roman" w:hAnsi="Times New Roman"/>
          <w:sz w:val="28"/>
          <w:szCs w:val="28"/>
        </w:rPr>
        <w:t>части, которая превышает ставку рефинансирования Банка России.</w:t>
      </w:r>
      <w:r w:rsidR="000451A4" w:rsidRPr="00404A31">
        <w:rPr>
          <w:rFonts w:ascii="Times New Roman" w:hAnsi="Times New Roman"/>
          <w:sz w:val="28"/>
          <w:szCs w:val="28"/>
        </w:rPr>
        <w:t xml:space="preserve"> Так как в данном случае процент по векселю не превышает ставки рефинансирования Банка России, а сумма за товары </w:t>
      </w:r>
      <w:r w:rsidR="00B50EEB" w:rsidRPr="00404A31">
        <w:rPr>
          <w:rFonts w:ascii="Times New Roman" w:hAnsi="Times New Roman"/>
          <w:sz w:val="28"/>
          <w:szCs w:val="28"/>
        </w:rPr>
        <w:t>включает в себя НДС с</w:t>
      </w:r>
      <w:r w:rsidR="00711647" w:rsidRPr="00404A31">
        <w:rPr>
          <w:rFonts w:ascii="Times New Roman" w:hAnsi="Times New Roman"/>
          <w:sz w:val="28"/>
          <w:szCs w:val="28"/>
        </w:rPr>
        <w:t>ледовательно, налог</w:t>
      </w:r>
      <w:r w:rsidR="000451A4" w:rsidRPr="00404A31">
        <w:rPr>
          <w:rFonts w:ascii="Times New Roman" w:hAnsi="Times New Roman"/>
          <w:sz w:val="28"/>
          <w:szCs w:val="28"/>
        </w:rPr>
        <w:t>овая база будет равна: 118000</w:t>
      </w:r>
      <w:r w:rsidR="00B50EEB" w:rsidRPr="00404A31">
        <w:rPr>
          <w:rFonts w:ascii="Times New Roman" w:hAnsi="Times New Roman"/>
          <w:sz w:val="28"/>
          <w:szCs w:val="28"/>
        </w:rPr>
        <w:t xml:space="preserve"> – 18000 = 100000 рублей.</w:t>
      </w:r>
    </w:p>
    <w:p w:rsidR="00B50EEB" w:rsidRPr="00404A31" w:rsidRDefault="00B50EEB"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Ставка НДС согласно Налогового кодекса в данном случае равна 18%.</w:t>
      </w:r>
    </w:p>
    <w:p w:rsidR="00B50EEB" w:rsidRPr="00404A31" w:rsidRDefault="00B50EEB"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Определим сумму налога: 100000*18% = 18000 рублей.</w:t>
      </w:r>
    </w:p>
    <w:p w:rsidR="00711647" w:rsidRPr="00404A31" w:rsidRDefault="00711647" w:rsidP="00404A31">
      <w:pPr>
        <w:suppressAutoHyphens/>
        <w:spacing w:after="0" w:line="360" w:lineRule="auto"/>
        <w:ind w:firstLine="709"/>
        <w:jc w:val="both"/>
        <w:rPr>
          <w:rFonts w:ascii="Times New Roman" w:hAnsi="Times New Roman"/>
          <w:sz w:val="28"/>
          <w:szCs w:val="28"/>
        </w:rPr>
      </w:pPr>
    </w:p>
    <w:p w:rsidR="006C779F" w:rsidRPr="00404A31" w:rsidRDefault="006C779F" w:rsidP="00404A31">
      <w:pPr>
        <w:pStyle w:val="a3"/>
        <w:numPr>
          <w:ilvl w:val="0"/>
          <w:numId w:val="16"/>
        </w:numPr>
        <w:suppressAutoHyphens/>
        <w:spacing w:after="0" w:line="360" w:lineRule="auto"/>
        <w:ind w:left="0" w:firstLine="709"/>
        <w:jc w:val="both"/>
        <w:rPr>
          <w:rFonts w:ascii="Times New Roman" w:hAnsi="Times New Roman"/>
          <w:b/>
          <w:sz w:val="28"/>
          <w:szCs w:val="28"/>
        </w:rPr>
      </w:pPr>
      <w:r w:rsidRPr="00404A31">
        <w:rPr>
          <w:rFonts w:ascii="Times New Roman" w:hAnsi="Times New Roman"/>
          <w:b/>
          <w:sz w:val="28"/>
          <w:szCs w:val="28"/>
        </w:rPr>
        <w:t>Тестовое задание</w:t>
      </w:r>
    </w:p>
    <w:p w:rsidR="00404A31" w:rsidRDefault="00404A31" w:rsidP="00404A31">
      <w:pPr>
        <w:suppressAutoHyphens/>
        <w:spacing w:after="0" w:line="360" w:lineRule="auto"/>
        <w:ind w:firstLine="709"/>
        <w:jc w:val="both"/>
        <w:rPr>
          <w:rFonts w:ascii="Times New Roman" w:hAnsi="Times New Roman"/>
          <w:sz w:val="28"/>
          <w:szCs w:val="28"/>
          <w:lang w:val="en-US"/>
        </w:rPr>
      </w:pPr>
    </w:p>
    <w:p w:rsidR="006C779F" w:rsidRPr="00404A31" w:rsidRDefault="00392824"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При расчете налоговой базы по единому социальному налогу, в среднем на одного работника у налогоплательщика с численностью работников</w:t>
      </w:r>
      <w:r w:rsidR="002E59B6" w:rsidRPr="00404A31">
        <w:rPr>
          <w:rFonts w:ascii="Times New Roman" w:hAnsi="Times New Roman"/>
          <w:sz w:val="28"/>
          <w:szCs w:val="28"/>
        </w:rPr>
        <w:t xml:space="preserve"> до 30 человек, не учитываются:</w:t>
      </w:r>
    </w:p>
    <w:p w:rsidR="002E59B6" w:rsidRPr="00404A31" w:rsidRDefault="002E59B6" w:rsidP="00404A31">
      <w:pPr>
        <w:pStyle w:val="a3"/>
        <w:numPr>
          <w:ilvl w:val="0"/>
          <w:numId w:val="4"/>
        </w:numPr>
        <w:suppressAutoHyphens/>
        <w:spacing w:after="0" w:line="360" w:lineRule="auto"/>
        <w:ind w:left="0" w:firstLine="709"/>
        <w:jc w:val="both"/>
        <w:rPr>
          <w:rFonts w:ascii="Times New Roman" w:hAnsi="Times New Roman"/>
          <w:sz w:val="28"/>
          <w:szCs w:val="28"/>
        </w:rPr>
      </w:pPr>
      <w:r w:rsidRPr="00404A31">
        <w:rPr>
          <w:rFonts w:ascii="Times New Roman" w:hAnsi="Times New Roman"/>
          <w:sz w:val="28"/>
          <w:szCs w:val="28"/>
        </w:rPr>
        <w:t>30% работников, имеющих наибольшие по размеру доходы</w:t>
      </w:r>
    </w:p>
    <w:p w:rsidR="002E59B6" w:rsidRPr="00404A31" w:rsidRDefault="002E59B6" w:rsidP="00404A31">
      <w:pPr>
        <w:pStyle w:val="a3"/>
        <w:numPr>
          <w:ilvl w:val="0"/>
          <w:numId w:val="4"/>
        </w:numPr>
        <w:suppressAutoHyphens/>
        <w:spacing w:after="0" w:line="360" w:lineRule="auto"/>
        <w:ind w:left="0" w:firstLine="709"/>
        <w:jc w:val="both"/>
        <w:rPr>
          <w:rFonts w:ascii="Times New Roman" w:hAnsi="Times New Roman"/>
          <w:sz w:val="28"/>
          <w:szCs w:val="28"/>
        </w:rPr>
      </w:pPr>
      <w:r w:rsidRPr="00404A31">
        <w:rPr>
          <w:rFonts w:ascii="Times New Roman" w:hAnsi="Times New Roman"/>
          <w:sz w:val="28"/>
          <w:szCs w:val="28"/>
        </w:rPr>
        <w:t>20% работников, имеющих наибольшие по размеру доходы</w:t>
      </w:r>
    </w:p>
    <w:p w:rsidR="002E59B6" w:rsidRPr="00404A31" w:rsidRDefault="002E59B6" w:rsidP="00404A31">
      <w:pPr>
        <w:pStyle w:val="a3"/>
        <w:numPr>
          <w:ilvl w:val="0"/>
          <w:numId w:val="4"/>
        </w:numPr>
        <w:suppressAutoHyphens/>
        <w:spacing w:after="0" w:line="360" w:lineRule="auto"/>
        <w:ind w:left="0" w:firstLine="709"/>
        <w:jc w:val="both"/>
        <w:rPr>
          <w:rFonts w:ascii="Times New Roman" w:hAnsi="Times New Roman"/>
          <w:sz w:val="28"/>
          <w:szCs w:val="28"/>
        </w:rPr>
      </w:pPr>
      <w:r w:rsidRPr="00404A31">
        <w:rPr>
          <w:rFonts w:ascii="Times New Roman" w:hAnsi="Times New Roman"/>
          <w:sz w:val="28"/>
          <w:szCs w:val="28"/>
        </w:rPr>
        <w:t>Расчет не производится</w:t>
      </w:r>
    </w:p>
    <w:p w:rsidR="00B50EEB" w:rsidRPr="00404A31" w:rsidRDefault="00B50EEB" w:rsidP="00404A31">
      <w:pPr>
        <w:suppressAutoHyphens/>
        <w:spacing w:after="0" w:line="360" w:lineRule="auto"/>
        <w:ind w:firstLine="709"/>
        <w:jc w:val="both"/>
        <w:rPr>
          <w:rFonts w:ascii="Times New Roman" w:hAnsi="Times New Roman"/>
          <w:sz w:val="28"/>
          <w:szCs w:val="28"/>
        </w:rPr>
      </w:pPr>
      <w:r w:rsidRPr="00404A31">
        <w:rPr>
          <w:rFonts w:ascii="Times New Roman" w:hAnsi="Times New Roman"/>
          <w:sz w:val="28"/>
          <w:szCs w:val="28"/>
        </w:rPr>
        <w:t>Ответ:</w:t>
      </w:r>
      <w:r w:rsidR="00404A31" w:rsidRPr="00404A31">
        <w:rPr>
          <w:rFonts w:ascii="Times New Roman" w:hAnsi="Times New Roman"/>
          <w:sz w:val="28"/>
          <w:szCs w:val="28"/>
        </w:rPr>
        <w:t xml:space="preserve"> </w:t>
      </w:r>
      <w:r w:rsidRPr="00404A31">
        <w:rPr>
          <w:rFonts w:ascii="Times New Roman" w:hAnsi="Times New Roman"/>
          <w:sz w:val="28"/>
          <w:szCs w:val="28"/>
        </w:rPr>
        <w:t xml:space="preserve">При расчете налоговой базы по единому социальному налогу в среднем на одного работника у налогоплательщика с численностью работников до 30 человек, не учитываются </w:t>
      </w:r>
      <w:r w:rsidR="00F67DBF" w:rsidRPr="00404A31">
        <w:rPr>
          <w:rFonts w:ascii="Times New Roman" w:hAnsi="Times New Roman"/>
          <w:sz w:val="28"/>
          <w:szCs w:val="28"/>
        </w:rPr>
        <w:t>20% работников, имеющих наибольшие по размеру доходы.</w:t>
      </w:r>
    </w:p>
    <w:p w:rsidR="00B50EEB" w:rsidRPr="00404A31" w:rsidRDefault="00B50EEB" w:rsidP="00404A31">
      <w:pPr>
        <w:suppressAutoHyphens/>
        <w:spacing w:after="0" w:line="360" w:lineRule="auto"/>
        <w:ind w:firstLine="709"/>
        <w:jc w:val="both"/>
        <w:rPr>
          <w:rFonts w:ascii="Times New Roman" w:hAnsi="Times New Roman"/>
          <w:sz w:val="28"/>
          <w:szCs w:val="28"/>
        </w:rPr>
      </w:pPr>
    </w:p>
    <w:p w:rsidR="006C779F" w:rsidRPr="00404A31" w:rsidRDefault="006C779F" w:rsidP="00404A31">
      <w:pPr>
        <w:suppressAutoHyphens/>
        <w:spacing w:after="0" w:line="360" w:lineRule="auto"/>
        <w:ind w:firstLine="709"/>
        <w:jc w:val="both"/>
        <w:rPr>
          <w:rFonts w:ascii="Times New Roman" w:hAnsi="Times New Roman"/>
          <w:b/>
          <w:sz w:val="28"/>
          <w:szCs w:val="28"/>
        </w:rPr>
      </w:pPr>
      <w:r w:rsidRPr="00404A31">
        <w:rPr>
          <w:rFonts w:ascii="Times New Roman" w:hAnsi="Times New Roman"/>
          <w:sz w:val="28"/>
          <w:szCs w:val="28"/>
        </w:rPr>
        <w:br w:type="page"/>
      </w:r>
      <w:r w:rsidRPr="00404A31">
        <w:rPr>
          <w:rFonts w:ascii="Times New Roman" w:hAnsi="Times New Roman"/>
          <w:b/>
          <w:sz w:val="28"/>
          <w:szCs w:val="28"/>
        </w:rPr>
        <w:t>Список литературы</w:t>
      </w:r>
    </w:p>
    <w:p w:rsidR="007876AE" w:rsidRPr="00404A31" w:rsidRDefault="007876AE" w:rsidP="00404A31">
      <w:pPr>
        <w:tabs>
          <w:tab w:val="left" w:pos="426"/>
        </w:tabs>
        <w:suppressAutoHyphens/>
        <w:spacing w:after="0" w:line="360" w:lineRule="auto"/>
        <w:rPr>
          <w:rFonts w:ascii="Times New Roman" w:hAnsi="Times New Roman"/>
          <w:sz w:val="28"/>
          <w:szCs w:val="28"/>
        </w:rPr>
      </w:pPr>
    </w:p>
    <w:p w:rsidR="006F080B" w:rsidRPr="00404A31" w:rsidRDefault="006F080B" w:rsidP="00404A31">
      <w:pPr>
        <w:pStyle w:val="3"/>
        <w:keepNext w:val="0"/>
        <w:numPr>
          <w:ilvl w:val="0"/>
          <w:numId w:val="15"/>
        </w:numPr>
        <w:tabs>
          <w:tab w:val="clear" w:pos="720"/>
          <w:tab w:val="num" w:pos="0"/>
          <w:tab w:val="left" w:pos="426"/>
        </w:tabs>
        <w:suppressAutoHyphens/>
        <w:spacing w:before="0" w:after="0" w:line="360" w:lineRule="auto"/>
        <w:ind w:left="0" w:firstLine="0"/>
        <w:rPr>
          <w:rFonts w:ascii="Times New Roman" w:hAnsi="Times New Roman" w:cs="Times New Roman"/>
          <w:b w:val="0"/>
          <w:bCs w:val="0"/>
          <w:sz w:val="28"/>
          <w:szCs w:val="28"/>
        </w:rPr>
      </w:pPr>
      <w:r w:rsidRPr="00404A31">
        <w:rPr>
          <w:rFonts w:ascii="Times New Roman" w:hAnsi="Times New Roman" w:cs="Times New Roman"/>
          <w:b w:val="0"/>
          <w:bCs w:val="0"/>
          <w:sz w:val="28"/>
          <w:szCs w:val="28"/>
        </w:rPr>
        <w:t>Александров И.М. Налоги и налогообложение. Издательский дом «Дашков и К». – 2005. – 286с.</w:t>
      </w:r>
    </w:p>
    <w:p w:rsidR="006F080B" w:rsidRPr="00404A31" w:rsidRDefault="006F080B" w:rsidP="00404A31">
      <w:pPr>
        <w:pStyle w:val="a9"/>
        <w:numPr>
          <w:ilvl w:val="0"/>
          <w:numId w:val="15"/>
        </w:numPr>
        <w:tabs>
          <w:tab w:val="clear" w:pos="720"/>
          <w:tab w:val="num" w:pos="0"/>
          <w:tab w:val="left" w:pos="426"/>
        </w:tabs>
        <w:suppressAutoHyphens/>
        <w:spacing w:line="360" w:lineRule="auto"/>
        <w:ind w:left="0" w:firstLine="0"/>
        <w:rPr>
          <w:sz w:val="28"/>
          <w:szCs w:val="28"/>
        </w:rPr>
      </w:pPr>
      <w:r w:rsidRPr="00404A31">
        <w:rPr>
          <w:sz w:val="28"/>
          <w:szCs w:val="28"/>
        </w:rPr>
        <w:t>Брызгалин А.В., Налоги и налоговое право. Учебное пособие. / М.: Аналитик-пресс., 2001. – 608с.</w:t>
      </w:r>
    </w:p>
    <w:p w:rsidR="006F080B" w:rsidRPr="00404A31" w:rsidRDefault="006F080B" w:rsidP="00404A31">
      <w:pPr>
        <w:numPr>
          <w:ilvl w:val="0"/>
          <w:numId w:val="15"/>
        </w:numPr>
        <w:tabs>
          <w:tab w:val="clear" w:pos="720"/>
          <w:tab w:val="num" w:pos="0"/>
          <w:tab w:val="left" w:pos="426"/>
        </w:tabs>
        <w:suppressAutoHyphens/>
        <w:spacing w:after="0" w:line="360" w:lineRule="auto"/>
        <w:ind w:left="0" w:firstLine="0"/>
        <w:rPr>
          <w:rFonts w:ascii="Times New Roman" w:eastAsia="MS Mincho" w:hAnsi="Times New Roman"/>
          <w:sz w:val="28"/>
          <w:szCs w:val="28"/>
          <w:lang w:eastAsia="ja-JP"/>
        </w:rPr>
      </w:pPr>
      <w:r w:rsidRPr="00404A31">
        <w:rPr>
          <w:rFonts w:ascii="Times New Roman" w:eastAsia="MS Mincho" w:hAnsi="Times New Roman"/>
          <w:sz w:val="28"/>
          <w:szCs w:val="28"/>
          <w:lang w:eastAsia="ja-JP"/>
        </w:rPr>
        <w:t>Владимирова Н.П. Налоги и налогообложение: учебное пособие. – М.: КНОРУС., 2005.- 232с.</w:t>
      </w:r>
    </w:p>
    <w:p w:rsidR="006F080B" w:rsidRPr="00404A31" w:rsidRDefault="006F080B" w:rsidP="00404A31">
      <w:pPr>
        <w:numPr>
          <w:ilvl w:val="0"/>
          <w:numId w:val="15"/>
        </w:numPr>
        <w:tabs>
          <w:tab w:val="clear" w:pos="720"/>
          <w:tab w:val="num" w:pos="0"/>
          <w:tab w:val="left" w:pos="426"/>
        </w:tabs>
        <w:suppressAutoHyphens/>
        <w:spacing w:after="0" w:line="360" w:lineRule="auto"/>
        <w:ind w:left="0" w:firstLine="0"/>
        <w:rPr>
          <w:rFonts w:ascii="Times New Roman" w:eastAsia="MS Mincho" w:hAnsi="Times New Roman"/>
          <w:sz w:val="28"/>
          <w:szCs w:val="28"/>
          <w:lang w:eastAsia="ja-JP"/>
        </w:rPr>
      </w:pPr>
      <w:r w:rsidRPr="00404A31">
        <w:rPr>
          <w:rFonts w:ascii="Times New Roman" w:eastAsia="MS Mincho" w:hAnsi="Times New Roman"/>
          <w:sz w:val="28"/>
          <w:szCs w:val="28"/>
          <w:lang w:eastAsia="ja-JP"/>
        </w:rPr>
        <w:t>Лыкова Л.Н., Налоги и налогообложение в России: Учебник. – М.: «Бек»., – 2001. – 278с.</w:t>
      </w:r>
    </w:p>
    <w:p w:rsidR="006F080B" w:rsidRPr="00404A31" w:rsidRDefault="006F080B" w:rsidP="00404A31">
      <w:pPr>
        <w:numPr>
          <w:ilvl w:val="0"/>
          <w:numId w:val="15"/>
        </w:numPr>
        <w:tabs>
          <w:tab w:val="clear" w:pos="720"/>
          <w:tab w:val="num" w:pos="0"/>
          <w:tab w:val="left" w:pos="426"/>
        </w:tabs>
        <w:suppressAutoHyphens/>
        <w:spacing w:after="0" w:line="360" w:lineRule="auto"/>
        <w:ind w:left="0" w:firstLine="0"/>
        <w:rPr>
          <w:rFonts w:ascii="Times New Roman" w:eastAsia="MS Mincho" w:hAnsi="Times New Roman"/>
          <w:sz w:val="28"/>
          <w:szCs w:val="28"/>
          <w:lang w:eastAsia="ja-JP"/>
        </w:rPr>
      </w:pPr>
      <w:r w:rsidRPr="00404A31">
        <w:rPr>
          <w:rFonts w:ascii="Times New Roman" w:eastAsia="MS Mincho" w:hAnsi="Times New Roman"/>
          <w:sz w:val="28"/>
          <w:szCs w:val="28"/>
          <w:lang w:eastAsia="ja-JP"/>
        </w:rPr>
        <w:t>Перов А.В. Толкушин А.В. Налоги и налогообложение: Учеб. Пособие.- 2-е изд. Доп. и перераб. М.: Юрайт – издат., 2003. –</w:t>
      </w:r>
      <w:r w:rsidR="00404A31">
        <w:rPr>
          <w:rFonts w:ascii="Times New Roman" w:eastAsia="MS Mincho" w:hAnsi="Times New Roman"/>
          <w:sz w:val="28"/>
          <w:szCs w:val="28"/>
          <w:lang w:eastAsia="ja-JP"/>
        </w:rPr>
        <w:t xml:space="preserve"> </w:t>
      </w:r>
      <w:r w:rsidRPr="00404A31">
        <w:rPr>
          <w:rFonts w:ascii="Times New Roman" w:eastAsia="MS Mincho" w:hAnsi="Times New Roman"/>
          <w:sz w:val="28"/>
          <w:szCs w:val="28"/>
          <w:lang w:eastAsia="ja-JP"/>
        </w:rPr>
        <w:t>635с.</w:t>
      </w:r>
    </w:p>
    <w:p w:rsidR="006C779F" w:rsidRPr="0020269D" w:rsidRDefault="006C779F" w:rsidP="00404A31">
      <w:pPr>
        <w:tabs>
          <w:tab w:val="left" w:pos="426"/>
        </w:tabs>
        <w:suppressAutoHyphens/>
        <w:spacing w:after="0" w:line="360" w:lineRule="auto"/>
        <w:rPr>
          <w:rFonts w:ascii="Times New Roman" w:hAnsi="Times New Roman"/>
          <w:color w:val="FFFFFF"/>
          <w:sz w:val="28"/>
          <w:szCs w:val="28"/>
        </w:rPr>
      </w:pPr>
      <w:bookmarkStart w:id="0" w:name="_GoBack"/>
      <w:bookmarkEnd w:id="0"/>
    </w:p>
    <w:sectPr w:rsidR="006C779F" w:rsidRPr="0020269D" w:rsidSect="004A590D">
      <w:headerReference w:type="default" r:id="rId7"/>
      <w:pgSz w:w="11906" w:h="16838" w:code="9"/>
      <w:pgMar w:top="1134" w:right="851"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69D" w:rsidRDefault="0020269D" w:rsidP="002E59B6">
      <w:pPr>
        <w:spacing w:after="0" w:line="240" w:lineRule="auto"/>
      </w:pPr>
      <w:r>
        <w:separator/>
      </w:r>
    </w:p>
  </w:endnote>
  <w:endnote w:type="continuationSeparator" w:id="0">
    <w:p w:rsidR="0020269D" w:rsidRDefault="0020269D" w:rsidP="002E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69D" w:rsidRDefault="0020269D" w:rsidP="002E59B6">
      <w:pPr>
        <w:spacing w:after="0" w:line="240" w:lineRule="auto"/>
      </w:pPr>
      <w:r>
        <w:separator/>
      </w:r>
    </w:p>
  </w:footnote>
  <w:footnote w:type="continuationSeparator" w:id="0">
    <w:p w:rsidR="0020269D" w:rsidRDefault="0020269D" w:rsidP="002E5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90D" w:rsidRPr="004A590D" w:rsidRDefault="004A590D" w:rsidP="004A590D">
    <w:pPr>
      <w:pStyle w:val="a4"/>
      <w:suppressAutoHyphens/>
      <w:spacing w:line="360" w:lineRule="auto"/>
      <w:ind w:firstLine="709"/>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13B0E"/>
    <w:multiLevelType w:val="hybridMultilevel"/>
    <w:tmpl w:val="976ED7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E91A5D"/>
    <w:multiLevelType w:val="multilevel"/>
    <w:tmpl w:val="4EC8B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181D2B"/>
    <w:multiLevelType w:val="multilevel"/>
    <w:tmpl w:val="7BEC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EDE732E"/>
    <w:multiLevelType w:val="multilevel"/>
    <w:tmpl w:val="D786F0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2A252F3"/>
    <w:multiLevelType w:val="hybridMultilevel"/>
    <w:tmpl w:val="C3A08306"/>
    <w:lvl w:ilvl="0" w:tplc="4B6A8E8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nsid w:val="3A4C343F"/>
    <w:multiLevelType w:val="hybridMultilevel"/>
    <w:tmpl w:val="93A83B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AEA6D5A"/>
    <w:multiLevelType w:val="multilevel"/>
    <w:tmpl w:val="E578B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AFC22F6"/>
    <w:multiLevelType w:val="multilevel"/>
    <w:tmpl w:val="ECDA1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4B6FB3"/>
    <w:multiLevelType w:val="hybridMultilevel"/>
    <w:tmpl w:val="0FCC58EA"/>
    <w:lvl w:ilvl="0" w:tplc="7FE2A3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6BA0C5D"/>
    <w:multiLevelType w:val="multilevel"/>
    <w:tmpl w:val="F7148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96A221D"/>
    <w:multiLevelType w:val="multilevel"/>
    <w:tmpl w:val="E3E0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A9049F2"/>
    <w:multiLevelType w:val="multilevel"/>
    <w:tmpl w:val="FACC1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2BA7A4B"/>
    <w:multiLevelType w:val="hybridMultilevel"/>
    <w:tmpl w:val="DB641A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2BF21DE"/>
    <w:multiLevelType w:val="multilevel"/>
    <w:tmpl w:val="FCBA1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E733556"/>
    <w:multiLevelType w:val="hybridMultilevel"/>
    <w:tmpl w:val="30A8E512"/>
    <w:lvl w:ilvl="0" w:tplc="B0F63F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AE04623"/>
    <w:multiLevelType w:val="multilevel"/>
    <w:tmpl w:val="C74C2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8"/>
  </w:num>
  <w:num w:numId="4">
    <w:abstractNumId w:val="14"/>
  </w:num>
  <w:num w:numId="5">
    <w:abstractNumId w:val="10"/>
  </w:num>
  <w:num w:numId="6">
    <w:abstractNumId w:val="3"/>
  </w:num>
  <w:num w:numId="7">
    <w:abstractNumId w:val="15"/>
  </w:num>
  <w:num w:numId="8">
    <w:abstractNumId w:val="9"/>
  </w:num>
  <w:num w:numId="9">
    <w:abstractNumId w:val="2"/>
  </w:num>
  <w:num w:numId="10">
    <w:abstractNumId w:val="6"/>
  </w:num>
  <w:num w:numId="11">
    <w:abstractNumId w:val="7"/>
  </w:num>
  <w:num w:numId="12">
    <w:abstractNumId w:val="11"/>
  </w:num>
  <w:num w:numId="13">
    <w:abstractNumId w:val="1"/>
  </w:num>
  <w:num w:numId="14">
    <w:abstractNumId w:val="13"/>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698"/>
    <w:rsid w:val="00036879"/>
    <w:rsid w:val="000451A4"/>
    <w:rsid w:val="001B7664"/>
    <w:rsid w:val="0020269D"/>
    <w:rsid w:val="00296140"/>
    <w:rsid w:val="002E59B6"/>
    <w:rsid w:val="003477D7"/>
    <w:rsid w:val="0035626D"/>
    <w:rsid w:val="00392824"/>
    <w:rsid w:val="00404A31"/>
    <w:rsid w:val="004869A8"/>
    <w:rsid w:val="004A590D"/>
    <w:rsid w:val="00526698"/>
    <w:rsid w:val="0059367D"/>
    <w:rsid w:val="005C3194"/>
    <w:rsid w:val="006C779F"/>
    <w:rsid w:val="006F080B"/>
    <w:rsid w:val="006F5152"/>
    <w:rsid w:val="00711647"/>
    <w:rsid w:val="00716B64"/>
    <w:rsid w:val="007876AE"/>
    <w:rsid w:val="00A65E3C"/>
    <w:rsid w:val="00B50EEB"/>
    <w:rsid w:val="00B61622"/>
    <w:rsid w:val="00E56B44"/>
    <w:rsid w:val="00E7376E"/>
    <w:rsid w:val="00F67DBF"/>
    <w:rsid w:val="00FF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16CA7A-2829-418D-9332-8C30AD26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67D"/>
    <w:pPr>
      <w:spacing w:after="200" w:line="276" w:lineRule="auto"/>
    </w:pPr>
    <w:rPr>
      <w:rFonts w:cs="Times New Roman"/>
      <w:sz w:val="22"/>
      <w:szCs w:val="22"/>
      <w:lang w:eastAsia="en-US"/>
    </w:rPr>
  </w:style>
  <w:style w:type="paragraph" w:styleId="3">
    <w:name w:val="heading 3"/>
    <w:basedOn w:val="a"/>
    <w:next w:val="a"/>
    <w:link w:val="30"/>
    <w:uiPriority w:val="99"/>
    <w:qFormat/>
    <w:rsid w:val="006F080B"/>
    <w:pPr>
      <w:keepNext/>
      <w:spacing w:before="240" w:after="60" w:line="240" w:lineRule="auto"/>
      <w:outlineLvl w:val="2"/>
    </w:pPr>
    <w:rPr>
      <w:rFonts w:ascii="Arial" w:eastAsia="MS Mincho" w:hAnsi="Arial" w:cs="Arial"/>
      <w:b/>
      <w:bCs/>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6F080B"/>
    <w:rPr>
      <w:rFonts w:ascii="Arial" w:eastAsia="MS Mincho" w:hAnsi="Arial" w:cs="Arial"/>
      <w:b/>
      <w:bCs/>
      <w:sz w:val="26"/>
      <w:szCs w:val="26"/>
      <w:lang w:val="x-none" w:eastAsia="ja-JP"/>
    </w:rPr>
  </w:style>
  <w:style w:type="paragraph" w:styleId="a3">
    <w:name w:val="List Paragraph"/>
    <w:basedOn w:val="a"/>
    <w:uiPriority w:val="34"/>
    <w:qFormat/>
    <w:rsid w:val="00036879"/>
    <w:pPr>
      <w:ind w:left="720"/>
      <w:contextualSpacing/>
    </w:pPr>
  </w:style>
  <w:style w:type="paragraph" w:styleId="a4">
    <w:name w:val="header"/>
    <w:basedOn w:val="a"/>
    <w:link w:val="a5"/>
    <w:uiPriority w:val="99"/>
    <w:unhideWhenUsed/>
    <w:rsid w:val="002E59B6"/>
    <w:pPr>
      <w:tabs>
        <w:tab w:val="center" w:pos="4677"/>
        <w:tab w:val="right" w:pos="9355"/>
      </w:tabs>
      <w:spacing w:after="0" w:line="240" w:lineRule="auto"/>
    </w:pPr>
  </w:style>
  <w:style w:type="character" w:customStyle="1" w:styleId="a5">
    <w:name w:val="Верхний колонтитул Знак"/>
    <w:link w:val="a4"/>
    <w:uiPriority w:val="99"/>
    <w:locked/>
    <w:rsid w:val="002E59B6"/>
    <w:rPr>
      <w:rFonts w:cs="Times New Roman"/>
    </w:rPr>
  </w:style>
  <w:style w:type="paragraph" w:styleId="a6">
    <w:name w:val="footer"/>
    <w:basedOn w:val="a"/>
    <w:link w:val="a7"/>
    <w:uiPriority w:val="99"/>
    <w:semiHidden/>
    <w:unhideWhenUsed/>
    <w:rsid w:val="002E59B6"/>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2E59B6"/>
    <w:rPr>
      <w:rFonts w:cs="Times New Roman"/>
    </w:rPr>
  </w:style>
  <w:style w:type="paragraph" w:styleId="a8">
    <w:name w:val="Normal (Web)"/>
    <w:basedOn w:val="a"/>
    <w:uiPriority w:val="99"/>
    <w:rsid w:val="006F080B"/>
    <w:pPr>
      <w:spacing w:after="0" w:line="240" w:lineRule="auto"/>
    </w:pPr>
    <w:rPr>
      <w:rFonts w:ascii="Times New Roman" w:eastAsia="MS Mincho" w:hAnsi="Times New Roman"/>
      <w:sz w:val="24"/>
      <w:szCs w:val="24"/>
      <w:lang w:eastAsia="ja-JP"/>
    </w:rPr>
  </w:style>
  <w:style w:type="paragraph" w:styleId="a9">
    <w:name w:val="footnote text"/>
    <w:basedOn w:val="a"/>
    <w:link w:val="aa"/>
    <w:uiPriority w:val="99"/>
    <w:semiHidden/>
    <w:rsid w:val="006F080B"/>
    <w:pPr>
      <w:spacing w:after="0" w:line="240" w:lineRule="auto"/>
    </w:pPr>
    <w:rPr>
      <w:rFonts w:ascii="Times New Roman" w:eastAsia="MS Mincho" w:hAnsi="Times New Roman"/>
      <w:sz w:val="20"/>
      <w:szCs w:val="20"/>
      <w:lang w:eastAsia="ja-JP"/>
    </w:rPr>
  </w:style>
  <w:style w:type="character" w:customStyle="1" w:styleId="aa">
    <w:name w:val="Текст сноски Знак"/>
    <w:link w:val="a9"/>
    <w:uiPriority w:val="99"/>
    <w:semiHidden/>
    <w:locked/>
    <w:rsid w:val="006F080B"/>
    <w:rPr>
      <w:rFonts w:ascii="Times New Roman" w:eastAsia="MS Mincho" w:hAnsi="Times New Roman" w:cs="Times New Roman"/>
      <w:lang w:val="x-none" w:eastAsia="ja-JP"/>
    </w:rPr>
  </w:style>
  <w:style w:type="table" w:styleId="ab">
    <w:name w:val="Table Grid"/>
    <w:basedOn w:val="a1"/>
    <w:uiPriority w:val="59"/>
    <w:rsid w:val="00404A31"/>
    <w:rPr>
      <w:rFonts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2</cp:revision>
  <dcterms:created xsi:type="dcterms:W3CDTF">2014-03-26T22:23:00Z</dcterms:created>
  <dcterms:modified xsi:type="dcterms:W3CDTF">2014-03-26T22:23:00Z</dcterms:modified>
</cp:coreProperties>
</file>